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0"/>
          <w:szCs w:val="20"/>
          <w:b w:val="1"/>
          <w:bCs w:val="1"/>
          <w:color w:val="auto"/>
        </w:rPr>
        <w:t>UNITED STATES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SECURITIES AND EXCHANGE COMMISSION</w:t>
      </w:r>
    </w:p>
    <w:p>
      <w:pPr>
        <w:jc w:val="center"/>
        <w:ind w:right="-39"/>
        <w:spacing w:after="0"/>
        <w:rPr>
          <w:sz w:val="20"/>
          <w:szCs w:val="20"/>
          <w:color w:val="auto"/>
        </w:rPr>
      </w:pPr>
      <w:r>
        <w:rPr>
          <w:rFonts w:ascii="Arial" w:cs="Arial" w:eastAsia="Arial" w:hAnsi="Arial"/>
          <w:sz w:val="20"/>
          <w:szCs w:val="20"/>
          <w:b w:val="1"/>
          <w:bCs w:val="1"/>
          <w:color w:val="auto"/>
        </w:rPr>
        <w:t>Washington, D.C. 20549</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SCHEDULE 13G</w:t>
      </w:r>
    </w:p>
    <w:p>
      <w:pPr>
        <w:spacing w:after="0" w:line="216"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No. 2)</w:t>
      </w:r>
    </w:p>
    <w:p>
      <w:pPr>
        <w:spacing w:after="0" w:line="194" w:lineRule="exact"/>
        <w:rPr>
          <w:sz w:val="24"/>
          <w:szCs w:val="24"/>
          <w:color w:val="auto"/>
        </w:rPr>
      </w:pPr>
    </w:p>
    <w:p>
      <w:pPr>
        <w:ind w:left="4920"/>
        <w:spacing w:after="0"/>
        <w:rPr>
          <w:sz w:val="20"/>
          <w:szCs w:val="20"/>
          <w:color w:val="auto"/>
        </w:rPr>
      </w:pPr>
      <w:r>
        <w:rPr>
          <w:rFonts w:ascii="Arial" w:cs="Arial" w:eastAsia="Arial" w:hAnsi="Arial"/>
          <w:sz w:val="20"/>
          <w:szCs w:val="20"/>
          <w:b w:val="1"/>
          <w:bCs w:val="1"/>
          <w:color w:val="auto"/>
        </w:rPr>
        <w:t>AnaptysBio, Inc.</w:t>
      </w:r>
    </w:p>
    <w:p>
      <w:pPr>
        <w:spacing w:after="0" w:line="60" w:lineRule="exact"/>
        <w:rPr>
          <w:sz w:val="24"/>
          <w:szCs w:val="24"/>
          <w:color w:val="auto"/>
        </w:rPr>
      </w:pPr>
    </w:p>
    <w:p>
      <w:pPr>
        <w:ind w:left="4960"/>
        <w:spacing w:after="0"/>
        <w:rPr>
          <w:sz w:val="20"/>
          <w:szCs w:val="20"/>
          <w:color w:val="auto"/>
        </w:rPr>
      </w:pPr>
      <w:r>
        <w:rPr>
          <w:rFonts w:ascii="Arial" w:cs="Arial" w:eastAsia="Arial" w:hAnsi="Arial"/>
          <w:sz w:val="20"/>
          <w:szCs w:val="20"/>
          <w:color w:val="auto"/>
        </w:rPr>
        <w:t>(Name of Issuer)</w:t>
      </w:r>
    </w:p>
    <w:p>
      <w:pPr>
        <w:spacing w:after="0" w:line="31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Common Stock, $0.001 par value</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(Title of Class of Securities)</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032724106</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(CUSIP Number)</w:t>
      </w:r>
    </w:p>
    <w:p>
      <w:pPr>
        <w:spacing w:after="0" w:line="302"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January 4, 2021</w:t>
      </w:r>
    </w:p>
    <w:p>
      <w:pPr>
        <w:spacing w:after="0" w:line="22" w:lineRule="exact"/>
        <w:rPr>
          <w:sz w:val="24"/>
          <w:szCs w:val="24"/>
          <w:color w:val="auto"/>
        </w:rPr>
      </w:pPr>
    </w:p>
    <w:p>
      <w:pPr>
        <w:jc w:val="center"/>
        <w:ind w:right="-39"/>
        <w:spacing w:after="0"/>
        <w:rPr>
          <w:sz w:val="20"/>
          <w:szCs w:val="20"/>
          <w:color w:val="auto"/>
        </w:rPr>
      </w:pPr>
      <w:r>
        <w:rPr>
          <w:rFonts w:ascii="Arial" w:cs="Arial" w:eastAsia="Arial" w:hAnsi="Arial"/>
          <w:sz w:val="20"/>
          <w:szCs w:val="20"/>
          <w:color w:val="auto"/>
        </w:rPr>
        <w:t>(Date of Event Which Requires Filing of this Statement)</w:t>
      </w:r>
    </w:p>
    <w:p>
      <w:pPr>
        <w:spacing w:after="0" w:line="308" w:lineRule="exact"/>
        <w:rPr>
          <w:sz w:val="24"/>
          <w:szCs w:val="24"/>
          <w:color w:val="auto"/>
        </w:rPr>
      </w:pPr>
    </w:p>
    <w:p>
      <w:pPr>
        <w:spacing w:after="0"/>
        <w:rPr>
          <w:sz w:val="20"/>
          <w:szCs w:val="20"/>
          <w:color w:val="auto"/>
        </w:rPr>
      </w:pPr>
      <w:r>
        <w:rPr>
          <w:rFonts w:ascii="Arial" w:cs="Arial" w:eastAsia="Arial" w:hAnsi="Arial"/>
          <w:sz w:val="20"/>
          <w:szCs w:val="20"/>
          <w:color w:val="auto"/>
        </w:rPr>
        <w:t>Check the appropriate box to designate the rule pursuant to which this Schedule is filed:</w:t>
      </w:r>
    </w:p>
    <w:p>
      <w:pPr>
        <w:spacing w:after="0" w:line="210"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13d-1(b)</w:t>
      </w:r>
    </w:p>
    <w:p>
      <w:pPr>
        <w:spacing w:after="0" w:line="216" w:lineRule="exact"/>
        <w:rPr>
          <w:sz w:val="24"/>
          <w:szCs w:val="24"/>
          <w:color w:val="auto"/>
        </w:rPr>
      </w:pPr>
    </w:p>
    <w:p>
      <w:pPr>
        <w:spacing w:after="0"/>
        <w:tabs>
          <w:tab w:leader="none" w:pos="600" w:val="left"/>
        </w:tabs>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X</w:t>
      </w:r>
      <w:r>
        <w:rPr>
          <w:rFonts w:ascii="Arial" w:cs="Arial" w:eastAsia="Arial" w:hAnsi="Arial"/>
          <w:sz w:val="20"/>
          <w:szCs w:val="20"/>
          <w:color w:val="auto"/>
        </w:rPr>
        <w:t>]</w:t>
      </w:r>
      <w:r>
        <w:rPr>
          <w:sz w:val="20"/>
          <w:szCs w:val="20"/>
          <w:color w:val="auto"/>
        </w:rPr>
        <w:tab/>
      </w:r>
      <w:r>
        <w:rPr>
          <w:rFonts w:ascii="Arial" w:cs="Arial" w:eastAsia="Arial" w:hAnsi="Arial"/>
          <w:sz w:val="18"/>
          <w:szCs w:val="18"/>
          <w:color w:val="auto"/>
        </w:rPr>
        <w:t>Rule 13d-1(c)</w:t>
      </w:r>
    </w:p>
    <w:p>
      <w:pPr>
        <w:spacing w:after="0" w:line="222" w:lineRule="exact"/>
        <w:rPr>
          <w:sz w:val="24"/>
          <w:szCs w:val="24"/>
          <w:color w:val="auto"/>
        </w:rPr>
      </w:pPr>
    </w:p>
    <w:p>
      <w:pPr>
        <w:ind w:left="780" w:hanging="124"/>
        <w:spacing w:after="0"/>
        <w:tabs>
          <w:tab w:leader="none" w:pos="780" w:val="left"/>
        </w:tabs>
        <w:numPr>
          <w:ilvl w:val="1"/>
          <w:numId w:val="1"/>
        </w:numPr>
        <w:rPr>
          <w:rFonts w:ascii="Arial" w:cs="Arial" w:eastAsia="Arial" w:hAnsi="Arial"/>
          <w:sz w:val="20"/>
          <w:szCs w:val="20"/>
          <w:color w:val="auto"/>
        </w:rPr>
      </w:pPr>
      <w:r>
        <w:rPr>
          <w:rFonts w:ascii="Arial" w:cs="Arial" w:eastAsia="Arial" w:hAnsi="Arial"/>
          <w:sz w:val="20"/>
          <w:szCs w:val="20"/>
          <w:color w:val="auto"/>
        </w:rPr>
        <w:t>]    Rule 13d-1(d)</w:t>
      </w:r>
    </w:p>
    <w:p>
      <w:pPr>
        <w:spacing w:after="0" w:line="215" w:lineRule="exact"/>
        <w:rPr>
          <w:rFonts w:ascii="Arial" w:cs="Arial" w:eastAsia="Arial" w:hAnsi="Arial"/>
          <w:sz w:val="20"/>
          <w:szCs w:val="20"/>
          <w:color w:val="auto"/>
        </w:rPr>
      </w:pPr>
    </w:p>
    <w:p>
      <w:pPr>
        <w:ind w:right="340"/>
        <w:spacing w:after="0" w:line="316" w:lineRule="auto"/>
        <w:rPr>
          <w:rFonts w:ascii="Arial" w:cs="Arial" w:eastAsia="Arial" w:hAnsi="Arial"/>
          <w:sz w:val="20"/>
          <w:szCs w:val="20"/>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30" w:lineRule="exact"/>
        <w:rPr>
          <w:sz w:val="24"/>
          <w:szCs w:val="24"/>
          <w:color w:val="auto"/>
        </w:rPr>
      </w:pPr>
    </w:p>
    <w:p>
      <w:pPr>
        <w:jc w:val="both"/>
        <w:spacing w:after="0" w:line="250" w:lineRule="auto"/>
        <w:rPr>
          <w:sz w:val="20"/>
          <w:szCs w:val="20"/>
          <w:color w:val="auto"/>
        </w:rPr>
      </w:pPr>
      <w:r>
        <w:rPr>
          <w:rFonts w:ascii="Arial" w:cs="Arial" w:eastAsia="Arial" w:hAnsi="Arial"/>
          <w:sz w:val="20"/>
          <w:szCs w:val="20"/>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80" w:lineRule="exact"/>
        <w:rPr>
          <w:sz w:val="24"/>
          <w:szCs w:val="24"/>
          <w:color w:val="auto"/>
        </w:rPr>
      </w:pPr>
    </w:p>
    <w:p>
      <w:pPr>
        <w:ind w:right="280"/>
        <w:spacing w:after="0" w:line="267" w:lineRule="auto"/>
        <w:rPr>
          <w:sz w:val="20"/>
          <w:szCs w:val="20"/>
          <w:color w:val="auto"/>
        </w:rPr>
      </w:pPr>
      <w:r>
        <w:rPr>
          <w:rFonts w:ascii="Arial" w:cs="Arial" w:eastAsia="Arial" w:hAnsi="Arial"/>
          <w:sz w:val="20"/>
          <w:szCs w:val="20"/>
          <w:b w:val="1"/>
          <w:bCs w:val="1"/>
          <w:color w:val="auto"/>
        </w:rPr>
        <w:t>Potential persons who are to respond to the collection of information contained in this form are not required to respond unless the form displays a currently valid OMB control number.</w:t>
      </w:r>
    </w:p>
    <w:p>
      <w:pPr>
        <w:spacing w:after="0" w:line="17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25"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2"/>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LLC</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2"/>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2"/>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3"/>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3,813,324</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3,813,324</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3,813,324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13.9%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OO, IA</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33"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5"/>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Oleg Nodelman</w:t>
      </w:r>
    </w:p>
    <w:p>
      <w:pPr>
        <w:spacing w:after="0" w:line="235" w:lineRule="exact"/>
        <w:rPr>
          <w:rFonts w:ascii="Arial" w:cs="Arial" w:eastAsia="Arial" w:hAnsi="Arial"/>
          <w:sz w:val="20"/>
          <w:szCs w:val="20"/>
          <w:color w:val="auto"/>
        </w:rPr>
      </w:pPr>
    </w:p>
    <w:p>
      <w:pPr>
        <w:ind w:left="860" w:hanging="204"/>
        <w:spacing w:after="0"/>
        <w:tabs>
          <w:tab w:leader="none" w:pos="860" w:val="left"/>
        </w:tabs>
        <w:numPr>
          <w:ilvl w:val="0"/>
          <w:numId w:val="5"/>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5"/>
        </w:numPr>
        <w:rPr>
          <w:rFonts w:ascii="Arial" w:cs="Arial" w:eastAsia="Arial" w:hAnsi="Arial"/>
          <w:sz w:val="20"/>
          <w:szCs w:val="20"/>
          <w:color w:val="auto"/>
        </w:rPr>
      </w:pPr>
      <w:r>
        <w:rPr>
          <w:rFonts w:ascii="Arial" w:cs="Arial" w:eastAsia="Arial" w:hAnsi="Arial"/>
          <w:sz w:val="20"/>
          <w:szCs w:val="20"/>
          <w:u w:val="single" w:color="auto"/>
          <w:color w:val="auto"/>
        </w:rPr>
        <w:t>X</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(b)</w:t>
      </w:r>
    </w:p>
    <w:p>
      <w:pPr>
        <w:spacing w:after="0" w:line="229" w:lineRule="exact"/>
        <w:rPr>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6"/>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United States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11"/>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Borders>
              <w:bottom w:val="single" w:sz="8" w:color="auto"/>
            </w:tcBorders>
          </w:tcPr>
          <w:p>
            <w:pPr>
              <w:spacing w:after="0"/>
              <w:rPr>
                <w:sz w:val="9"/>
                <w:szCs w:val="9"/>
                <w:color w:val="auto"/>
              </w:rPr>
            </w:pPr>
          </w:p>
        </w:tc>
        <w:tc>
          <w:tcPr>
            <w:tcW w:w="88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8"/>
        </w:trPr>
        <w:tc>
          <w:tcPr>
            <w:tcW w:w="2160" w:type="dxa"/>
            <w:vAlign w:val="bottom"/>
            <w:vMerge w:val="continue"/>
          </w:tcPr>
          <w:p>
            <w:pPr>
              <w:spacing w:after="0"/>
              <w:rPr>
                <w:sz w:val="8"/>
                <w:szCs w:val="8"/>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3,813,324</w:t>
            </w:r>
          </w:p>
        </w:tc>
        <w:tc>
          <w:tcPr>
            <w:tcW w:w="0" w:type="dxa"/>
            <w:vAlign w:val="bottom"/>
          </w:tcPr>
          <w:p>
            <w:pPr>
              <w:spacing w:after="0"/>
              <w:rPr>
                <w:sz w:val="1"/>
                <w:szCs w:val="1"/>
                <w:color w:val="auto"/>
              </w:rPr>
            </w:pPr>
          </w:p>
        </w:tc>
      </w:tr>
      <w:tr>
        <w:trPr>
          <w:trHeight w:val="152"/>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vMerge w:val="continue"/>
          </w:tcPr>
          <w:p>
            <w:pPr>
              <w:spacing w:after="0"/>
              <w:rPr>
                <w:sz w:val="13"/>
                <w:szCs w:val="13"/>
                <w:color w:val="auto"/>
              </w:rPr>
            </w:pPr>
          </w:p>
        </w:tc>
        <w:tc>
          <w:tcPr>
            <w:tcW w:w="8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2160" w:type="dxa"/>
            <w:vAlign w:val="bottom"/>
          </w:tcPr>
          <w:p>
            <w:pPr>
              <w:ind w:left="100"/>
              <w:spacing w:after="0" w:line="207" w:lineRule="exact"/>
              <w:rPr>
                <w:sz w:val="20"/>
                <w:szCs w:val="20"/>
                <w:color w:val="auto"/>
              </w:rPr>
            </w:pPr>
            <w:r>
              <w:rPr>
                <w:rFonts w:ascii="Arial" w:cs="Arial" w:eastAsia="Arial" w:hAnsi="Arial"/>
                <w:sz w:val="20"/>
                <w:szCs w:val="20"/>
                <w:color w:val="auto"/>
              </w:rPr>
              <w:t>Owned by</w:t>
            </w:r>
          </w:p>
        </w:tc>
        <w:tc>
          <w:tcPr>
            <w:tcW w:w="260" w:type="dxa"/>
            <w:vAlign w:val="bottom"/>
          </w:tcPr>
          <w:p>
            <w:pPr>
              <w:jc w:val="right"/>
              <w:spacing w:after="0" w:line="207" w:lineRule="exact"/>
              <w:rPr>
                <w:sz w:val="20"/>
                <w:szCs w:val="20"/>
                <w:color w:val="auto"/>
              </w:rPr>
            </w:pPr>
            <w:r>
              <w:rPr>
                <w:rFonts w:ascii="Arial" w:cs="Arial" w:eastAsia="Arial" w:hAnsi="Arial"/>
                <w:sz w:val="20"/>
                <w:szCs w:val="20"/>
                <w:color w:val="auto"/>
              </w:rPr>
              <w:t>7.</w:t>
            </w:r>
          </w:p>
        </w:tc>
        <w:tc>
          <w:tcPr>
            <w:tcW w:w="8820" w:type="dxa"/>
            <w:vAlign w:val="bottom"/>
          </w:tcPr>
          <w:p>
            <w:pPr>
              <w:ind w:left="20"/>
              <w:spacing w:after="0" w:line="207" w:lineRule="exact"/>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2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Each Reporting</w:t>
            </w:r>
          </w:p>
        </w:tc>
        <w:tc>
          <w:tcPr>
            <w:tcW w:w="260" w:type="dxa"/>
            <w:vAlign w:val="bottom"/>
            <w:tcBorders>
              <w:bottom w:val="single" w:sz="8" w:color="auto"/>
            </w:tcBorders>
          </w:tcPr>
          <w:p>
            <w:pPr>
              <w:spacing w:after="0"/>
              <w:rPr>
                <w:sz w:val="10"/>
                <w:szCs w:val="10"/>
                <w:color w:val="auto"/>
              </w:rPr>
            </w:pPr>
          </w:p>
        </w:tc>
        <w:tc>
          <w:tcPr>
            <w:tcW w:w="88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2160" w:type="dxa"/>
            <w:vAlign w:val="bottom"/>
            <w:vMerge w:val="continue"/>
          </w:tcPr>
          <w:p>
            <w:pPr>
              <w:spacing w:after="0"/>
              <w:rPr>
                <w:sz w:val="7"/>
                <w:szCs w:val="7"/>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8.</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3,813,324</w:t>
            </w:r>
          </w:p>
        </w:tc>
        <w:tc>
          <w:tcPr>
            <w:tcW w:w="0" w:type="dxa"/>
            <w:vAlign w:val="bottom"/>
          </w:tcPr>
          <w:p>
            <w:pPr>
              <w:spacing w:after="0"/>
              <w:rPr>
                <w:sz w:val="1"/>
                <w:szCs w:val="1"/>
                <w:color w:val="auto"/>
              </w:rPr>
            </w:pPr>
          </w:p>
        </w:tc>
      </w:tr>
      <w:tr>
        <w:trPr>
          <w:trHeight w:val="165"/>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vMerge w:val="continue"/>
          </w:tcPr>
          <w:p>
            <w:pPr>
              <w:spacing w:after="0"/>
              <w:rPr>
                <w:sz w:val="14"/>
                <w:szCs w:val="14"/>
                <w:color w:val="auto"/>
              </w:rPr>
            </w:pPr>
          </w:p>
        </w:tc>
        <w:tc>
          <w:tcPr>
            <w:tcW w:w="88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81"/>
        </w:trPr>
        <w:tc>
          <w:tcPr>
            <w:tcW w:w="2160" w:type="dxa"/>
            <w:vAlign w:val="bottom"/>
            <w:vMerge w:val="continue"/>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3,813,324</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13.9%</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7"/>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IN, HC</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33"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Names of Reporting Persons.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EcoR1 Capital Fund Qualified, L.P.</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Check the Appropriate Box if a Member of a Group (See Instructions)</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1580" w:hanging="276"/>
        <w:spacing w:after="0"/>
        <w:tabs>
          <w:tab w:leader="none" w:pos="1580" w:val="left"/>
        </w:tabs>
        <w:numPr>
          <w:ilvl w:val="1"/>
          <w:numId w:val="8"/>
        </w:numPr>
        <w:rPr>
          <w:rFonts w:ascii="Arial" w:cs="Arial" w:eastAsia="Arial" w:hAnsi="Arial"/>
          <w:sz w:val="20"/>
          <w:szCs w:val="20"/>
          <w:color w:val="auto"/>
        </w:rPr>
      </w:pPr>
      <w:r>
        <w:rPr>
          <w:rFonts w:ascii="Arial" w:cs="Arial" w:eastAsia="Arial" w:hAnsi="Arial"/>
          <w:sz w:val="20"/>
          <w:szCs w:val="20"/>
          <w:color w:val="auto"/>
        </w:rPr>
        <w:t>______</w:t>
      </w:r>
    </w:p>
    <w:p>
      <w:pPr>
        <w:spacing w:after="0" w:line="229" w:lineRule="exact"/>
        <w:rPr>
          <w:rFonts w:ascii="Arial" w:cs="Arial" w:eastAsia="Arial" w:hAnsi="Arial"/>
          <w:sz w:val="20"/>
          <w:szCs w:val="20"/>
          <w:color w:val="auto"/>
        </w:rPr>
      </w:pPr>
    </w:p>
    <w:p>
      <w:pPr>
        <w:ind w:left="860" w:hanging="204"/>
        <w:spacing w:after="0"/>
        <w:tabs>
          <w:tab w:leader="none" w:pos="860" w:val="left"/>
        </w:tabs>
        <w:numPr>
          <w:ilvl w:val="0"/>
          <w:numId w:val="8"/>
        </w:numPr>
        <w:rPr>
          <w:rFonts w:ascii="Arial" w:cs="Arial" w:eastAsia="Arial" w:hAnsi="Arial"/>
          <w:sz w:val="20"/>
          <w:szCs w:val="20"/>
          <w:color w:val="auto"/>
        </w:rPr>
      </w:pPr>
      <w:r>
        <w:rPr>
          <w:rFonts w:ascii="Arial" w:cs="Arial" w:eastAsia="Arial" w:hAnsi="Arial"/>
          <w:sz w:val="20"/>
          <w:szCs w:val="20"/>
          <w:color w:val="auto"/>
        </w:rPr>
        <w:t>SEC Use Only</w:t>
      </w:r>
    </w:p>
    <w:p>
      <w:pPr>
        <w:spacing w:after="0" w:line="200" w:lineRule="exact"/>
        <w:rPr>
          <w:rFonts w:ascii="Arial" w:cs="Arial" w:eastAsia="Arial" w:hAnsi="Arial"/>
          <w:sz w:val="20"/>
          <w:szCs w:val="20"/>
          <w:color w:val="auto"/>
        </w:rPr>
      </w:pPr>
    </w:p>
    <w:p>
      <w:pPr>
        <w:spacing w:after="0" w:line="252" w:lineRule="exact"/>
        <w:rPr>
          <w:rFonts w:ascii="Arial" w:cs="Arial" w:eastAsia="Arial" w:hAnsi="Arial"/>
          <w:sz w:val="20"/>
          <w:szCs w:val="20"/>
          <w:color w:val="auto"/>
        </w:rPr>
      </w:pPr>
    </w:p>
    <w:p>
      <w:pPr>
        <w:ind w:left="1300" w:hanging="644"/>
        <w:spacing w:after="0"/>
        <w:tabs>
          <w:tab w:leader="none" w:pos="1300" w:val="left"/>
        </w:tabs>
        <w:numPr>
          <w:ilvl w:val="0"/>
          <w:numId w:val="8"/>
        </w:numPr>
        <w:rPr>
          <w:rFonts w:ascii="Arial" w:cs="Arial" w:eastAsia="Arial" w:hAnsi="Arial"/>
          <w:sz w:val="20"/>
          <w:szCs w:val="20"/>
          <w:color w:val="auto"/>
        </w:rPr>
      </w:pPr>
      <w:r>
        <w:rPr>
          <w:rFonts w:ascii="Arial" w:cs="Arial" w:eastAsia="Arial" w:hAnsi="Arial"/>
          <w:sz w:val="20"/>
          <w:szCs w:val="20"/>
          <w:color w:val="auto"/>
        </w:rPr>
        <w:t xml:space="preserve">Citizenship or Place of Organization </w:t>
      </w:r>
      <w:r>
        <w:rPr>
          <w:rFonts w:ascii="Arial" w:cs="Arial" w:eastAsia="Arial" w:hAnsi="Arial"/>
          <w:sz w:val="20"/>
          <w:szCs w:val="20"/>
          <w:b w:val="1"/>
          <w:bCs w:val="1"/>
          <w:color w:val="auto"/>
        </w:rPr>
        <w:t>Delaware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160" w:type="dxa"/>
            <w:vAlign w:val="bottom"/>
            <w:tcBorders>
              <w:top w:val="single" w:sz="8" w:color="auto"/>
            </w:tcBorders>
          </w:tcPr>
          <w:p>
            <w:pPr>
              <w:ind w:left="100"/>
              <w:spacing w:after="0" w:line="227" w:lineRule="exact"/>
              <w:rPr>
                <w:sz w:val="20"/>
                <w:szCs w:val="20"/>
                <w:color w:val="auto"/>
              </w:rPr>
            </w:pPr>
            <w:r>
              <w:rPr>
                <w:rFonts w:ascii="Arial" w:cs="Arial" w:eastAsia="Arial" w:hAnsi="Arial"/>
                <w:sz w:val="20"/>
                <w:szCs w:val="20"/>
                <w:color w:val="auto"/>
              </w:rPr>
              <w:t>Number of</w:t>
            </w:r>
          </w:p>
        </w:tc>
        <w:tc>
          <w:tcPr>
            <w:tcW w:w="260" w:type="dxa"/>
            <w:vAlign w:val="bottom"/>
            <w:tcBorders>
              <w:top w:val="single" w:sz="8" w:color="auto"/>
            </w:tcBorders>
          </w:tcPr>
          <w:p>
            <w:pPr>
              <w:jc w:val="right"/>
              <w:spacing w:after="0" w:line="227" w:lineRule="exact"/>
              <w:rPr>
                <w:sz w:val="20"/>
                <w:szCs w:val="20"/>
                <w:color w:val="auto"/>
              </w:rPr>
            </w:pPr>
            <w:r>
              <w:rPr>
                <w:rFonts w:ascii="Arial" w:cs="Arial" w:eastAsia="Arial" w:hAnsi="Arial"/>
                <w:sz w:val="20"/>
                <w:szCs w:val="20"/>
                <w:color w:val="auto"/>
              </w:rPr>
              <w:t>5.</w:t>
            </w:r>
          </w:p>
        </w:tc>
        <w:tc>
          <w:tcPr>
            <w:tcW w:w="8820" w:type="dxa"/>
            <w:vAlign w:val="bottom"/>
            <w:tcBorders>
              <w:top w:val="single" w:sz="8" w:color="auto"/>
            </w:tcBorders>
          </w:tcPr>
          <w:p>
            <w:pPr>
              <w:ind w:left="20"/>
              <w:spacing w:after="0" w:line="227" w:lineRule="exact"/>
              <w:rPr>
                <w:sz w:val="20"/>
                <w:szCs w:val="20"/>
                <w:color w:val="auto"/>
              </w:rPr>
            </w:pPr>
            <w:r>
              <w:rPr>
                <w:rFonts w:ascii="Arial" w:cs="Arial" w:eastAsia="Arial" w:hAnsi="Arial"/>
                <w:sz w:val="20"/>
                <w:szCs w:val="20"/>
                <w:color w:val="auto"/>
              </w:rPr>
              <w:t xml:space="preserve">Sole Voting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229"/>
        </w:trPr>
        <w:tc>
          <w:tcPr>
            <w:tcW w:w="2160" w:type="dxa"/>
            <w:vAlign w:val="bottom"/>
          </w:tcPr>
          <w:p>
            <w:pPr>
              <w:ind w:left="100"/>
              <w:spacing w:after="0"/>
              <w:rPr>
                <w:sz w:val="20"/>
                <w:szCs w:val="20"/>
                <w:color w:val="auto"/>
              </w:rPr>
            </w:pPr>
            <w:r>
              <w:rPr>
                <w:rFonts w:ascii="Arial" w:cs="Arial" w:eastAsia="Arial" w:hAnsi="Arial"/>
                <w:sz w:val="20"/>
                <w:szCs w:val="20"/>
                <w:color w:val="auto"/>
              </w:rPr>
              <w:t>Shares</w:t>
            </w:r>
          </w:p>
        </w:tc>
        <w:tc>
          <w:tcPr>
            <w:tcW w:w="260" w:type="dxa"/>
            <w:vAlign w:val="bottom"/>
          </w:tcPr>
          <w:p>
            <w:pPr>
              <w:spacing w:after="0"/>
              <w:rPr>
                <w:sz w:val="19"/>
                <w:szCs w:val="19"/>
                <w:color w:val="auto"/>
              </w:rPr>
            </w:pPr>
          </w:p>
        </w:tc>
        <w:tc>
          <w:tcPr>
            <w:tcW w:w="8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Beneficially</w:t>
            </w:r>
          </w:p>
        </w:tc>
        <w:tc>
          <w:tcPr>
            <w:tcW w:w="260" w:type="dxa"/>
            <w:vAlign w:val="bottom"/>
            <w:tcBorders>
              <w:bottom w:val="single" w:sz="8" w:color="auto"/>
            </w:tcBorders>
          </w:tcPr>
          <w:p>
            <w:pPr>
              <w:spacing w:after="0"/>
              <w:rPr>
                <w:sz w:val="7"/>
                <w:szCs w:val="7"/>
                <w:color w:val="auto"/>
              </w:rPr>
            </w:pPr>
          </w:p>
        </w:tc>
        <w:tc>
          <w:tcPr>
            <w:tcW w:w="88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160" w:type="dxa"/>
            <w:vAlign w:val="bottom"/>
            <w:vMerge w:val="continue"/>
          </w:tcPr>
          <w:p>
            <w:pPr>
              <w:spacing w:after="0"/>
              <w:rPr>
                <w:sz w:val="10"/>
                <w:szCs w:val="10"/>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6.</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Shared Voting Power </w:t>
            </w:r>
            <w:r>
              <w:rPr>
                <w:rFonts w:ascii="Arial" w:cs="Arial" w:eastAsia="Arial" w:hAnsi="Arial"/>
                <w:sz w:val="20"/>
                <w:szCs w:val="20"/>
                <w:b w:val="1"/>
                <w:bCs w:val="1"/>
                <w:color w:val="auto"/>
              </w:rPr>
              <w:t>3,212,344</w:t>
            </w:r>
          </w:p>
        </w:tc>
        <w:tc>
          <w:tcPr>
            <w:tcW w:w="0" w:type="dxa"/>
            <w:vAlign w:val="bottom"/>
          </w:tcPr>
          <w:p>
            <w:pPr>
              <w:spacing w:after="0"/>
              <w:rPr>
                <w:sz w:val="1"/>
                <w:szCs w:val="1"/>
                <w:color w:val="auto"/>
              </w:rPr>
            </w:pPr>
          </w:p>
        </w:tc>
      </w:tr>
      <w:tr>
        <w:trPr>
          <w:trHeight w:val="137"/>
        </w:trPr>
        <w:tc>
          <w:tcPr>
            <w:tcW w:w="2160" w:type="dxa"/>
            <w:vAlign w:val="bottom"/>
            <w:vMerge w:val="restart"/>
          </w:tcPr>
          <w:p>
            <w:pPr>
              <w:ind w:left="100"/>
              <w:spacing w:after="0"/>
              <w:rPr>
                <w:sz w:val="20"/>
                <w:szCs w:val="20"/>
                <w:color w:val="auto"/>
              </w:rPr>
            </w:pPr>
            <w:r>
              <w:rPr>
                <w:rFonts w:ascii="Arial" w:cs="Arial" w:eastAsia="Arial" w:hAnsi="Arial"/>
                <w:sz w:val="20"/>
                <w:szCs w:val="20"/>
                <w:color w:val="auto"/>
              </w:rPr>
              <w:t>Owned by</w:t>
            </w:r>
          </w:p>
        </w:tc>
        <w:tc>
          <w:tcPr>
            <w:tcW w:w="260" w:type="dxa"/>
            <w:vAlign w:val="bottom"/>
            <w:tcBorders>
              <w:bottom w:val="single" w:sz="8" w:color="auto"/>
            </w:tcBorders>
            <w:vMerge w:val="continue"/>
          </w:tcPr>
          <w:p>
            <w:pPr>
              <w:spacing w:after="0"/>
              <w:rPr>
                <w:sz w:val="11"/>
                <w:szCs w:val="11"/>
                <w:color w:val="auto"/>
              </w:rPr>
            </w:pPr>
          </w:p>
        </w:tc>
        <w:tc>
          <w:tcPr>
            <w:tcW w:w="88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
        </w:trPr>
        <w:tc>
          <w:tcPr>
            <w:tcW w:w="2160" w:type="dxa"/>
            <w:vAlign w:val="bottom"/>
            <w:vMerge w:val="continue"/>
          </w:tcPr>
          <w:p>
            <w:pPr>
              <w:spacing w:after="0"/>
              <w:rPr>
                <w:sz w:val="6"/>
                <w:szCs w:val="6"/>
                <w:color w:val="auto"/>
              </w:rPr>
            </w:pPr>
          </w:p>
        </w:tc>
        <w:tc>
          <w:tcPr>
            <w:tcW w:w="260" w:type="dxa"/>
            <w:vAlign w:val="bottom"/>
            <w:vMerge w:val="restart"/>
          </w:tcPr>
          <w:p>
            <w:pPr>
              <w:jc w:val="right"/>
              <w:spacing w:after="0"/>
              <w:rPr>
                <w:sz w:val="20"/>
                <w:szCs w:val="20"/>
                <w:color w:val="auto"/>
              </w:rPr>
            </w:pPr>
            <w:r>
              <w:rPr>
                <w:rFonts w:ascii="Arial" w:cs="Arial" w:eastAsia="Arial" w:hAnsi="Arial"/>
                <w:sz w:val="20"/>
                <w:szCs w:val="20"/>
                <w:color w:val="auto"/>
              </w:rPr>
              <w:t>7.</w:t>
            </w:r>
          </w:p>
        </w:tc>
        <w:tc>
          <w:tcPr>
            <w:tcW w:w="8820" w:type="dxa"/>
            <w:vAlign w:val="bottom"/>
            <w:vMerge w:val="restart"/>
          </w:tcPr>
          <w:p>
            <w:pPr>
              <w:ind w:left="20"/>
              <w:spacing w:after="0"/>
              <w:rPr>
                <w:sz w:val="20"/>
                <w:szCs w:val="20"/>
                <w:color w:val="auto"/>
              </w:rPr>
            </w:pPr>
            <w:r>
              <w:rPr>
                <w:rFonts w:ascii="Arial" w:cs="Arial" w:eastAsia="Arial" w:hAnsi="Arial"/>
                <w:sz w:val="20"/>
                <w:szCs w:val="20"/>
                <w:color w:val="auto"/>
              </w:rPr>
              <w:t xml:space="preserve">Sole Dispositive Power </w:t>
            </w:r>
            <w:r>
              <w:rPr>
                <w:rFonts w:ascii="Arial" w:cs="Arial" w:eastAsia="Arial" w:hAnsi="Arial"/>
                <w:sz w:val="20"/>
                <w:szCs w:val="20"/>
                <w:b w:val="1"/>
                <w:bCs w:val="1"/>
                <w:color w:val="auto"/>
              </w:rPr>
              <w:t>-0-</w:t>
            </w:r>
          </w:p>
        </w:tc>
        <w:tc>
          <w:tcPr>
            <w:tcW w:w="0" w:type="dxa"/>
            <w:vAlign w:val="bottom"/>
          </w:tcPr>
          <w:p>
            <w:pPr>
              <w:spacing w:after="0"/>
              <w:rPr>
                <w:sz w:val="1"/>
                <w:szCs w:val="1"/>
                <w:color w:val="auto"/>
              </w:rPr>
            </w:pPr>
          </w:p>
        </w:tc>
      </w:tr>
      <w:tr>
        <w:trPr>
          <w:trHeight w:val="197"/>
        </w:trPr>
        <w:tc>
          <w:tcPr>
            <w:tcW w:w="2160" w:type="dxa"/>
            <w:vAlign w:val="bottom"/>
          </w:tcPr>
          <w:p>
            <w:pPr>
              <w:ind w:left="100"/>
              <w:spacing w:after="0" w:line="173" w:lineRule="exact"/>
              <w:rPr>
                <w:sz w:val="20"/>
                <w:szCs w:val="20"/>
                <w:color w:val="auto"/>
              </w:rPr>
            </w:pPr>
            <w:r>
              <w:rPr>
                <w:rFonts w:ascii="Arial" w:cs="Arial" w:eastAsia="Arial" w:hAnsi="Arial"/>
                <w:sz w:val="19"/>
                <w:szCs w:val="19"/>
                <w:color w:val="auto"/>
              </w:rPr>
              <w:t>Each Reporting</w:t>
            </w:r>
          </w:p>
        </w:tc>
        <w:tc>
          <w:tcPr>
            <w:tcW w:w="260" w:type="dxa"/>
            <w:vAlign w:val="bottom"/>
            <w:tcBorders>
              <w:bottom w:val="single" w:sz="8" w:color="auto"/>
            </w:tcBorders>
            <w:vMerge w:val="continue"/>
          </w:tcPr>
          <w:p>
            <w:pPr>
              <w:spacing w:after="0"/>
              <w:rPr>
                <w:sz w:val="16"/>
                <w:szCs w:val="16"/>
                <w:color w:val="auto"/>
              </w:rPr>
            </w:pPr>
          </w:p>
        </w:tc>
        <w:tc>
          <w:tcPr>
            <w:tcW w:w="8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160" w:type="dxa"/>
            <w:vAlign w:val="bottom"/>
          </w:tcPr>
          <w:p>
            <w:pPr>
              <w:ind w:left="100"/>
              <w:spacing w:after="0"/>
              <w:rPr>
                <w:sz w:val="20"/>
                <w:szCs w:val="20"/>
                <w:color w:val="auto"/>
              </w:rPr>
            </w:pPr>
            <w:r>
              <w:rPr>
                <w:rFonts w:ascii="Arial" w:cs="Arial" w:eastAsia="Arial" w:hAnsi="Arial"/>
                <w:sz w:val="20"/>
                <w:szCs w:val="20"/>
                <w:color w:val="auto"/>
              </w:rPr>
              <w:t>Person With:</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20"/>
                <w:szCs w:val="20"/>
                <w:color w:val="auto"/>
              </w:rPr>
              <w:t>8.</w:t>
            </w:r>
          </w:p>
        </w:tc>
        <w:tc>
          <w:tcPr>
            <w:tcW w:w="8820" w:type="dxa"/>
            <w:vAlign w:val="bottom"/>
            <w:tcBorders>
              <w:bottom w:val="single" w:sz="8" w:color="auto"/>
            </w:tcBorders>
          </w:tcPr>
          <w:p>
            <w:pPr>
              <w:ind w:left="20"/>
              <w:spacing w:after="0"/>
              <w:rPr>
                <w:sz w:val="20"/>
                <w:szCs w:val="20"/>
                <w:color w:val="auto"/>
              </w:rPr>
            </w:pPr>
            <w:r>
              <w:rPr>
                <w:rFonts w:ascii="Arial" w:cs="Arial" w:eastAsia="Arial" w:hAnsi="Arial"/>
                <w:sz w:val="20"/>
                <w:szCs w:val="20"/>
                <w:color w:val="auto"/>
              </w:rPr>
              <w:t xml:space="preserve">Shared Dispositive Power </w:t>
            </w:r>
            <w:r>
              <w:rPr>
                <w:rFonts w:ascii="Arial" w:cs="Arial" w:eastAsia="Arial" w:hAnsi="Arial"/>
                <w:sz w:val="20"/>
                <w:szCs w:val="20"/>
                <w:b w:val="1"/>
                <w:bCs w:val="1"/>
                <w:color w:val="auto"/>
              </w:rPr>
              <w:t>3,212,344</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Aggregate Amount Beneficially Owned by Each Reporting Person </w:t>
      </w:r>
      <w:r>
        <w:rPr>
          <w:rFonts w:ascii="Arial" w:cs="Arial" w:eastAsia="Arial" w:hAnsi="Arial"/>
          <w:sz w:val="20"/>
          <w:szCs w:val="20"/>
          <w:b w:val="1"/>
          <w:bCs w:val="1"/>
          <w:color w:val="auto"/>
        </w:rPr>
        <w:t>3,212,344</w:t>
      </w:r>
    </w:p>
    <w:p>
      <w:pPr>
        <w:spacing w:after="0" w:line="235" w:lineRule="exact"/>
        <w:rPr>
          <w:rFonts w:ascii="Arial" w:cs="Arial" w:eastAsia="Arial" w:hAnsi="Arial"/>
          <w:sz w:val="20"/>
          <w:szCs w:val="20"/>
          <w:color w:val="auto"/>
        </w:rPr>
      </w:pPr>
    </w:p>
    <w:p>
      <w:pPr>
        <w:ind w:left="1300" w:right="4100" w:hanging="644"/>
        <w:spacing w:after="0" w:line="260" w:lineRule="auto"/>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Check if the Aggregate Amount in Row (9) Excludes Certain Shares (See Instructions) </w:t>
      </w:r>
      <w:r>
        <w:rPr>
          <w:rFonts w:ascii="Arial" w:cs="Arial" w:eastAsia="Arial" w:hAnsi="Arial"/>
          <w:sz w:val="20"/>
          <w:szCs w:val="20"/>
          <w:b w:val="1"/>
          <w:bCs w:val="1"/>
          <w:color w:val="auto"/>
        </w:rPr>
        <w:t>______</w:t>
      </w:r>
    </w:p>
    <w:p>
      <w:pPr>
        <w:spacing w:after="0" w:line="184"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Percent of Class Represented by Amount in Row (9) </w:t>
      </w:r>
      <w:r>
        <w:rPr>
          <w:rFonts w:ascii="Arial" w:cs="Arial" w:eastAsia="Arial" w:hAnsi="Arial"/>
          <w:sz w:val="20"/>
          <w:szCs w:val="20"/>
          <w:b w:val="1"/>
          <w:bCs w:val="1"/>
          <w:color w:val="auto"/>
        </w:rPr>
        <w:t>11.8%</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9"/>
        </w:numPr>
        <w:rPr>
          <w:rFonts w:ascii="Arial" w:cs="Arial" w:eastAsia="Arial" w:hAnsi="Arial"/>
          <w:sz w:val="20"/>
          <w:szCs w:val="20"/>
          <w:color w:val="auto"/>
        </w:rPr>
      </w:pPr>
      <w:r>
        <w:rPr>
          <w:rFonts w:ascii="Arial" w:cs="Arial" w:eastAsia="Arial" w:hAnsi="Arial"/>
          <w:sz w:val="20"/>
          <w:szCs w:val="20"/>
          <w:color w:val="auto"/>
        </w:rPr>
        <w:t xml:space="preserve">Type of Reporting Person (See Instructions) </w:t>
      </w:r>
      <w:r>
        <w:rPr>
          <w:rFonts w:ascii="Arial" w:cs="Arial" w:eastAsia="Arial" w:hAnsi="Arial"/>
          <w:sz w:val="20"/>
          <w:szCs w:val="20"/>
          <w:b w:val="1"/>
          <w:bCs w:val="1"/>
          <w:color w:val="auto"/>
        </w:rPr>
        <w:t>PN</w:t>
      </w: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33"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6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1.</w:t>
      </w:r>
    </w:p>
    <w:p>
      <w:pPr>
        <w:spacing w:after="0" w:line="222" w:lineRule="exact"/>
        <w:rPr>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Name of Issuer</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AnaptysBio, Inc.</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0"/>
        </w:numPr>
        <w:rPr>
          <w:rFonts w:ascii="Arial" w:cs="Arial" w:eastAsia="Arial" w:hAnsi="Arial"/>
          <w:sz w:val="20"/>
          <w:szCs w:val="20"/>
          <w:color w:val="auto"/>
        </w:rPr>
      </w:pPr>
      <w:r>
        <w:rPr>
          <w:rFonts w:ascii="Arial" w:cs="Arial" w:eastAsia="Arial" w:hAnsi="Arial"/>
          <w:sz w:val="20"/>
          <w:szCs w:val="20"/>
          <w:color w:val="auto"/>
        </w:rPr>
        <w:t>Address of Issuer’s Principal Executive Offices</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10421 Pacific Center Court, Suite 200, San Diego, CA 92121</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________________________________________________________________________</w:t>
      </w:r>
    </w:p>
    <w:p>
      <w:pPr>
        <w:spacing w:after="0"/>
        <w:tabs>
          <w:tab w:leader="none" w:pos="1280" w:val="left"/>
        </w:tabs>
        <w:rPr>
          <w:sz w:val="20"/>
          <w:szCs w:val="20"/>
          <w:color w:val="auto"/>
        </w:rPr>
      </w:pPr>
      <w:r>
        <w:rPr>
          <w:rFonts w:ascii="Arial" w:cs="Arial" w:eastAsia="Arial" w:hAnsi="Arial"/>
          <w:sz w:val="20"/>
          <w:szCs w:val="20"/>
          <w:b w:val="1"/>
          <w:bCs w:val="1"/>
          <w:color w:val="auto"/>
        </w:rPr>
        <w:t>Item</w:t>
      </w:r>
      <w:r>
        <w:rPr>
          <w:sz w:val="20"/>
          <w:szCs w:val="20"/>
          <w:color w:val="auto"/>
        </w:rPr>
        <w:tab/>
      </w:r>
      <w:r>
        <w:rPr>
          <w:rFonts w:ascii="Arial" w:cs="Arial" w:eastAsia="Arial" w:hAnsi="Arial"/>
          <w:sz w:val="20"/>
          <w:szCs w:val="20"/>
          <w:b w:val="1"/>
          <w:bCs w:val="1"/>
          <w:color w:val="auto"/>
        </w:rPr>
        <w:t>2.</w:t>
      </w:r>
    </w:p>
    <w:p>
      <w:pPr>
        <w:spacing w:after="0" w:line="200" w:lineRule="exact"/>
        <w:rPr>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names of the persons filing this statement are:</w:t>
      </w:r>
    </w:p>
    <w:p>
      <w:pPr>
        <w:spacing w:after="0" w:line="223" w:lineRule="exact"/>
        <w:rPr>
          <w:rFonts w:ascii="Arial" w:cs="Arial" w:eastAsia="Arial" w:hAnsi="Arial"/>
          <w:sz w:val="20"/>
          <w:szCs w:val="20"/>
          <w:color w:val="auto"/>
        </w:rPr>
      </w:pPr>
    </w:p>
    <w:p>
      <w:pPr>
        <w:ind w:left="1300" w:right="52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EcoR1 Capital Fund Qualified, L.P. (“Qualified Fund”); EcoR1 Capital, LLC (“EcoR1”) and Oleg Nodelman (“Nodelman”) (collectively, the “Filers”).</w:t>
      </w:r>
    </w:p>
    <w:p>
      <w:pPr>
        <w:spacing w:after="0" w:line="176" w:lineRule="exact"/>
        <w:rPr>
          <w:rFonts w:ascii="Arial" w:cs="Arial" w:eastAsia="Arial" w:hAnsi="Arial"/>
          <w:sz w:val="20"/>
          <w:szCs w:val="20"/>
          <w:color w:val="auto"/>
        </w:rPr>
      </w:pPr>
    </w:p>
    <w:p>
      <w:pPr>
        <w:ind w:left="1300"/>
        <w:spacing w:after="0" w:line="265" w:lineRule="auto"/>
        <w:rPr>
          <w:rFonts w:ascii="Arial" w:cs="Arial" w:eastAsia="Arial" w:hAnsi="Arial"/>
          <w:sz w:val="20"/>
          <w:szCs w:val="20"/>
          <w:color w:val="auto"/>
        </w:rPr>
      </w:pPr>
      <w:r>
        <w:rPr>
          <w:rFonts w:ascii="Arial" w:cs="Arial" w:eastAsia="Arial" w:hAnsi="Arial"/>
          <w:sz w:val="19"/>
          <w:szCs w:val="19"/>
          <w:b w:val="1"/>
          <w:bCs w:val="1"/>
          <w:color w:val="auto"/>
        </w:rPr>
        <w:t>Qualified Fund is filing this statement jointly with the other Filers, but not as a member of a group and it expressly disclaims membership in a group. In addition, filing this Schedule 13G on behalf of Qualified Fund should not be construed as an admission that it is, and it disclaims that it is, a beneficial owner, as defined in Rule 13d-3 under the Act, of any of the Stock covered by this Schedule 13G.</w:t>
      </w:r>
    </w:p>
    <w:p>
      <w:pPr>
        <w:spacing w:after="0" w:line="182" w:lineRule="exact"/>
        <w:rPr>
          <w:rFonts w:ascii="Arial" w:cs="Arial" w:eastAsia="Arial" w:hAnsi="Arial"/>
          <w:sz w:val="20"/>
          <w:szCs w:val="20"/>
          <w:color w:val="auto"/>
        </w:rPr>
      </w:pPr>
    </w:p>
    <w:p>
      <w:pPr>
        <w:ind w:left="1300" w:right="180"/>
        <w:spacing w:after="0" w:line="267" w:lineRule="auto"/>
        <w:rPr>
          <w:rFonts w:ascii="Arial" w:cs="Arial" w:eastAsia="Arial" w:hAnsi="Arial"/>
          <w:sz w:val="20"/>
          <w:szCs w:val="20"/>
          <w:color w:val="auto"/>
        </w:rPr>
      </w:pPr>
      <w:r>
        <w:rPr>
          <w:rFonts w:ascii="Arial" w:cs="Arial" w:eastAsia="Arial" w:hAnsi="Arial"/>
          <w:sz w:val="20"/>
          <w:szCs w:val="20"/>
          <w:b w:val="1"/>
          <w:bCs w:val="1"/>
          <w:color w:val="auto"/>
        </w:rPr>
        <w:t>Each Filer also disclaims beneficial ownership of the Stock except to the extent of that person’s pecuniary interest therein.</w:t>
      </w:r>
    </w:p>
    <w:p>
      <w:pPr>
        <w:spacing w:after="0" w:line="200" w:lineRule="exact"/>
        <w:rPr>
          <w:rFonts w:ascii="Arial" w:cs="Arial" w:eastAsia="Arial" w:hAnsi="Arial"/>
          <w:sz w:val="20"/>
          <w:szCs w:val="20"/>
          <w:color w:val="auto"/>
        </w:rPr>
      </w:pPr>
    </w:p>
    <w:p>
      <w:pPr>
        <w:spacing w:after="0" w:line="212"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The principal business office of the Filers is located at:</w:t>
      </w:r>
    </w:p>
    <w:p>
      <w:pPr>
        <w:spacing w:after="0" w:line="223" w:lineRule="exact"/>
        <w:rPr>
          <w:rFonts w:ascii="Arial" w:cs="Arial" w:eastAsia="Arial" w:hAnsi="Arial"/>
          <w:sz w:val="20"/>
          <w:szCs w:val="20"/>
          <w:color w:val="auto"/>
        </w:rPr>
      </w:pPr>
    </w:p>
    <w:p>
      <w:pPr>
        <w:ind w:left="1300"/>
        <w:spacing w:after="0"/>
        <w:rPr>
          <w:rFonts w:ascii="Arial" w:cs="Arial" w:eastAsia="Arial" w:hAnsi="Arial"/>
          <w:sz w:val="20"/>
          <w:szCs w:val="20"/>
          <w:color w:val="auto"/>
        </w:rPr>
      </w:pPr>
      <w:r>
        <w:rPr>
          <w:rFonts w:ascii="Arial" w:cs="Arial" w:eastAsia="Arial" w:hAnsi="Arial"/>
          <w:sz w:val="20"/>
          <w:szCs w:val="20"/>
          <w:b w:val="1"/>
          <w:bCs w:val="1"/>
          <w:color w:val="auto"/>
        </w:rPr>
        <w:t>357 Tehama Street #3, San Francisco, CA 94103</w:t>
      </w:r>
    </w:p>
    <w:p>
      <w:pPr>
        <w:spacing w:after="0" w:line="235"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For citizenship of Filers, see Item 4 of the cover sheet for each Filer.</w:t>
      </w:r>
    </w:p>
    <w:p>
      <w:pPr>
        <w:spacing w:after="0" w:line="223"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This statement relates to the Issuer’s </w:t>
      </w:r>
      <w:r>
        <w:rPr>
          <w:rFonts w:ascii="Arial" w:cs="Arial" w:eastAsia="Arial" w:hAnsi="Arial"/>
          <w:sz w:val="20"/>
          <w:szCs w:val="20"/>
          <w:b w:val="1"/>
          <w:bCs w:val="1"/>
          <w:color w:val="auto"/>
        </w:rPr>
        <w:t>Common Stock, $0.001 par value</w:t>
      </w:r>
      <w:r>
        <w:rPr>
          <w:rFonts w:ascii="Arial" w:cs="Arial" w:eastAsia="Arial" w:hAnsi="Arial"/>
          <w:sz w:val="20"/>
          <w:szCs w:val="20"/>
          <w:color w:val="auto"/>
        </w:rPr>
        <w:t xml:space="preserve"> (the “Stock”).</w:t>
      </w:r>
    </w:p>
    <w:p>
      <w:pPr>
        <w:spacing w:after="0" w:line="229" w:lineRule="exact"/>
        <w:rPr>
          <w:rFonts w:ascii="Arial" w:cs="Arial" w:eastAsia="Arial" w:hAnsi="Arial"/>
          <w:sz w:val="20"/>
          <w:szCs w:val="20"/>
          <w:color w:val="auto"/>
        </w:rPr>
      </w:pPr>
    </w:p>
    <w:p>
      <w:pPr>
        <w:ind w:left="1300" w:hanging="644"/>
        <w:spacing w:after="0"/>
        <w:tabs>
          <w:tab w:leader="none" w:pos="1300" w:val="left"/>
        </w:tabs>
        <w:numPr>
          <w:ilvl w:val="0"/>
          <w:numId w:val="11"/>
        </w:numPr>
        <w:rPr>
          <w:rFonts w:ascii="Arial" w:cs="Arial" w:eastAsia="Arial" w:hAnsi="Arial"/>
          <w:sz w:val="20"/>
          <w:szCs w:val="20"/>
          <w:color w:val="auto"/>
        </w:rPr>
      </w:pPr>
      <w:r>
        <w:rPr>
          <w:rFonts w:ascii="Arial" w:cs="Arial" w:eastAsia="Arial" w:hAnsi="Arial"/>
          <w:sz w:val="20"/>
          <w:szCs w:val="20"/>
          <w:color w:val="auto"/>
        </w:rPr>
        <w:t xml:space="preserve">The CUSIP number of the Issuer is: </w:t>
      </w:r>
      <w:r>
        <w:rPr>
          <w:rFonts w:ascii="Arial" w:cs="Arial" w:eastAsia="Arial" w:hAnsi="Arial"/>
          <w:sz w:val="20"/>
          <w:szCs w:val="20"/>
          <w:b w:val="1"/>
          <w:bCs w:val="1"/>
          <w:color w:val="auto"/>
        </w:rPr>
        <w:t>032724106</w:t>
      </w:r>
      <w:r>
        <w:rPr>
          <w:rFonts w:ascii="Arial" w:cs="Arial" w:eastAsia="Arial" w:hAnsi="Arial"/>
          <w:sz w:val="20"/>
          <w:szCs w:val="20"/>
          <w:color w:val="auto"/>
        </w:rPr>
        <w:t>.</w:t>
      </w:r>
    </w:p>
    <w:p>
      <w:pPr>
        <w:spacing w:after="0" w:line="22"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240.13d-1(b) or 240.13d-2(b) or (c), check whether the person filing is a:</w:t>
      </w:r>
    </w:p>
    <w:p>
      <w:pPr>
        <w:spacing w:after="0" w:line="200" w:lineRule="exact"/>
        <w:rPr>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Broker or dealer registered under section 15 of the Act (15 U.S.C. 78o).</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Bank as defined in section 3(a)(6)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Insurance company as defined in section 3(a)(19) of the Act (15 U.S.C. 78c).</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 (15 U.S.C. 80a-8).</w:t>
      </w:r>
    </w:p>
    <w:p>
      <w:pPr>
        <w:spacing w:after="0" w:line="238"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An investment adviser in accordance with section 240.13d-1(b)(1)(ii)(E) as to EcoR1.</w:t>
      </w:r>
    </w:p>
    <w:p>
      <w:pPr>
        <w:spacing w:after="0" w:line="215"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An employee benefit plan or endowment fund in accordance with section 240.13d-1(b)(1)(ii)(F).</w:t>
      </w:r>
    </w:p>
    <w:p>
      <w:pPr>
        <w:spacing w:after="0" w:line="215" w:lineRule="exact"/>
        <w:rPr>
          <w:rFonts w:ascii="Arial" w:cs="Arial" w:eastAsia="Arial" w:hAnsi="Arial"/>
          <w:sz w:val="20"/>
          <w:szCs w:val="20"/>
          <w:color w:val="auto"/>
        </w:rPr>
      </w:pPr>
    </w:p>
    <w:p>
      <w:pPr>
        <w:ind w:left="1300" w:right="2420" w:hanging="644"/>
        <w:spacing w:after="0" w:line="260" w:lineRule="auto"/>
        <w:tabs>
          <w:tab w:leader="none" w:pos="130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X ] A parent holding company or control person in accordance with 240.13d-1(b)(1)(ii)(G) as to Mr. Nodelman.</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19"/>
          <w:szCs w:val="19"/>
          <w:color w:val="auto"/>
        </w:rPr>
      </w:pPr>
      <w:r>
        <w:rPr>
          <w:rFonts w:ascii="Arial" w:cs="Arial" w:eastAsia="Arial" w:hAnsi="Arial"/>
          <w:sz w:val="19"/>
          <w:szCs w:val="19"/>
          <w:color w:val="auto"/>
        </w:rPr>
        <w:t>[ ] A savings association as defined in section 3(b) of the Federal Deposit Insurance Act (12 U.S.C. 1813).</w:t>
      </w:r>
    </w:p>
    <w:p>
      <w:pPr>
        <w:spacing w:after="0" w:line="227" w:lineRule="exact"/>
        <w:rPr>
          <w:rFonts w:ascii="Arial" w:cs="Arial" w:eastAsia="Arial" w:hAnsi="Arial"/>
          <w:sz w:val="19"/>
          <w:szCs w:val="19"/>
          <w:color w:val="auto"/>
        </w:rPr>
      </w:pPr>
    </w:p>
    <w:p>
      <w:pPr>
        <w:ind w:left="1960" w:right="440" w:hanging="1304"/>
        <w:spacing w:after="0" w:line="260" w:lineRule="auto"/>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A church plan that is excluded from the definition of an investment company under section 3(c)(14) of the Investment Company Act of 1940 (15 U.S.C. 80a-3).</w:t>
      </w:r>
    </w:p>
    <w:p>
      <w:pPr>
        <w:spacing w:after="0" w:line="176" w:lineRule="exact"/>
        <w:rPr>
          <w:rFonts w:ascii="Arial" w:cs="Arial" w:eastAsia="Arial" w:hAnsi="Arial"/>
          <w:sz w:val="20"/>
          <w:szCs w:val="20"/>
          <w:color w:val="auto"/>
        </w:rPr>
      </w:pPr>
    </w:p>
    <w:p>
      <w:pPr>
        <w:ind w:left="1960" w:hanging="1304"/>
        <w:spacing w:after="0"/>
        <w:tabs>
          <w:tab w:leader="none" w:pos="1960" w:val="left"/>
        </w:tabs>
        <w:numPr>
          <w:ilvl w:val="0"/>
          <w:numId w:val="12"/>
        </w:numPr>
        <w:rPr>
          <w:rFonts w:ascii="Arial" w:cs="Arial" w:eastAsia="Arial" w:hAnsi="Arial"/>
          <w:sz w:val="20"/>
          <w:szCs w:val="20"/>
          <w:color w:val="auto"/>
        </w:rPr>
      </w:pPr>
      <w:r>
        <w:rPr>
          <w:rFonts w:ascii="Arial" w:cs="Arial" w:eastAsia="Arial" w:hAnsi="Arial"/>
          <w:sz w:val="20"/>
          <w:szCs w:val="20"/>
          <w:color w:val="auto"/>
        </w:rPr>
        <w:t>[ ] Group, in accordance with section 240.13d-1(b)(1)(ii)(J).</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See Items 5-9 and 11 of the cover page for each Filer.</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If this statement is being filed to report the fact that as of the date hereof the reporting person has ceased to be the beneficial owner of more than five percent of the class of securities, check the following [ ].</w:t>
      </w:r>
    </w:p>
    <w:p>
      <w:pPr>
        <w:spacing w:after="0" w:line="17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ectPr>
          <w:pgSz w:w="11900" w:h="16838" w:orient="portrait"/>
          <w:cols w:equalWidth="0" w:num="1">
            <w:col w:w="11040"/>
          </w:cols>
          <w:pgMar w:left="320" w:top="233" w:right="539" w:bottom="0" w:gutter="0" w:footer="0" w:header="0"/>
        </w:sectPr>
      </w:pPr>
    </w:p>
    <w:bookmarkStart w:id="5" w:name="page6"/>
    <w:bookmarkEnd w:id="5"/>
    <w:p>
      <w:pPr>
        <w:spacing w:after="0" w:line="261" w:lineRule="auto"/>
        <w:rPr>
          <w:sz w:val="20"/>
          <w:szCs w:val="20"/>
          <w:color w:val="auto"/>
        </w:rPr>
      </w:pPr>
      <w:r>
        <w:rPr>
          <w:rFonts w:ascii="Arial" w:cs="Arial" w:eastAsia="Arial" w:hAnsi="Arial"/>
          <w:sz w:val="20"/>
          <w:szCs w:val="20"/>
          <w:color w:val="auto"/>
        </w:rPr>
        <w:t>The funds managed by EcoR1, including Qualified Fund, hold the Stock for the benefit of their investors and have the right to receive or the power to direct the receipt of dividends from, or the proceeds from the sale of, the Stock.</w:t>
      </w:r>
    </w:p>
    <w:p>
      <w:pPr>
        <w:spacing w:after="0" w:line="170" w:lineRule="exact"/>
        <w:rPr>
          <w:sz w:val="20"/>
          <w:szCs w:val="20"/>
          <w:color w:val="auto"/>
        </w:rPr>
      </w:pPr>
    </w:p>
    <w:p>
      <w:pPr>
        <w:ind w:left="1300" w:right="240" w:hanging="1295"/>
        <w:spacing w:after="0" w:line="267" w:lineRule="auto"/>
        <w:tabs>
          <w:tab w:leader="none" w:pos="1280" w:val="left"/>
        </w:tabs>
        <w:rPr>
          <w:sz w:val="20"/>
          <w:szCs w:val="20"/>
          <w:color w:val="auto"/>
        </w:rPr>
      </w:pPr>
      <w:r>
        <w:rPr>
          <w:rFonts w:ascii="Arial" w:cs="Arial" w:eastAsia="Arial" w:hAnsi="Arial"/>
          <w:sz w:val="20"/>
          <w:szCs w:val="20"/>
          <w:b w:val="1"/>
          <w:bCs w:val="1"/>
          <w:color w:val="auto"/>
        </w:rPr>
        <w:t>Item 7.</w:t>
      </w:r>
      <w:r>
        <w:rPr>
          <w:sz w:val="20"/>
          <w:szCs w:val="20"/>
          <w:color w:val="auto"/>
        </w:rPr>
        <w:tab/>
      </w:r>
      <w:r>
        <w:rPr>
          <w:rFonts w:ascii="Arial" w:cs="Arial" w:eastAsia="Arial" w:hAnsi="Arial"/>
          <w:sz w:val="20"/>
          <w:szCs w:val="20"/>
          <w:b w:val="1"/>
          <w:bCs w:val="1"/>
          <w:color w:val="auto"/>
        </w:rPr>
        <w:t>Identification and Classification of the Subsidiary Which Acquired the Security Being Reported on By the Parent Holding Company.</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222" w:lineRule="exact"/>
        <w:rPr>
          <w:sz w:val="20"/>
          <w:szCs w:val="20"/>
          <w:color w:val="auto"/>
        </w:rPr>
      </w:pPr>
    </w:p>
    <w:p>
      <w:pPr>
        <w:ind w:right="120"/>
        <w:spacing w:after="0" w:line="249" w:lineRule="auto"/>
        <w:rPr>
          <w:sz w:val="20"/>
          <w:szCs w:val="20"/>
          <w:color w:val="auto"/>
        </w:rPr>
      </w:pPr>
      <w:r>
        <w:rPr>
          <w:rFonts w:ascii="Arial" w:cs="Arial" w:eastAsia="Arial" w:hAnsi="Arial"/>
          <w:sz w:val="20"/>
          <w:szCs w:val="20"/>
          <w:color w:val="auto"/>
        </w:rPr>
        <w:t>EcoR1 is the general partner and investment adviser of investment funds, including Qualified Fund. Mr. Nodelman is the control person of EcoR1.</w:t>
      </w: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00"/>
          </w:cols>
          <w:pgMar w:left="320" w:top="121"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t>CUSIP No. 032724106</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2" w:lineRule="exact"/>
        <w:rPr>
          <w:sz w:val="20"/>
          <w:szCs w:val="20"/>
          <w:color w:val="auto"/>
        </w:rPr>
      </w:pPr>
    </w:p>
    <w:p>
      <w:pPr>
        <w:spacing w:after="0"/>
        <w:rPr>
          <w:sz w:val="20"/>
          <w:szCs w:val="20"/>
          <w:color w:val="auto"/>
        </w:rPr>
      </w:pPr>
      <w:r>
        <w:rPr>
          <w:rFonts w:ascii="Arial" w:cs="Arial" w:eastAsia="Arial" w:hAnsi="Arial"/>
          <w:sz w:val="20"/>
          <w:szCs w:val="20"/>
          <w:color w:val="auto"/>
        </w:rPr>
        <w:t>Not applicable.</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10.</w:t>
      </w:r>
      <w:r>
        <w:rPr>
          <w:sz w:val="20"/>
          <w:szCs w:val="20"/>
          <w:color w:val="auto"/>
        </w:rPr>
        <w:tab/>
      </w:r>
      <w:r>
        <w:rPr>
          <w:rFonts w:ascii="Arial" w:cs="Arial" w:eastAsia="Arial" w:hAnsi="Arial"/>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EcoR1 and Mr. Nodelman:</w:t>
      </w:r>
    </w:p>
    <w:p>
      <w:pPr>
        <w:spacing w:after="0" w:line="235" w:lineRule="exact"/>
        <w:rPr>
          <w:sz w:val="20"/>
          <w:szCs w:val="20"/>
          <w:color w:val="auto"/>
        </w:rPr>
      </w:pPr>
    </w:p>
    <w:p>
      <w:pPr>
        <w:ind w:left="660" w:right="600"/>
        <w:spacing w:after="0" w:line="246" w:lineRule="auto"/>
        <w:rPr>
          <w:sz w:val="20"/>
          <w:szCs w:val="20"/>
          <w:color w:val="auto"/>
        </w:rPr>
      </w:pPr>
      <w:r>
        <w:rPr>
          <w:rFonts w:ascii="Arial" w:cs="Arial" w:eastAsia="Arial" w:hAnsi="Arial"/>
          <w:sz w:val="20"/>
          <w:szCs w:val="20"/>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Certification of Qualified Fund:</w:t>
      </w:r>
    </w:p>
    <w:p>
      <w:pPr>
        <w:spacing w:after="0" w:line="235" w:lineRule="exact"/>
        <w:rPr>
          <w:sz w:val="20"/>
          <w:szCs w:val="20"/>
          <w:color w:val="auto"/>
        </w:rPr>
      </w:pPr>
    </w:p>
    <w:p>
      <w:pPr>
        <w:ind w:left="660" w:right="680"/>
        <w:spacing w:after="0" w:line="291"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52"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SIGNATURE</w:t>
      </w:r>
    </w:p>
    <w:p>
      <w:pPr>
        <w:spacing w:after="0" w:line="22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After reasonable inquiry and to the best of my knowledge and belief, I certify that the information set forth in this statement is true, complete and correct.</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January ___, 2021</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pacing w:after="0" w:line="235" w:lineRule="exact"/>
        <w:rPr>
          <w:sz w:val="20"/>
          <w:szCs w:val="20"/>
          <w:color w:val="auto"/>
        </w:rPr>
      </w:pPr>
    </w:p>
    <w:p>
      <w:pPr>
        <w:ind w:left="100"/>
        <w:spacing w:after="0"/>
        <w:tabs>
          <w:tab w:leader="none" w:pos="5480" w:val="left"/>
        </w:tabs>
        <w:rPr>
          <w:sz w:val="20"/>
          <w:szCs w:val="20"/>
          <w:color w:val="auto"/>
        </w:rPr>
      </w:pPr>
      <w:r>
        <w:rPr>
          <w:rFonts w:ascii="Arial" w:cs="Arial" w:eastAsia="Arial" w:hAnsi="Arial"/>
          <w:sz w:val="20"/>
          <w:szCs w:val="20"/>
          <w:color w:val="auto"/>
        </w:rPr>
        <w:t>By: /s/ Oleg Nodelman</w:t>
      </w:r>
      <w:r>
        <w:rPr>
          <w:sz w:val="20"/>
          <w:szCs w:val="20"/>
          <w:color w:val="auto"/>
        </w:rPr>
        <w:tab/>
      </w:r>
      <w:r>
        <w:rPr>
          <w:rFonts w:ascii="Arial" w:cs="Arial" w:eastAsia="Arial" w:hAnsi="Arial"/>
          <w:sz w:val="18"/>
          <w:szCs w:val="18"/>
          <w:color w:val="auto"/>
        </w:rPr>
        <w:t>/s/ Oleg Nodelman</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80"/>
          </w:cols>
          <w:pgMar w:left="320" w:top="233" w:right="39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CUSIP No. 032724106</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EXHIBIT 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AGREEMENT REGARDING JOINT FILING</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OF STATEMENT ON SCHEDULE 13D OR 13G</w:t>
      </w:r>
    </w:p>
    <w:p>
      <w:pPr>
        <w:spacing w:after="0" w:line="200" w:lineRule="exact"/>
        <w:rPr>
          <w:sz w:val="20"/>
          <w:szCs w:val="20"/>
          <w:color w:val="auto"/>
        </w:rPr>
      </w:pPr>
    </w:p>
    <w:p>
      <w:pPr>
        <w:jc w:val="both"/>
        <w:spacing w:after="0" w:line="273" w:lineRule="auto"/>
        <w:rPr>
          <w:sz w:val="20"/>
          <w:szCs w:val="20"/>
          <w:color w:val="auto"/>
        </w:rPr>
      </w:pPr>
      <w:r>
        <w:rPr>
          <w:rFonts w:ascii="Arial" w:cs="Arial" w:eastAsia="Arial" w:hAnsi="Arial"/>
          <w:sz w:val="18"/>
          <w:szCs w:val="18"/>
          <w:color w:val="auto"/>
        </w:rPr>
        <w:t>The undersigned agree to file jointly with the Securities and Exchange Commission (the “SEC”) any and all statements on Schedule 13D, Schedule 13G or Forms 3, 4 or 5 (and any amendments or supplements thereto) required under section 13(d) or 16(a) of the Securities Exchange Act of 1934, as amended, in connection with purchases by the undersigned of the securities of any issuer. For that purpose, the undersigned hereby constitute and appoint EcoR1 Capital, LLC a Delaware limited liability company, as their true and lawful agent and attorney-in-fact, with full power and authority for and on behalf of the undersigned to prepare or cause to be prepared, sign, file with the SEC and furnish to any other person all certificates, instruments, agreements and documents necessary to comply with section 13(d) and section 16(a) of the Securities Exchange Act of 1934, as amended, in connection with said purchases, and to do and perform every act necessary and proper to be done incident to the exercise of the foregoing power, as fully as the undersigned might or could do if personally present.</w:t>
      </w:r>
    </w:p>
    <w:p>
      <w:pPr>
        <w:spacing w:after="0" w:line="168" w:lineRule="exact"/>
        <w:rPr>
          <w:sz w:val="20"/>
          <w:szCs w:val="20"/>
          <w:color w:val="auto"/>
        </w:rPr>
      </w:pPr>
    </w:p>
    <w:p>
      <w:pPr>
        <w:spacing w:after="0"/>
        <w:rPr>
          <w:sz w:val="20"/>
          <w:szCs w:val="20"/>
          <w:color w:val="auto"/>
        </w:rPr>
      </w:pPr>
      <w:r>
        <w:rPr>
          <w:rFonts w:ascii="Arial" w:cs="Arial" w:eastAsia="Arial" w:hAnsi="Arial"/>
          <w:sz w:val="20"/>
          <w:szCs w:val="20"/>
          <w:color w:val="auto"/>
        </w:rPr>
        <w:t>Dated: January ___, 2021</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LLC</w:t>
      </w:r>
    </w:p>
    <w:p>
      <w:pPr>
        <w:spacing w:after="0" w:line="235" w:lineRule="exact"/>
        <w:rPr>
          <w:sz w:val="20"/>
          <w:szCs w:val="20"/>
          <w:color w:val="auto"/>
        </w:rPr>
      </w:pPr>
    </w:p>
    <w:p>
      <w:pPr>
        <w:ind w:left="100"/>
        <w:spacing w:after="0"/>
        <w:tabs>
          <w:tab w:leader="none" w:pos="5480" w:val="left"/>
        </w:tabs>
        <w:rPr>
          <w:sz w:val="20"/>
          <w:szCs w:val="20"/>
          <w:color w:val="auto"/>
        </w:rPr>
      </w:pPr>
      <w:r>
        <w:rPr>
          <w:rFonts w:ascii="Arial" w:cs="Arial" w:eastAsia="Arial" w:hAnsi="Arial"/>
          <w:sz w:val="20"/>
          <w:szCs w:val="20"/>
          <w:color w:val="auto"/>
        </w:rPr>
        <w:t>By: /s/ Oleg Nodelman</w:t>
      </w:r>
      <w:r>
        <w:rPr>
          <w:sz w:val="20"/>
          <w:szCs w:val="20"/>
          <w:color w:val="auto"/>
        </w:rPr>
        <w:tab/>
      </w:r>
      <w:r>
        <w:rPr>
          <w:rFonts w:ascii="Arial" w:cs="Arial" w:eastAsia="Arial" w:hAnsi="Arial"/>
          <w:sz w:val="18"/>
          <w:szCs w:val="18"/>
          <w:color w:val="auto"/>
        </w:rPr>
        <w:t>/s/ Oleg Nodelman</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20"/>
          <w:szCs w:val="20"/>
          <w:b w:val="1"/>
          <w:bCs w:val="1"/>
          <w:color w:val="auto"/>
        </w:rPr>
        <w:t>EcoR1 CAPITAL FUND QUALIFIED, L.P.</w:t>
      </w:r>
    </w:p>
    <w:p>
      <w:pPr>
        <w:spacing w:after="0" w:line="235"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EcoR1 Capital, LLC, General Partner</w:t>
      </w:r>
    </w:p>
    <w:p>
      <w:pPr>
        <w:spacing w:after="0" w:line="229" w:lineRule="exact"/>
        <w:rPr>
          <w:sz w:val="20"/>
          <w:szCs w:val="20"/>
          <w:color w:val="auto"/>
        </w:rPr>
      </w:pPr>
    </w:p>
    <w:p>
      <w:pPr>
        <w:ind w:left="100"/>
        <w:spacing w:after="0"/>
        <w:rPr>
          <w:sz w:val="20"/>
          <w:szCs w:val="20"/>
          <w:color w:val="auto"/>
        </w:rPr>
      </w:pPr>
      <w:r>
        <w:rPr>
          <w:rFonts w:ascii="Arial" w:cs="Arial" w:eastAsia="Arial" w:hAnsi="Arial"/>
          <w:sz w:val="20"/>
          <w:szCs w:val="20"/>
          <w:color w:val="auto"/>
        </w:rPr>
        <w:t>By: /s/ Oleg Nodelman</w:t>
      </w:r>
    </w:p>
    <w:p>
      <w:pPr>
        <w:spacing w:after="0" w:line="108" w:lineRule="exact"/>
        <w:rPr>
          <w:sz w:val="20"/>
          <w:szCs w:val="20"/>
          <w:color w:val="auto"/>
        </w:rPr>
      </w:pPr>
    </w:p>
    <w:p>
      <w:pPr>
        <w:ind w:left="760"/>
        <w:spacing w:after="0"/>
        <w:rPr>
          <w:sz w:val="20"/>
          <w:szCs w:val="20"/>
          <w:color w:val="auto"/>
        </w:rPr>
      </w:pPr>
      <w:r>
        <w:rPr>
          <w:rFonts w:ascii="Arial" w:cs="Arial" w:eastAsia="Arial" w:hAnsi="Arial"/>
          <w:sz w:val="20"/>
          <w:szCs w:val="20"/>
          <w:color w:val="auto"/>
        </w:rPr>
        <w:t>Oleg Nodelman</w:t>
      </w:r>
    </w:p>
    <w:p>
      <w:pPr>
        <w:spacing w:after="0" w:line="16" w:lineRule="exact"/>
        <w:rPr>
          <w:sz w:val="20"/>
          <w:szCs w:val="20"/>
          <w:color w:val="auto"/>
        </w:rPr>
      </w:pPr>
    </w:p>
    <w:p>
      <w:pPr>
        <w:ind w:left="760"/>
        <w:spacing w:after="0"/>
        <w:rPr>
          <w:sz w:val="20"/>
          <w:szCs w:val="20"/>
          <w:color w:val="auto"/>
        </w:rPr>
      </w:pPr>
      <w:r>
        <w:rPr>
          <w:rFonts w:ascii="Arial" w:cs="Arial" w:eastAsia="Arial" w:hAnsi="Arial"/>
          <w:sz w:val="20"/>
          <w:szCs w:val="20"/>
          <w:color w:val="auto"/>
        </w:rPr>
        <w:t>Manager</w:t>
      </w:r>
    </w:p>
    <w:sectPr>
      <w:pgSz w:w="11900" w:h="16838" w:orient="portrait"/>
      <w:cols w:equalWidth="0" w:num="1">
        <w:col w:w="11240"/>
      </w:cols>
      <w:pgMar w:left="320" w:top="2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lvl w:ilvl="1">
      <w:lvlJc w:val="left"/>
      <w:lvlText w:val="["/>
      <w:numFmt w:val="bullet"/>
      <w:start w:val="1"/>
    </w:lvl>
  </w:abstractNum>
  <w:abstractNum w:abstractNumId="1">
    <w:nsid w:val="41B71EFB"/>
    <w:multiLevelType w:val="hybridMultilevel"/>
    <w:lvl w:ilvl="0">
      <w:lvlJc w:val="left"/>
      <w:lvlText w:val="%1."/>
      <w:numFmt w:val="decimal"/>
      <w:start w:val="1"/>
    </w:lvl>
    <w:lvl w:ilvl="1">
      <w:lvlJc w:val="left"/>
      <w:lvlText w:val="(%2)"/>
      <w:numFmt w:val="lowerLetter"/>
      <w:start w:val="1"/>
    </w:lvl>
  </w:abstractNum>
  <w:abstractNum w:abstractNumId="2">
    <w:nsid w:val="79E2A9E3"/>
    <w:multiLevelType w:val="hybridMultilevel"/>
    <w:lvl w:ilvl="0">
      <w:lvlJc w:val="left"/>
      <w:lvlText w:val="%1."/>
      <w:numFmt w:val="decimal"/>
      <w:start w:val="3"/>
    </w:lvl>
  </w:abstractNum>
  <w:abstractNum w:abstractNumId="3">
    <w:nsid w:val="7545E146"/>
    <w:multiLevelType w:val="hybridMultilevel"/>
    <w:lvl w:ilvl="0">
      <w:lvlJc w:val="left"/>
      <w:lvlText w:val="%1."/>
      <w:numFmt w:val="decimal"/>
      <w:start w:val="9"/>
    </w:lvl>
  </w:abstractNum>
  <w:abstractNum w:abstractNumId="4">
    <w:nsid w:val="515F007C"/>
    <w:multiLevelType w:val="hybridMultilevel"/>
    <w:lvl w:ilvl="0">
      <w:lvlJc w:val="left"/>
      <w:lvlText w:val="%1."/>
      <w:numFmt w:val="decimal"/>
      <w:start w:val="1"/>
    </w:lvl>
    <w:lvl w:ilvl="1">
      <w:lvlJc w:val="left"/>
      <w:lvlText w:val="(%2)"/>
      <w:numFmt w:val="lowerLetter"/>
      <w:start w:val="1"/>
    </w:lvl>
  </w:abstractNum>
  <w:abstractNum w:abstractNumId="5">
    <w:nsid w:val="5BD062C2"/>
    <w:multiLevelType w:val="hybridMultilevel"/>
    <w:lvl w:ilvl="0">
      <w:lvlJc w:val="left"/>
      <w:lvlText w:val="%1."/>
      <w:numFmt w:val="decimal"/>
      <w:start w:val="3"/>
    </w:lvl>
  </w:abstractNum>
  <w:abstractNum w:abstractNumId="6">
    <w:nsid w:val="12200854"/>
    <w:multiLevelType w:val="hybridMultilevel"/>
    <w:lvl w:ilvl="0">
      <w:lvlJc w:val="left"/>
      <w:lvlText w:val="%1."/>
      <w:numFmt w:val="decimal"/>
      <w:start w:val="9"/>
    </w:lvl>
  </w:abstractNum>
  <w:abstractNum w:abstractNumId="7">
    <w:nsid w:val="4DB127F8"/>
    <w:multiLevelType w:val="hybridMultilevel"/>
    <w:lvl w:ilvl="0">
      <w:lvlJc w:val="left"/>
      <w:lvlText w:val="%1."/>
      <w:numFmt w:val="decimal"/>
      <w:start w:val="1"/>
    </w:lvl>
    <w:lvl w:ilvl="1">
      <w:lvlJc w:val="left"/>
      <w:lvlText w:val="(%2)"/>
      <w:numFmt w:val="lowerLetter"/>
      <w:start w:val="1"/>
    </w:lvl>
  </w:abstractNum>
  <w:abstractNum w:abstractNumId="8">
    <w:nsid w:val="216231B"/>
    <w:multiLevelType w:val="hybridMultilevel"/>
    <w:lvl w:ilvl="0">
      <w:lvlJc w:val="left"/>
      <w:lvlText w:val="%1."/>
      <w:numFmt w:val="decimal"/>
      <w:start w:val="9"/>
    </w:lvl>
  </w:abstractNum>
  <w:abstractNum w:abstractNumId="9">
    <w:nsid w:val="1F16E9E8"/>
    <w:multiLevelType w:val="hybridMultilevel"/>
    <w:lvl w:ilvl="0">
      <w:lvlJc w:val="left"/>
      <w:lvlText w:val="(%1)"/>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2021-01-14T16:00:18Z</dcterms:created>
  <dcterms:modified xsi:type="dcterms:W3CDTF">2021-01-14T16:00:18Z</dcterms:modified>
</cp:coreProperties>
</file>