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February 19,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tab/>
        <w:t>Regulation FD.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19, 2025, AnaptysBio, Inc. updated its corporate investor presentation, a full copy of which is attached hereto as Exhibit 99.1.</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64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Exhibit Title or Description</w:t>
            </w:r>
          </w:p>
        </w:tc>
      </w:tr>
      <w:tr>
        <w:trPr>
          <w:trHeight w:val="144"/>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96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Anaptys Corporate Presentation February 2025.</w:t>
            </w:r>
          </w:p>
        </w:tc>
      </w:tr>
      <w:tr>
        <w:trPr>
          <w:trHeight w:val="178"/>
        </w:trPr>
        <w:tc>
          <w:tcPr>
            <w:tcW w:w="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rPr>
              <w:t>104</w:t>
            </w:r>
          </w:p>
        </w:tc>
        <w:tc>
          <w:tcPr>
            <w:tcW w:w="1440" w:type="dxa"/>
            <w:vAlign w:val="bottom"/>
          </w:tcPr>
          <w:p>
            <w:pPr>
              <w:spacing w:after="0"/>
              <w:rPr>
                <w:sz w:val="15"/>
                <w:szCs w:val="15"/>
                <w:color w:val="auto"/>
              </w:rPr>
            </w:pPr>
          </w:p>
        </w:tc>
        <w:tc>
          <w:tcPr>
            <w:tcW w:w="96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576"/>
        </w:trPr>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8600" w:type="dxa"/>
            <w:vAlign w:val="bottom"/>
            <w:gridSpan w:val="2"/>
          </w:tcPr>
          <w:p>
            <w:pPr>
              <w:ind w:left="1540"/>
              <w:spacing w:after="0"/>
              <w:rPr>
                <w:sz w:val="20"/>
                <w:szCs w:val="20"/>
                <w:color w:val="auto"/>
              </w:rPr>
            </w:pPr>
            <w:r>
              <w:rPr>
                <w:rFonts w:ascii="Times New Roman" w:cs="Times New Roman" w:eastAsia="Times New Roman" w:hAnsi="Times New Roman"/>
                <w:sz w:val="13"/>
                <w:szCs w:val="13"/>
                <w:color w:val="auto"/>
              </w:rPr>
              <w:t>AnaptysBio, Inc.</w:t>
            </w:r>
          </w:p>
        </w:tc>
      </w:tr>
      <w:tr>
        <w:trPr>
          <w:trHeight w:val="177"/>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19, 2025</w:t>
            </w:r>
          </w:p>
        </w:tc>
        <w:tc>
          <w:tcPr>
            <w:tcW w:w="20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By:</w:t>
            </w: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Dennis Mulroy</w:t>
            </w:r>
          </w:p>
        </w:tc>
      </w:tr>
      <w:tr>
        <w:trPr>
          <w:trHeight w:val="164"/>
        </w:trPr>
        <w:tc>
          <w:tcPr>
            <w:tcW w:w="2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 Dennis Mulroy</w:t>
            </w:r>
          </w:p>
        </w:tc>
      </w:tr>
      <w:tr>
        <w:trPr>
          <w:trHeight w:val="180"/>
        </w:trPr>
        <w:tc>
          <w:tcPr>
            <w:tcW w:w="2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 Chief Financial Officer</w:t>
            </w:r>
          </w:p>
        </w:tc>
      </w:tr>
    </w:tbl>
    <w:p>
      <w:pPr>
        <w:sectPr>
          <w:pgSz w:w="11900" w:h="16838" w:orient="portrait"/>
          <w:cols w:equalWidth="0" w:num="1">
            <w:col w:w="11300"/>
          </w:cols>
          <w:pgMar w:left="300" w:top="987"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2025-02-19T16:44:48Z</dcterms:created>
  <dcterms:modified xsi:type="dcterms:W3CDTF">2025-02-19T16:44:48Z</dcterms:modified>
</cp:coreProperties>
</file>