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ANAPTYSBIO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66,281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177,739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177,739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0.655%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177,739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177,739</w:t>
      </w:r>
    </w:p>
    <w:p>
      <w:pPr>
        <w:spacing w:after="0" w:line="237" w:lineRule="auto"/>
        <w:rPr>
          <w:sz w:val="20"/>
          <w:szCs w:val="20"/>
          <w:color w:val="auto"/>
        </w:rPr>
      </w:pPr>
      <w:r>
        <w:rPr>
          <w:rFonts w:ascii="Courier New" w:cs="Courier New" w:eastAsia="Courier New" w:hAnsi="Courier New"/>
          <w:sz w:val="18"/>
          <w:szCs w:val="18"/>
          <w:color w:val="auto"/>
        </w:rPr>
        <w:t>Item 11: 0.655%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177,739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0.655%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66,281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177,739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ANAPTYSBIO INC. No one other person's interest in the COMMON STOCK of ANAPTYSBIO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9,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ITEM</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Personal Trust</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Company, FSB  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17"/>
                <w:szCs w:val="17"/>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December 9, 2019, agree and consent to the joint filing on their behalf of this Schedule 13G in connection with their beneficial ownership of the COMMON STOCK of ANAPTYSBIO INC at November 29,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2019-12-10T08:45:41Z</dcterms:created>
  <dcterms:modified xsi:type="dcterms:W3CDTF">2019-12-10T08:45:41Z</dcterms:modified>
</cp:coreProperties>
</file>