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13"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RENTON HOLLINGS</w:t>
              </w:r>
            </w:hyperlink>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80" w:type="dxa"/>
            <w:vAlign w:val="bottom"/>
            <w:gridSpan w:val="2"/>
          </w:tcPr>
          <w:p>
            <w:pPr>
              <w:spacing w:after="0"/>
              <w:rPr>
                <w:sz w:val="6"/>
                <w:szCs w:val="6"/>
                <w:color w:val="auto"/>
              </w:rPr>
            </w:pPr>
          </w:p>
        </w:tc>
        <w:tc>
          <w:tcPr>
            <w:tcW w:w="5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04/20/2026</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ANAPTYSBIO, INC.</w:t>
            </w:r>
          </w:p>
        </w:tc>
        <w:tc>
          <w:tcPr>
            <w:tcW w:w="12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10770 WATERIDGE CIRCLE, SUITE 210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13"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1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02/23/2027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18.03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02/23/2027</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104.81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02/01/2028</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76.79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02/01/2028</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68.88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02/07/2029</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02/07/2029</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02/11/2030</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02/11/2030</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02/09/2031</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02/09/2031</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11,000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jc w:val="center"/>
              <w:ind w:right="2"/>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1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5815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581596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02/09/2032</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22.13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02/09/2032</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9,200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9,200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01/06/2036</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32.17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01/06/2036</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w:t>
      </w:r>
    </w:p>
    <w:p>
      <w:pPr>
        <w:spacing w:after="0" w:line="3" w:lineRule="exact"/>
        <w:rPr>
          <w:rFonts w:ascii="Times New Roman" w:cs="Times New Roman" w:eastAsia="Times New Roman" w:hAnsi="Times New Roman"/>
          <w:sz w:val="13"/>
          <w:szCs w:val="13"/>
          <w:color w:val="008000"/>
        </w:rPr>
      </w:pPr>
    </w:p>
    <w:p>
      <w:pPr>
        <w:ind w:left="20" w:right="140"/>
        <w:spacing w:after="0" w:line="23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AnaptyBio shares of common stock in an amount determined in accordance with the Separation Agreement.</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6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Dan Faga, Attorney-in-Fact</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04/22/2026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333"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2026-04-22T17:36:26Z</dcterms:created>
  <dcterms:modified xsi:type="dcterms:W3CDTF">2026-04-22T17:36:26Z</dcterms:modified>
</cp:coreProperties>
</file>