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1306195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1100"/>
        <w:spacing w:after="0" w:line="223"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167640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167005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40"/>
        <w:spacing w:after="0" w:line="207" w:lineRule="exact"/>
        <w:tabs>
          <w:tab w:leader="none" w:pos="2080" w:val="left"/>
          <w:tab w:leader="none" w:pos="3980" w:val="left"/>
          <w:tab w:leader="none" w:pos="740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Arial" w:cs="Arial" w:eastAsia="Arial" w:hAnsi="Arial"/>
          <w:sz w:val="18"/>
          <w:szCs w:val="18"/>
          <w:color w:val="auto"/>
        </w:rPr>
        <w:t>x</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7" w:lineRule="exact"/>
        <w:rPr>
          <w:sz w:val="24"/>
          <w:szCs w:val="24"/>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22"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60" w:hanging="71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ANAPTYSBIO, INC.</w:t>
      </w:r>
    </w:p>
    <w:p>
      <w:pPr>
        <w:ind w:left="3780"/>
        <w:spacing w:after="0" w:line="219" w:lineRule="auto"/>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ind w:left="5460"/>
        <w:spacing w:after="0" w:line="203" w:lineRule="auto"/>
        <w:rPr>
          <w:sz w:val="20"/>
          <w:szCs w:val="20"/>
          <w:color w:val="auto"/>
        </w:rPr>
      </w:pPr>
      <w:r>
        <w:rPr>
          <w:rFonts w:ascii="Times New Roman" w:cs="Times New Roman" w:eastAsia="Times New Roman" w:hAnsi="Times New Roman"/>
          <w:sz w:val="18"/>
          <w:szCs w:val="18"/>
          <w:b w:val="1"/>
          <w:bCs w:val="1"/>
          <w:color w:val="auto"/>
        </w:rPr>
        <w:t>N/A</w:t>
      </w:r>
    </w:p>
    <w:p>
      <w:pPr>
        <w:spacing w:after="0" w:line="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00" w:lineRule="exact"/>
        <w:rPr>
          <w:sz w:val="24"/>
          <w:szCs w:val="24"/>
          <w:color w:val="auto"/>
        </w:rPr>
      </w:pPr>
    </w:p>
    <w:p>
      <w:pPr>
        <w:spacing w:after="0" w:line="322" w:lineRule="exact"/>
        <w:rPr>
          <w:sz w:val="24"/>
          <w:szCs w:val="24"/>
          <w:color w:val="auto"/>
        </w:rPr>
      </w:pPr>
    </w:p>
    <w:p>
      <w:pPr>
        <w:ind w:left="920" w:hanging="638"/>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920" w:hanging="638"/>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920" w:hanging="638"/>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903605</wp:posOffset>
            </wp:positionV>
            <wp:extent cx="134556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4203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6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AnaptysBio, Inc. to be held at AnaptysBio’s corporate office at 10770 Wateridge Circle, Suite 210, San Diego, CA 92121, on Thursday, June 23, 2022 at 9:00 a.m. (Pacific Daylight Time).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May 6, 2022, we expect to mail to stockholders a Notice of Internet Availability of Proxy Materials containing instructions on how to access our proxy statement for our 2022 Annual Meeting of Stockholders and our 2021 annual report on Form 10-K to stockholders. The Notice of Internet Availability or Proxy Materials also provides instructions on how to vote through the Internet or by telephone and includes instructions on how to receive paper copies of the proxy materials by mail, if desired.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to be acted upon at the meeting are described in the accompanying notice of annual meeting and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in person, please vote on the Internet or by telephone, or request, sign and return a proxy card to ensure that your shares are represented at the meeting.</w:t>
      </w:r>
    </w:p>
    <w:p>
      <w:pPr>
        <w:spacing w:after="0" w:line="200" w:lineRule="exact"/>
        <w:rPr>
          <w:sz w:val="20"/>
          <w:szCs w:val="20"/>
          <w:color w:val="auto"/>
        </w:rPr>
      </w:pP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1525905"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Daniel Faga</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Thursday,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108585</wp:posOffset>
            </wp:positionV>
            <wp:extent cx="70980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9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NOTICE IS HEREBY GIVEN that the 2022 Annual Meeting of Stockholders of AnaptysBio, Inc. will be held at AnaptysBio’s corporate office at 10770 Wateridge Circle, Suite 210, San Diego, California 92121, on Thursday, June 23, 2022 at 9:00 a.m. (Pacific Daylight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holding the meeting for the following purposes, which are more fully described in the accompanying proxy statement:</w:t>
      </w:r>
    </w:p>
    <w:p>
      <w:pPr>
        <w:spacing w:after="0" w:line="196" w:lineRule="exact"/>
        <w:rPr>
          <w:sz w:val="20"/>
          <w:szCs w:val="20"/>
          <w:color w:val="auto"/>
        </w:rPr>
      </w:pPr>
    </w:p>
    <w:p>
      <w:pPr>
        <w:ind w:left="660" w:right="600" w:hanging="328"/>
        <w:spacing w:after="0" w:line="281" w:lineRule="auto"/>
        <w:tabs>
          <w:tab w:leader="none" w:pos="65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three Class II directors, each to serve three-year terms through the third annual meeting of stockholders following this meeting and until a successor has been elected and qualified or until earlier resignation or removal.</w:t>
      </w:r>
    </w:p>
    <w:p>
      <w:pPr>
        <w:spacing w:after="0" w:line="55"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KPMG LLP as our independent registered public accounting firm for the fiscal year ending December 31, 2022.</w:t>
      </w:r>
    </w:p>
    <w:p>
      <w:pPr>
        <w:spacing w:after="0" w:line="115"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conduct a non-binding advisory vote on the compensation of our named executive officers as disclosed in the accompanying materials.</w:t>
      </w:r>
    </w:p>
    <w:p>
      <w:pPr>
        <w:spacing w:after="0" w:line="129" w:lineRule="exact"/>
        <w:rPr>
          <w:sz w:val="20"/>
          <w:szCs w:val="20"/>
          <w:color w:val="auto"/>
        </w:rPr>
      </w:pPr>
    </w:p>
    <w:p>
      <w:pPr>
        <w:ind w:right="940"/>
        <w:spacing w:after="0" w:line="281" w:lineRule="auto"/>
        <w:rPr>
          <w:sz w:val="20"/>
          <w:szCs w:val="20"/>
          <w:color w:val="auto"/>
        </w:rPr>
      </w:pPr>
      <w:r>
        <w:rPr>
          <w:rFonts w:ascii="Times New Roman" w:cs="Times New Roman" w:eastAsia="Times New Roman" w:hAnsi="Times New Roman"/>
          <w:sz w:val="17"/>
          <w:szCs w:val="17"/>
          <w:color w:val="auto"/>
        </w:rPr>
        <w:t>In addition, stockholders may be asked to consider and vote upon such other business as may properly come before the meeting or any adjournment or postponement thereof.</w:t>
      </w:r>
    </w:p>
    <w:p>
      <w:pPr>
        <w:spacing w:after="0" w:line="123" w:lineRule="exact"/>
        <w:rPr>
          <w:sz w:val="20"/>
          <w:szCs w:val="20"/>
          <w:color w:val="auto"/>
        </w:rPr>
      </w:pPr>
    </w:p>
    <w:p>
      <w:pPr>
        <w:jc w:val="both"/>
        <w:ind w:right="260"/>
        <w:spacing w:after="0" w:line="273" w:lineRule="auto"/>
        <w:rPr>
          <w:sz w:val="20"/>
          <w:szCs w:val="20"/>
          <w:color w:val="auto"/>
        </w:rPr>
      </w:pPr>
      <w:r>
        <w:rPr>
          <w:rFonts w:ascii="Times New Roman" w:cs="Times New Roman" w:eastAsia="Times New Roman" w:hAnsi="Times New Roman"/>
          <w:sz w:val="17"/>
          <w:szCs w:val="17"/>
          <w:color w:val="auto"/>
        </w:rPr>
        <w:t>Only stockholders of record at the close of business on April 25, 2022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vote as an AnaptysBio, Inc. stockholder is very important. Each share of stock that you own represents one vote.</w:t>
      </w:r>
    </w:p>
    <w:p>
      <w:pPr>
        <w:spacing w:after="0" w:line="19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w:t>
      </w:r>
    </w:p>
    <w:p>
      <w:pPr>
        <w:spacing w:after="0" w:line="200" w:lineRule="exact"/>
        <w:rPr>
          <w:sz w:val="20"/>
          <w:szCs w:val="20"/>
          <w:color w:val="auto"/>
        </w:rPr>
      </w:pPr>
    </w:p>
    <w:p>
      <w:pPr>
        <w:spacing w:after="0" w:line="26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26035</wp:posOffset>
            </wp:positionV>
            <wp:extent cx="1414780"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Dr. James N. Topper, M.D., Ph.D.</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2022</w:t>
      </w:r>
    </w:p>
    <w:p>
      <w:pPr>
        <w:spacing w:after="0" w:line="10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Stockholders to be held on June 23, 2022: The Proxy Statement and our Annual Report on Form 10-K for the fiscal year ended December 31, 2021 are available at http://ir.anaptysbio.com.</w:t>
      </w:r>
    </w:p>
    <w:p>
      <w:pPr>
        <w:sectPr>
          <w:pgSz w:w="11900" w:h="16838" w:orient="portrait"/>
          <w:cols w:equalWidth="0" w:num="1">
            <w:col w:w="11240"/>
          </w:cols>
          <w:pgMar w:left="320" w:top="1440" w:right="339" w:bottom="1440" w:gutter="0" w:footer="0" w:header="0"/>
        </w:sectPr>
      </w:pPr>
    </w:p>
    <w:bookmarkStart w:id="3" w:name="page4"/>
    <w:bookmarkEnd w:id="3"/>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PROXY STATEMENT FOR 2022 ANNUAL MEETING OF STOCKHOLDERS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INFORMATION ABOUT SOLICITATION AND VOTING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INTERNET AVAILABILITY OF PROXY MATERIALS</w:t>
            </w:r>
          </w:p>
        </w:tc>
        <w:tc>
          <w:tcPr>
            <w:tcW w:w="180" w:type="dxa"/>
            <w:vAlign w:val="bottom"/>
          </w:tcPr>
          <w:p>
            <w:pPr>
              <w:spacing w:after="0"/>
              <w:rPr>
                <w:sz w:val="18"/>
                <w:szCs w:val="18"/>
                <w:color w:val="auto"/>
              </w:rPr>
            </w:pPr>
          </w:p>
        </w:tc>
        <w:tc>
          <w:tcPr>
            <w:tcW w:w="6360" w:type="dxa"/>
            <w:vAlign w:val="bottom"/>
            <w:gridSpan w:val="7"/>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GENERAL INFORMATION ABOUT THE MEETING</w:t>
            </w:r>
          </w:p>
        </w:tc>
        <w:tc>
          <w:tcPr>
            <w:tcW w:w="100" w:type="dxa"/>
            <w:vAlign w:val="bottom"/>
          </w:tcPr>
          <w:p>
            <w:pPr>
              <w:spacing w:after="0"/>
              <w:rPr>
                <w:sz w:val="18"/>
                <w:szCs w:val="18"/>
                <w:color w:val="auto"/>
              </w:rPr>
            </w:pPr>
          </w:p>
        </w:tc>
        <w:tc>
          <w:tcPr>
            <w:tcW w:w="6540" w:type="dxa"/>
            <w:vAlign w:val="bottom"/>
            <w:gridSpan w:val="8"/>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GENERAL PROXY INFORMATION</w:t>
            </w:r>
          </w:p>
        </w:tc>
        <w:tc>
          <w:tcPr>
            <w:tcW w:w="1260" w:type="dxa"/>
            <w:vAlign w:val="bottom"/>
            <w:gridSpan w:val="3"/>
          </w:tcPr>
          <w:p>
            <w:pPr>
              <w:spacing w:after="0"/>
              <w:rPr>
                <w:sz w:val="18"/>
                <w:szCs w:val="18"/>
                <w:color w:val="auto"/>
              </w:rPr>
            </w:pPr>
          </w:p>
        </w:tc>
        <w:tc>
          <w:tcPr>
            <w:tcW w:w="6640" w:type="dxa"/>
            <w:vAlign w:val="bottom"/>
            <w:gridSpan w:val="9"/>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CORPORATE GOVERNANCE STANDARDS AND DIRECTOR INDEPENDENCE</w:t>
            </w:r>
          </w:p>
        </w:tc>
        <w:tc>
          <w:tcPr>
            <w:tcW w:w="4440" w:type="dxa"/>
            <w:vAlign w:val="bottom"/>
            <w:gridSpan w:val="4"/>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PROPOSAL NO. 1 ELECTION OF CLASS II DIRECTORS</w:t>
            </w:r>
          </w:p>
        </w:tc>
        <w:tc>
          <w:tcPr>
            <w:tcW w:w="1820" w:type="dxa"/>
            <w:vAlign w:val="bottom"/>
            <w:gridSpan w:val="2"/>
          </w:tcPr>
          <w:p>
            <w:pPr>
              <w:spacing w:after="0"/>
              <w:rPr>
                <w:sz w:val="18"/>
                <w:szCs w:val="18"/>
                <w:color w:val="auto"/>
              </w:rPr>
            </w:pPr>
          </w:p>
        </w:tc>
        <w:tc>
          <w:tcPr>
            <w:tcW w:w="4440" w:type="dxa"/>
            <w:vAlign w:val="bottom"/>
            <w:gridSpan w:val="4"/>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10"/>
        </w:trPr>
        <w:tc>
          <w:tcPr>
            <w:tcW w:w="10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PROPOSAL NO. 2 RATIFICATION OF INDEPENDENT REGISTERED PUBLIC ACCOUNTING FIRM</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09"/>
        </w:trPr>
        <w:tc>
          <w:tcPr>
            <w:tcW w:w="77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2900" w:type="dxa"/>
            <w:vAlign w:val="bottom"/>
            <w:gridSpan w:val="2"/>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
        </w:trPr>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PROPOSAL NO. 3 NON-BINDING ADVISORY VOTE ON COMPENSATION OF OUR NAMED EXECUTIVE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9"/>
        </w:trPr>
        <w:tc>
          <w:tcPr>
            <w:tcW w:w="92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460" w:type="dxa"/>
            <w:vAlign w:val="bottom"/>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09"/>
        </w:trPr>
        <w:tc>
          <w:tcPr>
            <w:tcW w:w="67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3960" w:type="dxa"/>
            <w:vAlign w:val="bottom"/>
            <w:gridSpan w:val="3"/>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8240" w:type="dxa"/>
            <w:vAlign w:val="bottom"/>
            <w:gridSpan w:val="13"/>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9"/>
        </w:trPr>
        <w:tc>
          <w:tcPr>
            <w:tcW w:w="3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EQUITY COMPENSATION PLAN INFORMATION</w:t>
            </w:r>
          </w:p>
        </w:tc>
        <w:tc>
          <w:tcPr>
            <w:tcW w:w="6780" w:type="dxa"/>
            <w:vAlign w:val="bottom"/>
            <w:gridSpan w:val="10"/>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106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RELATED-PARTY TRANSACTIONS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10"/>
        </w:trPr>
        <w:tc>
          <w:tcPr>
            <w:tcW w:w="2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ADDITIONAL INFORMATION</w:t>
            </w:r>
          </w:p>
        </w:tc>
        <w:tc>
          <w:tcPr>
            <w:tcW w:w="3080" w:type="dxa"/>
            <w:vAlign w:val="bottom"/>
            <w:tcBorders>
              <w:top w:val="single" w:sz="8" w:color="0000FF"/>
            </w:tcBorders>
            <w:gridSpan w:val="9"/>
          </w:tcPr>
          <w:p>
            <w:pPr>
              <w:spacing w:after="0"/>
              <w:rPr>
                <w:sz w:val="18"/>
                <w:szCs w:val="18"/>
                <w:color w:val="auto"/>
              </w:rPr>
            </w:pPr>
          </w:p>
        </w:tc>
        <w:tc>
          <w:tcPr>
            <w:tcW w:w="5200" w:type="dxa"/>
            <w:vAlign w:val="bottom"/>
            <w:gridSpan w:val="5"/>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9"/>
        </w:trPr>
        <w:tc>
          <w:tcPr>
            <w:tcW w:w="1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OTHER MATTERS</w:t>
            </w:r>
          </w:p>
        </w:tc>
        <w:tc>
          <w:tcPr>
            <w:tcW w:w="9220" w:type="dxa"/>
            <w:vAlign w:val="bottom"/>
            <w:gridSpan w:val="16"/>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00" w:top="1440" w:right="6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10770 Wateridge Circle, Suite 210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0980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156845</wp:posOffset>
            </wp:positionV>
            <wp:extent cx="70980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23,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accompanying proxy is solicited on behalf of AnaptysBio, Inc.’s board of directors for use at AnaptysBio’s 2022 Annual Meeting of Stockholders (“Annual Meeting”) to be held at AnaptysBio’s corporate office at 10770 Wateridge Circle, Suite 210, San Diego, California 92121, on Thursday, June 23, 2022 at 9:00 a.m. (Pacific Daylight Time), and any adjournment or postponement thereof.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rules adopted by the Securities and Exchange Commission (“SEC”), we are furnishing proxy materials to our stockholders primarily via the Internet, instead of mailing printed copies to each stockholder. On or about May 6, 2022,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spacing w:after="0" w:line="1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Meeting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Quorum</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Only holders of record of common stock at the close of business on April 25, 2022, the record date, will be entitled to vote at the meeting. At the close of business on April 25, 2022, 28,186,065 shares of common stock were outstanding and entitled to vote.</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shares of stock entitled to vote at the meeting as of the record date must be present or represented by proxy at the meeting in order to hold the meeting and conduct business. This presence is called a quorum. Your shares are counted as present at the meeting if you are present and vote in person at the meeting or if you have properly submitted a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PROXY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shares of common stock is entitled to one vote for each share of common stock held as of the close of business on April 25, 2022,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spacing w:after="0" w:line="1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Shares Registered in Your Name. </w:t>
      </w:r>
      <w:r>
        <w:rPr>
          <w:rFonts w:ascii="Times New Roman" w:cs="Times New Roman" w:eastAsia="Times New Roman" w:hAnsi="Times New Roman"/>
          <w:sz w:val="18"/>
          <w:szCs w:val="18"/>
          <w:color w:val="auto"/>
        </w:rPr>
        <w:t>If on April 25, 2022, your shares were registered directly in your name with our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Stock Transfer &amp;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Beneficial Owner: Shares Registered in the Name of a Broker or Nominee. </w:t>
      </w:r>
      <w:r>
        <w:rPr>
          <w:rFonts w:ascii="Times New Roman" w:cs="Times New Roman" w:eastAsia="Times New Roman" w:hAnsi="Times New Roman"/>
          <w:sz w:val="18"/>
          <w:szCs w:val="18"/>
          <w:color w:val="auto"/>
        </w:rPr>
        <w:t>If on April 25, 2022, your shares were held in an account with a brokerage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1: </w:t>
      </w:r>
      <w:r>
        <w:rPr>
          <w:rFonts w:ascii="Times New Roman" w:cs="Times New Roman" w:eastAsia="Times New Roman" w:hAnsi="Times New Roman"/>
          <w:sz w:val="18"/>
          <w:szCs w:val="18"/>
          <w:color w:val="auto"/>
        </w:rPr>
        <w:t>Each director will be elected by a plurality of the votes cast at the meeting. This means that the three individuals nominated for election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at the meeting receiving the highest number of votes cast “FOR” that nominee will be elected. You may either vote “FOR” one or more of the nominees or “WITHHOLD” your vote with respect to any or all of nominees. You may not cumulate votes in the election of directors.</w:t>
      </w:r>
    </w:p>
    <w:p>
      <w:pPr>
        <w:spacing w:after="0" w:line="13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color w:val="auto"/>
        </w:rPr>
        <w:t>Approval of the ratification of the appointment of our independent registered public accounting firm will be obtained if the number of votes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cast “FOR” the proposal at the meeting exceeds the number of votes cast “AGAINST” the proposal.</w:t>
      </w:r>
    </w:p>
    <w:p>
      <w:pPr>
        <w:spacing w:after="0" w:line="12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3: </w:t>
      </w:r>
      <w:r>
        <w:rPr>
          <w:rFonts w:ascii="Times New Roman" w:cs="Times New Roman" w:eastAsia="Times New Roman" w:hAnsi="Times New Roman"/>
          <w:sz w:val="18"/>
          <w:szCs w:val="18"/>
          <w:color w:val="auto"/>
        </w:rPr>
        <w:t>The advisory vote on named executive officer compensation will be obtained if the number of votes cast “FOR” the proposal at the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exceeds the number of votes cast “AGAINST” the proposal. This vote is advisory and non-binding in nature.</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and, therefore, will have no effect on the matters being voted upon. Proposal 2 is considered a routine proposal and is subject to the discretionary vote of the broker.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 of Directors on Each of the Proposals Scheduled to be Voted on at the Meeting</w:t>
      </w:r>
    </w:p>
    <w:p>
      <w:pPr>
        <w:spacing w:after="0" w:line="1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Class II directors named in this proxy statement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KPMG LLP as our independent registered public accounting firm for the fiscal year ending December 31, 2022 (Proposal 2),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vote on named executive officer compensation (Proposal 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Instructions; Voting of Proxies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w:t>
      </w:r>
    </w:p>
    <w:p>
      <w:pPr>
        <w:spacing w:after="0" w:line="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 we will provide a ballot to stockholders who attend the meeting and wish to vote in person;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157" w:right="359" w:bottom="1440" w:gutter="0" w:footer="0" w:header="0"/>
        </w:sectPr>
      </w:pPr>
    </w:p>
    <w:bookmarkStart w:id="6" w:name="page7"/>
    <w:bookmarkEnd w:id="6"/>
    <w:p>
      <w:pPr>
        <w:ind w:left="660" w:right="1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through the Internet or by telephone - in order to do so, please follow the instructions shown on your Notice of Internet Availability or proxy card; or</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 or receive a paper proxy card and voting instructions by mail, simply complete, sign and date the proxy card and return it as soon as possible before the meeting in the envelope provided.</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Votes submitted through the Internet or by telephone must be received by 11:59 p.m., Eastern Time, on June 22, 2022.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 For Proposal 1, you may vote “FOR” each of the nominees to the board of directors or you may withhold your vote from any nominee you specify.</w:t>
      </w:r>
    </w:p>
    <w:p>
      <w:pPr>
        <w:spacing w:after="0" w:line="110" w:lineRule="exact"/>
        <w:rPr>
          <w:sz w:val="20"/>
          <w:szCs w:val="20"/>
          <w:color w:val="auto"/>
        </w:rPr>
      </w:pPr>
    </w:p>
    <w:p>
      <w:pPr>
        <w:ind w:right="420"/>
        <w:spacing w:after="0" w:line="230" w:lineRule="auto"/>
        <w:rPr>
          <w:sz w:val="20"/>
          <w:szCs w:val="20"/>
          <w:color w:val="auto"/>
        </w:rPr>
      </w:pPr>
      <w:r>
        <w:rPr>
          <w:rFonts w:ascii="Times New Roman" w:cs="Times New Roman" w:eastAsia="Times New Roman" w:hAnsi="Times New Roman"/>
          <w:sz w:val="18"/>
          <w:szCs w:val="18"/>
          <w:color w:val="auto"/>
        </w:rPr>
        <w:t>For Proposal 2 and Proposal 3, you may vote “FOR” or “AGAINST” or “ABSTAIN” from voting. Your vote is important. Whether or not you plan to attend the meeting, we urge you to vote by proxy to ensure that your vote is counted.</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of directors stated above.</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stockholder of record who has given a proxy may revoke it at any time before the closing of the polls by the inspector of elections at the meeting by:</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(by any means) a written notice stating that the proxy is revoked;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through the Internet or by telephone;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meeting (although attendance at the meeting will not, by itself, revoke a proxy).</w:t>
      </w:r>
    </w:p>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brokerage firm, bank or other nominee and you wish to revoke a proxy, you must contact that firm to revoke or change any prior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16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Electronic Access to the Proxy Materials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Internet Availability will provide you with instructions regarding how to:</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our proxy materials for the meeting through the Internet;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mail paper copies of our future proxy materials to you;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send our future proxy materials to you electronically by email.</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elections appointed for the meeting. The preliminary voting results will be announced at the meeting and posted on our website at http://ir.anaptysbio.com. The final results will be tallied by the inspector of elections and filed with the SEC in a current report on Form 8-K within four business days of the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of 1934, as amended (the “Exchange Act”), and have elected to provide in this proxy statement certain scaled disclosures permitted under the Exchange Act for smaller reporting companies. We will remain a “smaller reporting company” until the fiscal year following the determination that our voting and non-voting common shares held by non-affiliates is at least $250 million measured on the last business day of our second fiscal quarter, or our annual revenues are at least $100 million during the most recently completed fiscal year and our voting and non-voting common shares held by non-affiliates is at least $700 million measured on the last business day of our second fiscal quarter. Accordingly, the information contained in this proxy statement and the matters to be voted on at the Annual Meeting may not be as extensive as the information and proxy proposals submitted by other public companies that are not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157"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 STANDARDS AND DIRECTOR INDEPENDENCE</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committed to good corporate governance practices. These practices provide an important framework within which our board of directors and management pursue our strategic objectives for the benefit of our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0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positions of Chief Executive Officer and Chairman of our board of directors are held by two different individuals. Mr. Hamza Suria resigned as our Chief Executive Officer and as a Class II director of our board of directors effective March 20, 2022. Our board of directors appointed Dan Faga, a Class I director of our board of directors, to serve as our Interim President and Chief Executive Officer effective March 21, 2022. Dr. James Topper serves as Chairman of our board of directors. This separated structure allows our Chief Executive Officer to focus on our day-to-day business while our Chairman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Our board of directors also has a Lead Independent Director, Mr. Hollings Renton.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directors’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cybersecurity assessment and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4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2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Dr. Fenton, Ms. Hamill, Dr. Marquet, Mr. Renton, Mr. Schmid, Dr. Topper, Mr. Nodelman and Dr. Ware, representing eight of our nine directors,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57" w:right="339" w:bottom="1440" w:gutter="0" w:footer="0" w:header="0"/>
        </w:sectPr>
      </w:pPr>
    </w:p>
    <w:bookmarkStart w:id="9" w:name="page10"/>
    <w:bookmarkEnd w:id="9"/>
    <w:p>
      <w:pPr>
        <w:ind w:right="180"/>
        <w:spacing w:after="0" w:line="256" w:lineRule="auto"/>
        <w:rPr>
          <w:sz w:val="20"/>
          <w:szCs w:val="20"/>
          <w:color w:val="auto"/>
        </w:rPr>
      </w:pPr>
      <w:r>
        <w:rPr>
          <w:rFonts w:ascii="Times New Roman" w:cs="Times New Roman" w:eastAsia="Times New Roman" w:hAnsi="Times New Roman"/>
          <w:sz w:val="18"/>
          <w:szCs w:val="18"/>
          <w:color w:val="auto"/>
        </w:rPr>
        <w:t>“independent directors” as defined under the applicable rules and regulations of the SEC, and the listing requirements and rules of Nasdaq. Our board of directors determined that Mr. Faga was an independent director during fiscal year 2021. Mr. Faga ceased to be an independent director when he was appointed to serve as our Interim President and Chief Executive Officer effective March 21, 2022.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committee operates under a charter approved by our board of directors. Copies of each committee’s charter are posted on the investor relations section of our website at http://ir.anaptysbio.com.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audit committee is composed of Dr. Marquet, Ms. Hamill, Mr. Schmid and Dr. Ware. Mr. Schmid is the chairperson of our audit committee. Dr. Marquet, Ms. Hamill, Mr. Schmid and Dr. Ware each meet the requirements for independence under the current Nasdaq listing standards and SEC rules and regulations. Each member of our audit committee is financially literate. In addition, our board of directors has determined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our financial statement audits and the integrity of our financial statements;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person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registered independent public accounting firm;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with risk assessment and management, including cybersecurity risk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auditors;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our annual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compensation committee is composed of Dr. Fenton, Ms. Hamill and Mr. Schmid. Dr. Fenton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spacing w:after="0" w:line="7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and director compensation arrangements, plans, policies and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any other board of director responsibilities relating to executive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policies for elements of risk;</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disclosures contained under the caption “Compensation Discussion and Analysis” for use in our annual proxy statement, if required;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161" w:right="359" w:bottom="1440" w:gutter="0" w:footer="0" w:header="0"/>
        </w:sectPr>
      </w:pPr>
    </w:p>
    <w:bookmarkStart w:id="10" w:name="page11"/>
    <w:bookmarkEnd w:id="10"/>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the other responsibilities set forth in its charters as in effect from time to time.</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compensation committee retained an independent compensation consultant, Compensia, Inc. (“Compensia”), a national compensation consulting firm, to assist in structuring our executive officer and director compensation for 2022. Compensia provided our compensation committee with market data and analyses from a peer group of biotechnology companies with product candidates in a similar stage of development and similar financial and size characteristics. Compensia has not provided our company or our compensation committee with any other services during 2022 that would compromise its independence or pose a conflict of interest.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composed of Mr. Nodelman, Mr. Renton, Dr. Topper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13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corporate governance guidelines and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of directors;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on other corporate governance matters.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Codes of Business Conduct and Ethics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for Directors or our Code of Conduct for Employees pertaining to a member of our board of directors or one of our executive officers will be disclosed on our website at the above-referenced address.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Prohibitions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our Insider Trading Policy, our employees, executive officers, and members of our board of directors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or (iii) purchasing our securities on margin, borrowing against any account in which our securities are held, or pledging our securities as collateral for a loan.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board of directors and its committees meet regularly throughout the year and also hold special meetings and act by written consent from time to time. During 2021, the board of directors held seven meetings, including by videoconference, the audit committee held four meetings, the compensation committee held four meetings and the nominating and corporate governance committee held two meetings. During 2021, none of the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Board Attendance at Annual Stockholders’ Meeting</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Nine directors were in attendance at our 2021 annual meeting of stockholders, which was held prior to Mr. Faga joining the Board of Directors in November 2021. We invite and encourage each member of our board of directors to attend our annual meetings of stockholders, however, we do not have a formal policy regarding attendance of annual meetings by the members of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and interested parties who wish to communicate with our board of directors, non-management members of our board of directors as a group, a committee of the board of directors or a specific member of our board of directors (including our Chairman) may do so by letters addressed to the attention of our Corporate Secretary, AnaptysBio, Inc., 10770 Wateridge Circle, Suite 210, San Diego, CA 92121.</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the complex nature of our business, the Board believes it is important to consider diversity of race, ethnicity, gender, sexual orientation, age, education, cultural background, and professional experiences in evaluating board candidates in order to provide practical insights and diverse perspectives. In addition, on our board of directors there are two directors who hold medical doctorates and two directors who hold doctorates in scientific fields. Members of our Board self-identify as set forth in the table below. Each of the categories listed in the table below has the meaning set forth in Nasdaq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2392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9204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0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left="172"/>
              <w:spacing w:after="0"/>
              <w:rPr>
                <w:sz w:val="20"/>
                <w:szCs w:val="20"/>
                <w:color w:val="auto"/>
              </w:rPr>
            </w:pPr>
            <w:r>
              <w:rPr>
                <w:rFonts w:ascii="Times New Roman" w:cs="Times New Roman" w:eastAsia="Times New Roman" w:hAnsi="Times New Roman"/>
                <w:sz w:val="18"/>
                <w:szCs w:val="18"/>
                <w:color w:val="auto"/>
                <w:w w:val="88"/>
              </w:rPr>
              <w:t>9</w:t>
            </w:r>
          </w:p>
        </w:tc>
        <w:tc>
          <w:tcPr>
            <w:tcW w:w="19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6120" w:type="dxa"/>
            <w:vAlign w:val="bottom"/>
            <w:tcBorders>
              <w:right w:val="single" w:sz="8" w:color="auto"/>
            </w:tcBorders>
            <w:shd w:val="clear" w:color="auto" w:fill="E5E5E5"/>
          </w:tcPr>
          <w:p>
            <w:pPr>
              <w:spacing w:after="0"/>
              <w:rPr>
                <w:sz w:val="11"/>
                <w:szCs w:val="11"/>
                <w:color w:val="auto"/>
              </w:rPr>
            </w:pPr>
          </w:p>
        </w:tc>
        <w:tc>
          <w:tcPr>
            <w:tcW w:w="1020" w:type="dxa"/>
            <w:vAlign w:val="bottom"/>
            <w:tcBorders>
              <w:right w:val="single" w:sz="8" w:color="auto"/>
            </w:tcBorders>
            <w:vMerge w:val="restart"/>
            <w:shd w:val="clear" w:color="auto" w:fill="E5E5E5"/>
          </w:tcPr>
          <w:p>
            <w:pPr>
              <w:ind w:left="260"/>
              <w:spacing w:after="0"/>
              <w:rPr>
                <w:sz w:val="20"/>
                <w:szCs w:val="20"/>
                <w:color w:val="auto"/>
              </w:rPr>
            </w:pPr>
            <w:r>
              <w:rPr>
                <w:rFonts w:ascii="Times New Roman" w:cs="Times New Roman" w:eastAsia="Times New Roman" w:hAnsi="Times New Roman"/>
                <w:sz w:val="14"/>
                <w:szCs w:val="14"/>
                <w:b w:val="1"/>
                <w:bCs w:val="1"/>
                <w:color w:val="auto"/>
              </w:rPr>
              <w:t>Woman</w:t>
            </w:r>
          </w:p>
        </w:tc>
        <w:tc>
          <w:tcPr>
            <w:tcW w:w="960" w:type="dxa"/>
            <w:vAlign w:val="bottom"/>
            <w:tcBorders>
              <w:right w:val="single" w:sz="8" w:color="auto"/>
            </w:tcBorders>
            <w:vMerge w:val="restart"/>
            <w:shd w:val="clear" w:color="auto" w:fill="E5E5E5"/>
          </w:tcPr>
          <w:p>
            <w:pPr>
              <w:ind w:left="320"/>
              <w:spacing w:after="0"/>
              <w:rPr>
                <w:sz w:val="20"/>
                <w:szCs w:val="20"/>
                <w:color w:val="auto"/>
              </w:rPr>
            </w:pPr>
            <w:r>
              <w:rPr>
                <w:rFonts w:ascii="Times New Roman" w:cs="Times New Roman" w:eastAsia="Times New Roman" w:hAnsi="Times New Roman"/>
                <w:sz w:val="14"/>
                <w:szCs w:val="14"/>
                <w:b w:val="1"/>
                <w:bCs w:val="1"/>
                <w:color w:val="auto"/>
              </w:rPr>
              <w:t>Man</w:t>
            </w:r>
          </w:p>
        </w:tc>
        <w:tc>
          <w:tcPr>
            <w:tcW w:w="1220" w:type="dxa"/>
            <w:vAlign w:val="bottom"/>
            <w:tcBorders>
              <w:right w:val="single" w:sz="8" w:color="auto"/>
            </w:tcBorders>
            <w:vMerge w:val="restart"/>
            <w:shd w:val="clear" w:color="auto" w:fill="E5E5E5"/>
          </w:tcPr>
          <w:p>
            <w:pPr>
              <w:ind w:left="240"/>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900" w:type="dxa"/>
            <w:vAlign w:val="bottom"/>
            <w:shd w:val="clear" w:color="auto" w:fill="E5E5E5"/>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Did Not Disclose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120" w:type="dxa"/>
            <w:vAlign w:val="bottom"/>
            <w:tcBorders>
              <w:bottom w:val="single" w:sz="8" w:color="auto"/>
              <w:right w:val="single" w:sz="8" w:color="auto"/>
            </w:tcBorders>
            <w:shd w:val="clear" w:color="auto" w:fill="E5E5E5"/>
          </w:tcPr>
          <w:p>
            <w:pPr>
              <w:spacing w:after="0"/>
              <w:rPr>
                <w:sz w:val="16"/>
                <w:szCs w:val="16"/>
                <w:color w:val="auto"/>
              </w:rPr>
            </w:pPr>
          </w:p>
        </w:tc>
        <w:tc>
          <w:tcPr>
            <w:tcW w:w="1020" w:type="dxa"/>
            <w:vAlign w:val="bottom"/>
            <w:tcBorders>
              <w:bottom w:val="single" w:sz="8" w:color="auto"/>
              <w:right w:val="single" w:sz="8" w:color="auto"/>
            </w:tcBorders>
            <w:vMerge w:val="continue"/>
            <w:shd w:val="clear" w:color="auto" w:fill="E5E5E5"/>
          </w:tcPr>
          <w:p>
            <w:pPr>
              <w:spacing w:after="0"/>
              <w:rPr>
                <w:sz w:val="16"/>
                <w:szCs w:val="16"/>
                <w:color w:val="auto"/>
              </w:rPr>
            </w:pPr>
          </w:p>
        </w:tc>
        <w:tc>
          <w:tcPr>
            <w:tcW w:w="960" w:type="dxa"/>
            <w:vAlign w:val="bottom"/>
            <w:tcBorders>
              <w:bottom w:val="single" w:sz="8" w:color="auto"/>
              <w:right w:val="single" w:sz="8" w:color="auto"/>
            </w:tcBorders>
            <w:vMerge w:val="continue"/>
            <w:shd w:val="clear" w:color="auto" w:fill="E5E5E5"/>
          </w:tcPr>
          <w:p>
            <w:pPr>
              <w:spacing w:after="0"/>
              <w:rPr>
                <w:sz w:val="16"/>
                <w:szCs w:val="16"/>
                <w:color w:val="auto"/>
              </w:rPr>
            </w:pPr>
          </w:p>
        </w:tc>
        <w:tc>
          <w:tcPr>
            <w:tcW w:w="1220" w:type="dxa"/>
            <w:vAlign w:val="bottom"/>
            <w:tcBorders>
              <w:bottom w:val="single" w:sz="8" w:color="auto"/>
              <w:right w:val="single" w:sz="8" w:color="auto"/>
            </w:tcBorders>
            <w:vMerge w:val="continue"/>
            <w:shd w:val="clear" w:color="auto" w:fill="E5E5E5"/>
          </w:tcPr>
          <w:p>
            <w:pPr>
              <w:spacing w:after="0"/>
              <w:rPr>
                <w:sz w:val="16"/>
                <w:szCs w:val="16"/>
                <w:color w:val="auto"/>
              </w:rPr>
            </w:pPr>
          </w:p>
        </w:tc>
        <w:tc>
          <w:tcPr>
            <w:tcW w:w="1900" w:type="dxa"/>
            <w:vAlign w:val="bottom"/>
            <w:tcBorders>
              <w:bottom w:val="single" w:sz="8" w:color="auto"/>
            </w:tcBorders>
            <w:shd w:val="clear" w:color="auto" w:fill="E5E5E5"/>
          </w:tcPr>
          <w:p>
            <w:pPr>
              <w:ind w:left="7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20" w:type="dxa"/>
            <w:vAlign w:val="bottom"/>
            <w:tcBorders>
              <w:bottom w:val="single" w:sz="8" w:color="auto"/>
              <w:right w:val="single" w:sz="8" w:color="E5E5E5"/>
            </w:tcBorders>
            <w:shd w:val="clear" w:color="auto" w:fill="E5E5E5"/>
          </w:tcPr>
          <w:p>
            <w:pPr>
              <w:ind w:left="14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020" w:type="dxa"/>
            <w:vAlign w:val="bottom"/>
            <w:tcBorders>
              <w:bottom w:val="single" w:sz="8" w:color="auto"/>
              <w:right w:val="single" w:sz="8" w:color="E5E5E5"/>
            </w:tcBorders>
            <w:shd w:val="clear" w:color="auto" w:fill="E5E5E5"/>
          </w:tcPr>
          <w:p>
            <w:pPr>
              <w:spacing w:after="0"/>
              <w:rPr>
                <w:sz w:val="19"/>
                <w:szCs w:val="19"/>
                <w:color w:val="auto"/>
              </w:rPr>
            </w:pPr>
          </w:p>
        </w:tc>
        <w:tc>
          <w:tcPr>
            <w:tcW w:w="960" w:type="dxa"/>
            <w:vAlign w:val="bottom"/>
            <w:tcBorders>
              <w:bottom w:val="single" w:sz="8" w:color="auto"/>
              <w:right w:val="single" w:sz="8" w:color="E5E5E5"/>
            </w:tcBorders>
            <w:shd w:val="clear" w:color="auto" w:fill="E5E5E5"/>
          </w:tcPr>
          <w:p>
            <w:pPr>
              <w:spacing w:after="0"/>
              <w:rPr>
                <w:sz w:val="19"/>
                <w:szCs w:val="19"/>
                <w:color w:val="auto"/>
              </w:rPr>
            </w:pPr>
          </w:p>
        </w:tc>
        <w:tc>
          <w:tcPr>
            <w:tcW w:w="1220" w:type="dxa"/>
            <w:vAlign w:val="bottom"/>
            <w:tcBorders>
              <w:bottom w:val="single" w:sz="8" w:color="auto"/>
              <w:right w:val="single" w:sz="8" w:color="E5E5E5"/>
            </w:tcBorders>
            <w:shd w:val="clear" w:color="auto" w:fill="E5E5E5"/>
          </w:tcPr>
          <w:p>
            <w:pPr>
              <w:spacing w:after="0"/>
              <w:rPr>
                <w:sz w:val="19"/>
                <w:szCs w:val="19"/>
                <w:color w:val="auto"/>
              </w:rPr>
            </w:pPr>
          </w:p>
        </w:tc>
        <w:tc>
          <w:tcPr>
            <w:tcW w:w="1900" w:type="dxa"/>
            <w:vAlign w:val="bottom"/>
            <w:tcBorders>
              <w:bottom w:val="single" w:sz="8" w:color="auto"/>
            </w:tcBorders>
            <w:shd w:val="clear" w:color="auto" w:fill="E5E5E5"/>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E5E5E5"/>
            </w:tcBorders>
            <w:shd w:val="clear" w:color="auto" w:fill="E5E5E5"/>
          </w:tcPr>
          <w:p>
            <w:pPr>
              <w:ind w:left="14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1020" w:type="dxa"/>
            <w:vAlign w:val="bottom"/>
            <w:tcBorders>
              <w:bottom w:val="single" w:sz="8" w:color="auto"/>
              <w:right w:val="single" w:sz="8" w:color="E5E5E5"/>
            </w:tcBorders>
            <w:shd w:val="clear" w:color="auto" w:fill="E5E5E5"/>
          </w:tcPr>
          <w:p>
            <w:pPr>
              <w:spacing w:after="0"/>
              <w:rPr>
                <w:sz w:val="19"/>
                <w:szCs w:val="19"/>
                <w:color w:val="auto"/>
              </w:rPr>
            </w:pPr>
          </w:p>
        </w:tc>
        <w:tc>
          <w:tcPr>
            <w:tcW w:w="960" w:type="dxa"/>
            <w:vAlign w:val="bottom"/>
            <w:tcBorders>
              <w:bottom w:val="single" w:sz="8" w:color="auto"/>
              <w:right w:val="single" w:sz="8" w:color="E5E5E5"/>
            </w:tcBorders>
            <w:shd w:val="clear" w:color="auto" w:fill="E5E5E5"/>
          </w:tcPr>
          <w:p>
            <w:pPr>
              <w:spacing w:after="0"/>
              <w:rPr>
                <w:sz w:val="19"/>
                <w:szCs w:val="19"/>
                <w:color w:val="auto"/>
              </w:rPr>
            </w:pPr>
          </w:p>
        </w:tc>
        <w:tc>
          <w:tcPr>
            <w:tcW w:w="1220" w:type="dxa"/>
            <w:vAlign w:val="bottom"/>
            <w:tcBorders>
              <w:bottom w:val="single" w:sz="8" w:color="auto"/>
              <w:right w:val="single" w:sz="8" w:color="E5E5E5"/>
            </w:tcBorders>
            <w:shd w:val="clear" w:color="auto" w:fill="E5E5E5"/>
          </w:tcPr>
          <w:p>
            <w:pPr>
              <w:spacing w:after="0"/>
              <w:rPr>
                <w:sz w:val="19"/>
                <w:szCs w:val="19"/>
                <w:color w:val="auto"/>
              </w:rPr>
            </w:pPr>
          </w:p>
        </w:tc>
        <w:tc>
          <w:tcPr>
            <w:tcW w:w="1900" w:type="dxa"/>
            <w:vAlign w:val="bottom"/>
            <w:tcBorders>
              <w:bottom w:val="single" w:sz="8" w:color="auto"/>
            </w:tcBorders>
            <w:shd w:val="clear" w:color="auto" w:fill="E5E5E5"/>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Asian</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Hispanic or Latinx</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White</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20" w:type="dxa"/>
            <w:vAlign w:val="bottom"/>
            <w:tcBorders>
              <w:bottom w:val="single" w:sz="8" w:color="auto"/>
              <w:right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LGBTQ+</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evaluating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spacing w:after="0" w:line="1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157" w:right="339" w:bottom="1440" w:gutter="0" w:footer="0" w:header="0"/>
          <w:type w:val="continuous"/>
        </w:sectPr>
      </w:pPr>
    </w:p>
    <w:bookmarkStart w:id="12" w:name="page13"/>
    <w:bookmarkEnd w:id="12"/>
    <w:p>
      <w:pPr>
        <w:spacing w:after="0" w:line="256" w:lineRule="auto"/>
        <w:rPr>
          <w:sz w:val="20"/>
          <w:szCs w:val="20"/>
          <w:color w:val="auto"/>
        </w:rPr>
      </w:pPr>
      <w:r>
        <w:rPr>
          <w:rFonts w:ascii="Times New Roman" w:cs="Times New Roman" w:eastAsia="Times New Roman" w:hAnsi="Times New Roman"/>
          <w:sz w:val="18"/>
          <w:szCs w:val="18"/>
          <w:color w:val="auto"/>
        </w:rPr>
        <w:t>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1.11 of our Bylaws. Any eligible stockholder who wishes to submit a nomination should review the requirements in the Bylaws on nominations by stockholders. Any nomination should be sent in writing to our Corporate Secretary, AnaptysBio, Inc., 10770 Wateridge Circle, Suite 210, San Diego, CA 92121. Submissions must include the full name of the proposed nominee, complete biographical information, a description of the proposed nominee’s qualifications as a director, other information specified in our Bylaws, and a representation that the nominating stockholder is a beneficial or record holder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161" w:right="3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16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serves for three years, with the terms of office of the respective classes expiring in successive years. Directors and director nominees in Class II will stand for election at this meeting. The terms of office of directors in Class III and Class I do not expire until the annual meetings of stockholders to be held in 2023 and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II directors, whose terms will expire at this Annual Meeting, are Dr. Topper, Dr. Ware and Ms. Hamill.</w:t>
      </w:r>
    </w:p>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recommended to our board of directors, and our board of directors nominated, Dr. Topper, Dr. Ware and Ms. Hamill, each an incumbent Class II director, for election as Class II directors at the Annual Meeting. At the recommendation of our nominating and corporate governance committee, our board of directors proposes that each of Dr. Topper, Dr. Ware and Ms. Hamill be elected as a Class II director for a three-year term expiring at the annual meeting of stockholders to be held in 2025 and until such director’s successor is duly elected and qualified or until such director’s earlier resignation or removal.</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director will be elected by a plurality of the votes present in person or represented by proxy at the meeting and entitled to vote on the election of directors. This means that the three individuals nominated for election to the board of directors at the meeting receiving the highest number of “FOR” votes will be elected. You may either vote “FOR” one or more nominees or “WITHHOLD” your vote with respect to any or all of the individuals nominated for election to the board of directors. You may not cumulate votes in the election of directors. Shares represented by proxies will be voted “FOR” the election of each of the Class II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three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the Board of Directors</w:t>
      </w:r>
    </w:p>
    <w:p>
      <w:pPr>
        <w:spacing w:after="0" w:line="20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nominees and their ages are provided in the table below. Additional biographical information for each nominee is set forth in the text below the table.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00" w:type="dxa"/>
            <w:vAlign w:val="bottom"/>
            <w:tcBorders>
              <w:bottom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 and Class</w:t>
            </w:r>
          </w:p>
        </w:tc>
      </w:tr>
      <w:tr>
        <w:trPr>
          <w:trHeight w:val="223"/>
        </w:trPr>
        <w:tc>
          <w:tcPr>
            <w:tcW w:w="3940" w:type="dxa"/>
            <w:vAlign w:val="bottom"/>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Laura J. Hamill </w:t>
            </w:r>
            <w:r>
              <w:rPr>
                <w:rFonts w:ascii="Times New Roman" w:cs="Times New Roman" w:eastAsia="Times New Roman" w:hAnsi="Times New Roman"/>
                <w:sz w:val="23"/>
                <w:szCs w:val="23"/>
                <w:color w:val="auto"/>
                <w:vertAlign w:val="superscript"/>
              </w:rPr>
              <w:t>(1)(2)</w:t>
            </w:r>
          </w:p>
        </w:tc>
        <w:tc>
          <w:tcPr>
            <w:tcW w:w="23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57</w:t>
            </w:r>
          </w:p>
        </w:tc>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30"/>
        </w:trPr>
        <w:tc>
          <w:tcPr>
            <w:tcW w:w="39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James Topper, M.D., Ph.D.</w:t>
            </w:r>
            <w:r>
              <w:rPr>
                <w:rFonts w:ascii="Times New Roman" w:cs="Times New Roman" w:eastAsia="Times New Roman" w:hAnsi="Times New Roman"/>
                <w:sz w:val="23"/>
                <w:szCs w:val="23"/>
                <w:color w:val="auto"/>
                <w:vertAlign w:val="superscript"/>
              </w:rPr>
              <w:t>(3)</w:t>
            </w:r>
          </w:p>
        </w:tc>
        <w:tc>
          <w:tcPr>
            <w:tcW w:w="23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60</w:t>
            </w: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 Class II</w:t>
            </w:r>
          </w:p>
        </w:tc>
      </w:tr>
      <w:tr>
        <w:trPr>
          <w:trHeight w:val="229"/>
        </w:trPr>
        <w:tc>
          <w:tcPr>
            <w:tcW w:w="39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J. Anthony Ware, M.D.</w:t>
            </w:r>
            <w:r>
              <w:rPr>
                <w:rFonts w:ascii="Times New Roman" w:cs="Times New Roman" w:eastAsia="Times New Roman" w:hAnsi="Times New Roman"/>
                <w:sz w:val="23"/>
                <w:szCs w:val="23"/>
                <w:color w:val="auto"/>
                <w:vertAlign w:val="superscript"/>
              </w:rPr>
              <w:t>(2)(3)</w:t>
            </w:r>
          </w:p>
        </w:tc>
        <w:tc>
          <w:tcPr>
            <w:tcW w:w="23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69</w:t>
            </w:r>
          </w:p>
        </w:tc>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 Class II</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7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8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19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Laura J. Hamill </w:t>
      </w:r>
      <w:r>
        <w:rPr>
          <w:rFonts w:ascii="Times New Roman" w:cs="Times New Roman" w:eastAsia="Times New Roman" w:hAnsi="Times New Roman"/>
          <w:sz w:val="17"/>
          <w:szCs w:val="17"/>
          <w:color w:val="auto"/>
        </w:rPr>
        <w:t>has served as a member of our board of directors since September 2019. From August 2018 to July 2019, Ms. Hamill served as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Vice President, Worldwide Commercial Operations at Gilead Sciences, Inc., a biotechnology company, where she was responsible for leading the company’s commercial operations. Prior to joining Gilead, Ms. Hamill held a number of U.S. and international executive positions of increasing responsibility at Amgen, Inc., a biopharmaceutical company, from July 2000 to July 2018, most recently as Senior Vice President, U.S. Commercial Operations. In addition, Ms. Hamill previously held a variety of roles in the biopharmaceutical industry, including positions at F. Hoffmann-La Roche Ltd., a biopharmaceutical company. Ms. Hamill serves on numerous boards of directors, including Pardes Biosciences, Inc. and Y-mAbs Therapeutics, Inc. In the last five years, Ms. Hamill previously served on the board of directors of Acceleron Pharma, Inc., a publicly traded company, until its acquisition in December 2021. Ms. Hamill holds a bachelor’s degree in business administration from the University of Arizona. Our board believes that Ms. Hamill’s extensive experience in the biopharmaceutical industry and leadership skills provides her with the qualifications and skills to serve our board of directors.</w:t>
      </w:r>
    </w:p>
    <w:p>
      <w:pPr>
        <w:spacing w:after="0" w:line="14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N. Topper, M.D., Ph.D., </w:t>
      </w:r>
      <w:r>
        <w:rPr>
          <w:rFonts w:ascii="Times New Roman" w:cs="Times New Roman" w:eastAsia="Times New Roman" w:hAnsi="Times New Roman"/>
          <w:sz w:val="18"/>
          <w:szCs w:val="18"/>
          <w:color w:val="auto"/>
        </w:rPr>
        <w:t>has served as a member of our board of directors since November 2007. Dr. Topper has been a partner with Frazier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since August 2003, serving as General Partner since 2005. Before joining Frazier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157" w:right="359" w:bottom="1440" w:gutter="0" w:footer="0" w:header="0"/>
        </w:sectPr>
      </w:pPr>
    </w:p>
    <w:bookmarkStart w:id="14" w:name="page15"/>
    <w:bookmarkEnd w:id="14"/>
    <w:p>
      <w:pPr>
        <w:ind w:right="40"/>
        <w:spacing w:after="0" w:line="254" w:lineRule="auto"/>
        <w:rPr>
          <w:sz w:val="20"/>
          <w:szCs w:val="20"/>
          <w:color w:val="auto"/>
        </w:rPr>
      </w:pPr>
      <w:r>
        <w:rPr>
          <w:rFonts w:ascii="Times New Roman" w:cs="Times New Roman" w:eastAsia="Times New Roman" w:hAnsi="Times New Roman"/>
          <w:sz w:val="18"/>
          <w:szCs w:val="18"/>
          <w:color w:val="auto"/>
        </w:rPr>
        <w:t>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and currently serves on the boards of directors of the publicly traded companies Alpine Immune Sciences, Inc. and Frazier Life Sciences Acquisition Corp. In the last five years, Dr. Topper previously served on the boards of directors of the following publicly traded companies: Allena Pharmaceuticals and Sierra Oncology. Dr. Topper received his M.D. and Ph.D. in biophysics from Stanford University and his B.S. in biology from the University of Michigan. Our board of directors believes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14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 Anthony Ware, M.D., </w:t>
      </w:r>
      <w:r>
        <w:rPr>
          <w:rFonts w:ascii="Times New Roman" w:cs="Times New Roman" w:eastAsia="Times New Roman" w:hAnsi="Times New Roman"/>
          <w:sz w:val="17"/>
          <w:szCs w:val="17"/>
          <w:color w:val="auto"/>
        </w:rPr>
        <w:t>has served as a member of our board of directors since August 2017. From 2001 to January 2018, Dr. Ware held numerous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at Eli Lilly 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Coronary Care Unit at Beth Israel Hospital. Dr. Ware received his B.S. from Washburn University, and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 Our board of directors believes that Dr. Ware’s extensive academic and industry experience and significant knowledge of scientific matters provide him with the qualifications and skills to serve on our board of directors.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Not Standing for Election</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directors who are serving or who have been appointed for terms that end following the meeting, and their ages, occupations and length of board service are provided in the table below. Additional biographical information for each nominee is set forth in the text below the table.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Position and Class</w:t>
            </w:r>
          </w:p>
        </w:tc>
      </w:tr>
      <w:tr>
        <w:trPr>
          <w:trHeight w:val="223"/>
        </w:trPr>
        <w:tc>
          <w:tcPr>
            <w:tcW w:w="3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Daniel Faga</w:t>
            </w:r>
            <w:r>
              <w:rPr>
                <w:rFonts w:ascii="Times New Roman" w:cs="Times New Roman" w:eastAsia="Times New Roman" w:hAnsi="Times New Roman"/>
                <w:sz w:val="23"/>
                <w:szCs w:val="23"/>
                <w:color w:val="auto"/>
                <w:vertAlign w:val="superscript"/>
              </w:rPr>
              <w:t>(1)</w:t>
            </w:r>
          </w:p>
        </w:tc>
        <w:tc>
          <w:tcPr>
            <w:tcW w:w="200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9"/>
              </w:rPr>
              <w:t>42</w:t>
            </w: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30"/>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Dennis Fenton, Ph.D.</w:t>
            </w:r>
            <w:r>
              <w:rPr>
                <w:rFonts w:ascii="Times New Roman" w:cs="Times New Roman" w:eastAsia="Times New Roman" w:hAnsi="Times New Roman"/>
                <w:sz w:val="23"/>
                <w:szCs w:val="23"/>
                <w:color w:val="auto"/>
                <w:vertAlign w:val="superscript"/>
              </w:rPr>
              <w:t>(2)</w:t>
            </w:r>
          </w:p>
        </w:tc>
        <w:tc>
          <w:tcPr>
            <w:tcW w:w="2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70</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3"/>
                <w:szCs w:val="23"/>
                <w:color w:val="auto"/>
                <w:vertAlign w:val="superscript"/>
              </w:rPr>
              <w:t>.(3)</w:t>
            </w:r>
          </w:p>
        </w:tc>
        <w:tc>
          <w:tcPr>
            <w:tcW w:w="200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9"/>
              </w:rPr>
              <w:t>45</w:t>
            </w: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30"/>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Magda Marquet, Ph. D.</w:t>
            </w:r>
            <w:r>
              <w:rPr>
                <w:rFonts w:ascii="Times New Roman" w:cs="Times New Roman" w:eastAsia="Times New Roman" w:hAnsi="Times New Roman"/>
                <w:sz w:val="23"/>
                <w:szCs w:val="23"/>
                <w:color w:val="auto"/>
                <w:vertAlign w:val="superscript"/>
              </w:rPr>
              <w:t>(4)</w:t>
            </w:r>
          </w:p>
        </w:tc>
        <w:tc>
          <w:tcPr>
            <w:tcW w:w="2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63</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29"/>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Hollings Renton, M.B.A.</w:t>
            </w:r>
            <w:r>
              <w:rPr>
                <w:rFonts w:ascii="Times New Roman" w:cs="Times New Roman" w:eastAsia="Times New Roman" w:hAnsi="Times New Roman"/>
                <w:sz w:val="23"/>
                <w:szCs w:val="23"/>
                <w:color w:val="auto"/>
                <w:vertAlign w:val="superscript"/>
              </w:rPr>
              <w:t>(3)(5)</w:t>
            </w:r>
          </w:p>
        </w:tc>
        <w:tc>
          <w:tcPr>
            <w:tcW w:w="200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9"/>
              </w:rPr>
              <w:t>75</w:t>
            </w: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30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John P. Schmid </w:t>
            </w:r>
            <w:r>
              <w:rPr>
                <w:rFonts w:ascii="Times New Roman" w:cs="Times New Roman" w:eastAsia="Times New Roman" w:hAnsi="Times New Roman"/>
                <w:sz w:val="23"/>
                <w:szCs w:val="23"/>
                <w:color w:val="auto"/>
                <w:vertAlign w:val="superscript"/>
              </w:rPr>
              <w:t>(2)(4)</w:t>
            </w:r>
          </w:p>
        </w:tc>
        <w:tc>
          <w:tcPr>
            <w:tcW w:w="2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59</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Class III</w:t>
            </w:r>
          </w:p>
        </w:tc>
      </w:tr>
    </w:tbl>
    <w:p>
      <w:pPr>
        <w:ind w:left="2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3"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Faga has been appointed as our Interim President and Chief Executive Officer, effective March 21, 2022.</w:t>
      </w:r>
    </w:p>
    <w:p>
      <w:pPr>
        <w:spacing w:after="0" w:line="7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8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8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8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Independent Director</w:t>
      </w:r>
    </w:p>
    <w:p>
      <w:pPr>
        <w:spacing w:after="0" w:line="15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Daniel Faga </w:t>
      </w:r>
      <w:r>
        <w:rPr>
          <w:rFonts w:ascii="Times New Roman" w:cs="Times New Roman" w:eastAsia="Times New Roman" w:hAnsi="Times New Roman"/>
          <w:sz w:val="17"/>
          <w:szCs w:val="17"/>
          <w:color w:val="auto"/>
        </w:rPr>
        <w:t>has served as a member of our board of directors since November 2021, and has served as our Interim President and Chief Executive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March 2022. From January 2020 to November 2021, Mr. Faga served as Chief Operating Officer at Mirati Therapeutics responsible for leading the company's strategy, corporate finance, legal and other business operations. Prior to joining Mirati, Mr. Faga served as the Chief Business Officer for Spark Therapeutics, Inc. from May 2016 through December 2019, where he was responsible for the Corporate Strategy &amp; Public Affairs organization including leadership of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161" w:right="359" w:bottom="1440" w:gutter="0" w:footer="0" w:header="0"/>
        </w:sectPr>
      </w:pPr>
    </w:p>
    <w:bookmarkStart w:id="15" w:name="page16"/>
    <w:bookmarkEnd w:id="15"/>
    <w:p>
      <w:pPr>
        <w:ind w:right="80"/>
        <w:spacing w:after="0" w:line="261" w:lineRule="auto"/>
        <w:rPr>
          <w:sz w:val="20"/>
          <w:szCs w:val="20"/>
          <w:color w:val="auto"/>
        </w:rPr>
      </w:pPr>
      <w:r>
        <w:rPr>
          <w:rFonts w:ascii="Times New Roman" w:cs="Times New Roman" w:eastAsia="Times New Roman" w:hAnsi="Times New Roman"/>
          <w:sz w:val="18"/>
          <w:szCs w:val="18"/>
          <w:color w:val="auto"/>
        </w:rPr>
        <w:t>worked at Merrill Lynch in its healthcare investment banking group and as a management consultant in the Life Sciences Practice at PRTM. Mr. Faga earned a B.S. in Engineering from Cornell University and an M.B.A. in Health Care Management from The Wharton School at the University of Pennsylvania. Our board of directors believes that Mr. Faga’s extensive industry experience and executive experience provides him with the qualifications and skills to serve on our board of directors.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Dennis Fenton, Ph.D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has served as a member of our board of directors since March 2018. From 1981 to 2008, Dr. Fenton held numerous positions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Amgen, Inc., a 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In the past five years, Dr. Fenton previously served on the boards of directors of Sienna Biopharmaceuticals, Inc., Portola Pharmaceuticals, Inc. and Pfenex Inc., a publicly traded company. Dr. Fenton holds a B.S. in Biology from Manhattan College and a Ph.D. in Microbiology from Rutgers University. Our board of directors believes that Dr. Fenton’s extensive experience in the life sciences industry provides him with the qualifications and skills to serve on our board of directors.</w:t>
      </w:r>
    </w:p>
    <w:p>
      <w:pPr>
        <w:spacing w:after="0" w:line="14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Oleg Nodelman </w:t>
      </w:r>
      <w:r>
        <w:rPr>
          <w:rFonts w:ascii="Times New Roman" w:cs="Times New Roman" w:eastAsia="Times New Roman" w:hAnsi="Times New Roman"/>
          <w:sz w:val="18"/>
          <w:szCs w:val="18"/>
          <w:color w:val="auto"/>
        </w:rPr>
        <w:t>has served as a member of our board of directors since April 2021. Since October 2013, Mr. Nodelman has served as the 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Manager of EcoR1 Capital LLC, a biotech-focused investment advisory firm established in 2013, and one of our principal shareholders. Previously, Mr. Nodelman served as a Portfolio Manager at BVF Partners from 2001 to 2012. Mr. Nodelman earned a B.S.F.S. in Science and Technology from Georgetown University, School of Foreign Service in 1999. Mr. Nodelman serves on the boards of directors of the publicly traded companies Prothena Corporation plc, Nuvation Bio Inc. and Panacea Acquisition Corp.II. Our board of directors believes that Mr. Nodelman’s extensive industry experience provides him with the qualifications and skills to serve on our board of directors.</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Magda Marquet, Ph.D</w:t>
      </w:r>
      <w:r>
        <w:rPr>
          <w:rFonts w:ascii="Times New Roman" w:cs="Times New Roman" w:eastAsia="Times New Roman" w:hAnsi="Times New Roman"/>
          <w:sz w:val="18"/>
          <w:szCs w:val="18"/>
          <w:color w:val="auto"/>
        </w:rPr>
        <w:t>, has served as a member of our board of directors since January 2021. As a former founder and CEO, Dr. Marquet holds a Ph.D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Biochemical Engineering from INSA/University of Toulouse, France. She has received numerous prestigious awards throughout her career including the 2005 Regional Ernst &amp; Young Entrepreneur of the Year award in the Life Sciences category, the Athena Pinnacle award, the Director of the Year award (Corporate Governance) from the Corporate Directors Forum and has been inducted into the CONNECT Entrepreneur Hall of Fame. Dr. Marquet currently serves on the boards of directors of Arcturus Therapeutics Holdings, Inc., Transcode Therapeutics, Inc., and chairs its compensation committee and is a member of its audit committee, and Immix Biopharma, Inc., and serves as the chair of its compensation committee. In the last five years, Dr. Marquet also served on the board of directors of Pfenex, Inc., a publicly traded company, until its acquisition by Ligand Pharmaceuticals. Our board of directors believes Dr. Marquet’s broad operational, fundraising expertise including venture, private equity and venture debt, as well as her expertise in M&amp;A, global commercial development, regulatory strategies and building a winning culture of innovation and strategic growth provides her with the qualifications and skills to serve our board of directors.</w:t>
      </w:r>
    </w:p>
    <w:p>
      <w:pPr>
        <w:spacing w:after="0" w:line="1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Hollings Renton, M.B.A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has served as a member of our board of directors since June 2015. Mr. Renton previously served as the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on the board of Zymeworks, Inc., a publicly traded company. In the last five years, Mr. Renton previously served on the board of directors of the publicly traded company Portola Pharmaceuticals, Inc. Mr. Renton received his M.B.A. from the University of Michigan and his B.S. in Mathematics from Colorado State University. Our board of directors believes that Mr. Renton’s extensive industry experience and board memberships provide him with the qualifications and skills to serve on our board of directors.</w:t>
      </w:r>
    </w:p>
    <w:p>
      <w:pPr>
        <w:spacing w:after="0" w:line="13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John P. Schmid, M.B.A.</w:t>
      </w:r>
      <w:r>
        <w:rPr>
          <w:rFonts w:ascii="Times New Roman" w:cs="Times New Roman" w:eastAsia="Times New Roman" w:hAnsi="Times New Roman"/>
          <w:sz w:val="18"/>
          <w:szCs w:val="18"/>
          <w:color w:val="auto"/>
        </w:rPr>
        <w:t>, has served as a member of our board of directors since June 2015. Mr. Schmid served as Chief Financial Officer of Auspex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boards of directors of the publicly traded companies Design Therapeutics Inc., Poseida Therapeutics, Inc., and Xeris Pharmaceuticals, all pharmaceutical companies. In the last five years, Mr. Schmid has previously served on the board of directors of Helix Acquisition Corp., a special purpose acquisition company. Mr. Schmid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161" w:right="379" w:bottom="1440" w:gutter="0" w:footer="0" w:header="0"/>
        </w:sectPr>
      </w:pPr>
    </w:p>
    <w:bookmarkStart w:id="16" w:name="page17"/>
    <w:bookmarkEnd w:id="16"/>
    <w:p>
      <w:pPr>
        <w:ind w:right="60"/>
        <w:spacing w:after="0" w:line="266" w:lineRule="auto"/>
        <w:rPr>
          <w:sz w:val="20"/>
          <w:szCs w:val="20"/>
          <w:color w:val="auto"/>
        </w:rPr>
      </w:pPr>
      <w:r>
        <w:rPr>
          <w:rFonts w:ascii="Times New Roman" w:cs="Times New Roman" w:eastAsia="Times New Roman" w:hAnsi="Times New Roman"/>
          <w:sz w:val="18"/>
          <w:szCs w:val="18"/>
          <w:color w:val="auto"/>
        </w:rPr>
        <w:t>received his M.B.A. from the University of San Diego and his B.A. from Wesleyan University. Our board of directors believes that Mr. Schmid’s extensive industry experience and executive positions at multiple biopharmaceutical companies qualify him to serve on our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familial relationships among any of our directors and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in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 Mr. Suria, our Chief Executive Officer during fiscal year 2021, received no compensation for his service as a director in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Mr. Suria resigned as our Chief Executive Officer, effective March 20, 2022.</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74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6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Option Awards</w:t>
            </w:r>
            <w:r>
              <w:rPr>
                <w:rFonts w:ascii="Times New Roman" w:cs="Times New Roman" w:eastAsia="Times New Roman" w:hAnsi="Times New Roman"/>
                <w:sz w:val="23"/>
                <w:szCs w:val="23"/>
                <w:b w:val="1"/>
                <w:bCs w:val="1"/>
                <w:color w:val="auto"/>
                <w:w w:val="98"/>
                <w:vertAlign w:val="superscript"/>
              </w:rPr>
              <w:t>(2)</w:t>
            </w:r>
          </w:p>
        </w:tc>
        <w:tc>
          <w:tcPr>
            <w:tcW w:w="11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3740" w:type="dxa"/>
            <w:vAlign w:val="bottom"/>
          </w:tcPr>
          <w:p>
            <w:pPr>
              <w:jc w:val="center"/>
              <w:ind w:left="2210"/>
              <w:spacing w:after="0" w:line="176" w:lineRule="exact"/>
              <w:rPr>
                <w:sz w:val="20"/>
                <w:szCs w:val="20"/>
                <w:color w:val="auto"/>
              </w:rPr>
            </w:pPr>
            <w:r>
              <w:rPr>
                <w:rFonts w:ascii="Times New Roman" w:cs="Times New Roman" w:eastAsia="Times New Roman" w:hAnsi="Times New Roman"/>
                <w:sz w:val="18"/>
                <w:szCs w:val="18"/>
                <w:b w:val="1"/>
                <w:bCs w:val="1"/>
                <w:color w:val="auto"/>
              </w:rPr>
              <w:t>or Paid in Cash</w:t>
            </w:r>
          </w:p>
        </w:tc>
        <w:tc>
          <w:tcPr>
            <w:tcW w:w="16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vMerge w:val="continue"/>
          </w:tcPr>
          <w:p>
            <w:pPr>
              <w:spacing w:after="0"/>
              <w:rPr>
                <w:sz w:val="21"/>
                <w:szCs w:val="21"/>
                <w:color w:val="auto"/>
              </w:rPr>
            </w:pPr>
          </w:p>
        </w:tc>
        <w:tc>
          <w:tcPr>
            <w:tcW w:w="374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Daniel Faga </w:t>
            </w:r>
            <w:r>
              <w:rPr>
                <w:rFonts w:ascii="Times New Roman" w:cs="Times New Roman" w:eastAsia="Times New Roman" w:hAnsi="Times New Roman"/>
                <w:sz w:val="23"/>
                <w:szCs w:val="23"/>
                <w:color w:val="auto"/>
                <w:vertAlign w:val="superscript"/>
              </w:rPr>
              <w:t>(3)</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305,816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309,729</w:t>
            </w: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Dennis Fenton, Ph.D.</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63,378</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238,058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301,436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Laura J. Hamill</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238,058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292,558</w:t>
            </w: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Magda Marquet, Ph. D.</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45,733</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468,419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514,152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Oleg Nodelman</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Hollings Renton</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238,058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308,058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P. Schmid, M.B.A.</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238,058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300,558</w:t>
            </w: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N. Topper, M.D., Ph.D.</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238,058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 Anthony Ware, M.D.</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238,058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306,058</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340" w:right="60" w:hanging="332"/>
        <w:spacing w:after="0" w:line="256" w:lineRule="auto"/>
        <w:tabs>
          <w:tab w:leader="none" w:pos="35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Mr. Faga held outstanding options to purchase 13,321 shares of common stock with a weighted-average exercise price of $31.12 per share; Dr. Fenton held outstanding options to purchase 39,507 shares of common stock with a weighted-average exercise price of $59.37 per share; Ms. Hamill held outstanding options to purchase 30,268 shares of common stock with a weighted-average exercise price of $26.54 per share; Mr. Nodelman did not hold outstanding options to purchase shares of common stock; Dr. Marquet held outstanding options to purchase 22,784 shares of common stock with a weighted-average exercise price of $28.58 per share; Mr. Renton held outstanding options to purchase 100,156 shares of common stock with a weighted-average exercise price of $22.58 per share; Mr. Schmid held outstanding options to purchase 91,337 shares of common stock with a weighted-average exercise price of $23.92 per share; Dr. Topper held outstanding options to purchase 49,000 shares of common stock with a weighted-average exercise price of $39.55 per share; and Dr. Ware held outstanding options to purchase 73,265 shares of common stock with a weighted-average exercise price of $32.74 per share. All options accelerate in full upon a change in control of the company.</w:t>
      </w:r>
    </w:p>
    <w:p>
      <w:pPr>
        <w:spacing w:after="0" w:line="90" w:lineRule="exact"/>
        <w:rPr>
          <w:rFonts w:ascii="Times New Roman" w:cs="Times New Roman" w:eastAsia="Times New Roman" w:hAnsi="Times New Roman"/>
          <w:sz w:val="16"/>
          <w:szCs w:val="16"/>
          <w:color w:val="auto"/>
        </w:rPr>
      </w:pPr>
    </w:p>
    <w:p>
      <w:pPr>
        <w:ind w:left="340" w:right="40" w:hanging="332"/>
        <w:spacing w:after="0" w:line="259" w:lineRule="auto"/>
        <w:tabs>
          <w:tab w:leader="none" w:pos="36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represent the grant date fair value of the stock options granted to the directors during the year ended December 31, 2021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2021. Note that the amounts reported in this column reflect the accounting cost for these stock options, and do not correspond to the actual economic value that may be received by our directors from the options.</w:t>
      </w:r>
    </w:p>
    <w:p>
      <w:pPr>
        <w:spacing w:after="0" w:line="87" w:lineRule="exact"/>
        <w:rPr>
          <w:rFonts w:ascii="Times New Roman" w:cs="Times New Roman" w:eastAsia="Times New Roman" w:hAnsi="Times New Roman"/>
          <w:sz w:val="16"/>
          <w:szCs w:val="16"/>
          <w:color w:val="auto"/>
        </w:rPr>
      </w:pPr>
    </w:p>
    <w:p>
      <w:pPr>
        <w:ind w:left="340" w:right="100" w:hanging="332"/>
        <w:spacing w:after="0" w:line="258" w:lineRule="auto"/>
        <w:tabs>
          <w:tab w:leader="none" w:pos="36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Faga was appointed our Interim President and Chief Executive Officer, effective March 21, 2022. In connection with this appointment, the Company entered into an employment agreement with Mr. Faga. Information regarding Mr. Faga’s employment agreement is set forth in the section below entitled “Executive Compensation</w:t>
      </w: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Mr. Faga’s Employment Agreement.”</w:t>
      </w:r>
    </w:p>
    <w:p>
      <w:pPr>
        <w:spacing w:after="0" w:line="10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Pursuant to our non-employee director compensation policy each of our non-employee directors is provided with an annual retainer of $40,000. Additionally, our lead director and the non-executive chairpersons of our board of directors, audit, compensation, nominating and corporate governance, and research and development committees will receive an additional annual payment of $25,000, $32,500, $20,000, $12,500, $8,000 and $15,000, respectively; and the other members of our audit, compensation, nominating and corporate governance, and research and development committees will receive an additional annual payment of $9,000, $6,000, $4,000 and $10,000, respectively.</w:t>
      </w:r>
    </w:p>
    <w:p>
      <w:pPr>
        <w:spacing w:after="0" w:line="1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of our non-employee directors generally receives an annual stock option grant in February to purchase 9,200 shares of common stock, which stock option vests in equal monthly installments over one year, subject to the director’s continued service. Additionally, new non-employee directors will receive a stock option to purchase 18,400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47"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which stock option will vest in equal monthly installments over three years and a prorated annual stock option grant, subject to the director’s continued service. All stock options will accelerate in full upon a change in control.</w:t>
      </w:r>
    </w:p>
    <w:p>
      <w:pPr>
        <w:spacing w:after="0" w:line="104" w:lineRule="exact"/>
        <w:rPr>
          <w:sz w:val="20"/>
          <w:szCs w:val="20"/>
          <w:color w:val="auto"/>
        </w:rPr>
      </w:pPr>
    </w:p>
    <w:p>
      <w:pPr>
        <w:ind w:right="68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ELECTION OF EACH OF THE NOMINATED CLASS 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320" w:top="1161" w:right="699" w:bottom="1440" w:gutter="0" w:footer="0" w:header="0"/>
        </w:sectPr>
      </w:pPr>
    </w:p>
    <w:bookmarkStart w:id="18" w:name="page19"/>
    <w:bookmarkEnd w:id="1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audit committee has selected KPMG LLP as our principal independent registered public accounting firm to perform the audit of our consolidated financial statements for the fiscal year ending December 31, 2022. KPMG LLP audited our financial statements for the fiscal years ended December 31, 2021 and 2020. We expect that representatives of KPMG LLP will be present at the Annual Meeting, will be able to make a statement if they so desire and will be available to respond to appropriate questions.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the Annual Meeting, the stockholders are being asked to ratify the appointment of KPMG LLP as our independent registered public accounting firm for the fiscal year ending December 31, 2022.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62" w:lineRule="exact"/>
        <w:rPr>
          <w:sz w:val="20"/>
          <w:szCs w:val="20"/>
          <w:color w:val="auto"/>
        </w:rPr>
      </w:pPr>
    </w:p>
    <w:p>
      <w:pPr>
        <w:ind w:right="1360"/>
        <w:spacing w:after="0" w:line="377" w:lineRule="auto"/>
        <w:rPr>
          <w:sz w:val="20"/>
          <w:szCs w:val="20"/>
          <w:color w:val="auto"/>
        </w:rPr>
      </w:pPr>
      <w:r>
        <w:rPr>
          <w:rFonts w:ascii="Times New Roman" w:cs="Times New Roman" w:eastAsia="Times New Roman" w:hAnsi="Times New Roman"/>
          <w:sz w:val="18"/>
          <w:szCs w:val="18"/>
          <w:color w:val="auto"/>
        </w:rPr>
        <w:t xml:space="preserve">The following table presents fees for services rendered by KPMG LLP for the years ended December 31, 2021 and 2020 (in thousands). </w:t>
      </w:r>
      <w:r>
        <w:rPr>
          <w:rFonts w:ascii="Times New Roman" w:cs="Times New Roman" w:eastAsia="Times New Roman" w:hAnsi="Times New Roman"/>
          <w:sz w:val="18"/>
          <w:szCs w:val="18"/>
          <w:b w:val="1"/>
          <w:bCs w:val="1"/>
          <w:color w:val="auto"/>
        </w:rPr>
        <w:t>Principal Accountant Fees and Services</w:t>
      </w:r>
    </w:p>
    <w:tbl>
      <w:tblPr>
        <w:tblLayout w:type="fixed"/>
        <w:tblInd w:w="20" w:type="dxa"/>
        <w:tblCellMar>
          <w:top w:w="0" w:type="dxa"/>
          <w:left w:w="0" w:type="dxa"/>
          <w:bottom w:w="0" w:type="dxa"/>
          <w:right w:w="0" w:type="dxa"/>
        </w:tblCellMar>
      </w:tblPr>
      <w:tr>
        <w:trPr>
          <w:trHeight w:val="215"/>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Fees Billed to AnaptysBio</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 2021</w:t>
            </w:r>
          </w:p>
        </w:tc>
        <w:tc>
          <w:tcPr>
            <w:tcW w:w="12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Fiscal Year 2020</w:t>
            </w:r>
          </w:p>
        </w:tc>
      </w:tr>
      <w:tr>
        <w:trPr>
          <w:trHeight w:val="226"/>
        </w:trPr>
        <w:tc>
          <w:tcPr>
            <w:tcW w:w="8160" w:type="dxa"/>
            <w:vAlign w:val="bottom"/>
            <w:tcBorders>
              <w:top w:val="single" w:sz="8" w:color="auto"/>
            </w:tcBorders>
            <w:shd w:val="clear" w:color="auto" w:fill="CCEEFF"/>
          </w:tcPr>
          <w:p>
            <w:pPr>
              <w:ind w:left="40"/>
              <w:spacing w:after="0" w:line="22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8260" w:type="dxa"/>
            <w:vAlign w:val="bottom"/>
            <w:tcBorders>
              <w:bottom w:val="single" w:sz="8" w:color="CCEEFF"/>
            </w:tcBorders>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(2)</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fees</w:t>
            </w: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40" w:right="420" w:hanging="332"/>
        <w:spacing w:after="0" w:line="272" w:lineRule="auto"/>
        <w:tabs>
          <w:tab w:leader="none" w:pos="36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Audit fees</w:t>
      </w:r>
      <w:r>
        <w:rPr>
          <w:rFonts w:ascii="Times New Roman" w:cs="Times New Roman" w:eastAsia="Times New Roman" w:hAnsi="Times New Roman"/>
          <w:sz w:val="16"/>
          <w:szCs w:val="16"/>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filing of our S-3 registration statement.</w:t>
      </w:r>
    </w:p>
    <w:p>
      <w:pPr>
        <w:spacing w:after="0" w:line="60" w:lineRule="exact"/>
        <w:rPr>
          <w:rFonts w:ascii="Times New Roman" w:cs="Times New Roman" w:eastAsia="Times New Roman" w:hAnsi="Times New Roman"/>
          <w:sz w:val="16"/>
          <w:szCs w:val="16"/>
          <w:color w:val="auto"/>
        </w:rPr>
      </w:pPr>
    </w:p>
    <w:p>
      <w:pPr>
        <w:ind w:left="340" w:right="280" w:hanging="332"/>
        <w:spacing w:after="0" w:line="283" w:lineRule="auto"/>
        <w:tabs>
          <w:tab w:leader="none" w:pos="36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 fees</w:t>
      </w:r>
      <w:r>
        <w:rPr>
          <w:rFonts w:ascii="Times New Roman" w:cs="Times New Roman" w:eastAsia="Times New Roman" w:hAnsi="Times New Roman"/>
          <w:sz w:val="16"/>
          <w:szCs w:val="16"/>
          <w:color w:val="auto"/>
        </w:rPr>
        <w:t>” include fees related to tax compliance and advice. Tax advice fees encompass a variety of permissible services, including technical tax advice related to federal and state income tax matters; and assistance with tax audits.</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2021, all services billed by KPMG LLP were pre-approved by the audit committee in accordance with this policy.</w:t>
      </w:r>
    </w:p>
    <w:p>
      <w:pPr>
        <w:spacing w:after="0" w:line="13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APPROVAL OF PROPOSAL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1157" w:right="4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KPMG LLP our audited consolidated financial statements as of and for the year ended December 31, 2021. The audit committee has also discussed with KPMG LLP the matters required to be discussed by applicable standards of the Public Company Accounting Oversight Board (United States).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our board of directors that the audited consolidated financial statements as of and for the year ended December 31, 2021 be included in our annual report on Form 10-K for the year ended December 31, 2021 for filing with the Securities and Exchange Commission.</w:t>
      </w:r>
    </w:p>
    <w:p>
      <w:pPr>
        <w:spacing w:after="0" w:line="37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Submitted by the Audit Committee</w:t>
      </w:r>
    </w:p>
    <w:p>
      <w:pPr>
        <w:ind w:left="4480"/>
        <w:spacing w:after="0" w:line="210" w:lineRule="auto"/>
        <w:rPr>
          <w:sz w:val="20"/>
          <w:szCs w:val="20"/>
          <w:color w:val="auto"/>
        </w:rPr>
      </w:pPr>
      <w:r>
        <w:rPr>
          <w:rFonts w:ascii="Times New Roman" w:cs="Times New Roman" w:eastAsia="Times New Roman" w:hAnsi="Times New Roman"/>
          <w:sz w:val="18"/>
          <w:szCs w:val="18"/>
          <w:color w:val="auto"/>
        </w:rPr>
        <w:t>John P. Schmid, M.B.A. (Chair)</w:t>
      </w:r>
    </w:p>
    <w:p>
      <w:pPr>
        <w:jc w:val="center"/>
        <w:spacing w:after="0" w:line="203" w:lineRule="auto"/>
        <w:rPr>
          <w:sz w:val="20"/>
          <w:szCs w:val="20"/>
          <w:color w:val="auto"/>
        </w:rPr>
      </w:pPr>
      <w:r>
        <w:rPr>
          <w:rFonts w:ascii="Times New Roman" w:cs="Times New Roman" w:eastAsia="Times New Roman" w:hAnsi="Times New Roman"/>
          <w:sz w:val="18"/>
          <w:szCs w:val="18"/>
          <w:color w:val="auto"/>
        </w:rPr>
        <w:t>Laura J. Hamill</w:t>
      </w:r>
    </w:p>
    <w:p>
      <w:pPr>
        <w:jc w:val="center"/>
        <w:spacing w:after="0" w:line="220" w:lineRule="auto"/>
        <w:rPr>
          <w:sz w:val="20"/>
          <w:szCs w:val="20"/>
          <w:color w:val="auto"/>
        </w:rPr>
      </w:pPr>
      <w:r>
        <w:rPr>
          <w:rFonts w:ascii="Times New Roman" w:cs="Times New Roman" w:eastAsia="Times New Roman" w:hAnsi="Times New Roman"/>
          <w:sz w:val="18"/>
          <w:szCs w:val="18"/>
          <w:color w:val="auto"/>
        </w:rPr>
        <w:t>Magda Marquet, Ph.D.</w:t>
      </w:r>
    </w:p>
    <w:p>
      <w:pPr>
        <w:jc w:val="center"/>
        <w:spacing w:after="0"/>
        <w:rPr>
          <w:sz w:val="20"/>
          <w:szCs w:val="20"/>
          <w:color w:val="auto"/>
        </w:rPr>
      </w:pPr>
      <w:r>
        <w:rPr>
          <w:rFonts w:ascii="Times New Roman" w:cs="Times New Roman" w:eastAsia="Times New Roman" w:hAnsi="Times New Roman"/>
          <w:sz w:val="18"/>
          <w:szCs w:val="18"/>
          <w:color w:val="auto"/>
        </w:rPr>
        <w:t>J. Anthony Ware,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43"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ADVISORY VOTE ON COMPENSATION OF OUR NAMED EXECUTIVE OFFICERS</w:t>
      </w:r>
    </w:p>
    <w:p>
      <w:pPr>
        <w:spacing w:after="0" w:line="1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seeking a non-binding, advisory stockholder vote on the compensation awarded to our named executive officers for the fiscal year ended December 31, 2021, known as a “Say on Pay” vote.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enables our stockholders to vote to approve, on an advisory, non-binding basis, the compensation of our named executive officers as disclosed in this proxy statement in accordance with Section 14A of the Exchange Act. At our 2019 annual meeting of stockholders, we asked our stockholders to express a preference for the frequency of our Say on Pay vote. The majority of our stockholders voted to hold the Say on Pay vote on an annual basis, and therefore, based on that vote, we present this vote every year.</w:t>
      </w:r>
    </w:p>
    <w:p>
      <w:pPr>
        <w:spacing w:after="0" w:line="1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in detail in the “Executive Compensation” section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that is aligned with long-term stockholder interests. Stockholders are encouraged to read the Executive Compensation section of this proxy statement.</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the above, we request that stockholders approve, on a non-binding advisory basis, the compensation of our named executive officers as described in this proxy statement pursuant to the following resolution:</w:t>
      </w:r>
    </w:p>
    <w:p>
      <w:pPr>
        <w:spacing w:after="0" w:line="117"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AnaptysBio’s named executive officers, as disclosed in this proxy statement, including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section, compensation tables and narrative discussion, is hereby APPROVED.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Approval of named executive officer compensation requires the approval of a majority of the votes present or represented by proxy and voted for or against the matter.</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an advisory vote, this proposal is non-binding. Although the vote is non-binding, our board of directors and compensation committee value the opinions of our stockholders and will consider the outcome of the vote when making future compensation decisions for our named executive officers.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APPROVAL OF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00" w:right="339" w:bottom="1440" w:gutter="0" w:footer="0" w:header="0"/>
        </w:sectPr>
      </w:pPr>
    </w:p>
    <w:bookmarkStart w:id="21" w:name="page22"/>
    <w:bookmarkEnd w:id="21"/>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11, 2022 for:</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common stock.</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Applicable percentage ownership is based on 28,183,873 shares of common stock issued and outstanding as of April 11, 2022.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April, 11, 2022.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80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7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80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auto"/>
            </w:tcBorders>
          </w:tcPr>
          <w:p>
            <w:pPr>
              <w:spacing w:after="0"/>
              <w:rPr>
                <w:sz w:val="21"/>
                <w:szCs w:val="21"/>
                <w:color w:val="auto"/>
              </w:rPr>
            </w:pPr>
          </w:p>
        </w:tc>
        <w:tc>
          <w:tcPr>
            <w:tcW w:w="6660" w:type="dxa"/>
            <w:vAlign w:val="bottom"/>
            <w:tcBorders>
              <w:bottom w:val="single" w:sz="8" w:color="auto"/>
            </w:tcBorders>
            <w:gridSpan w:val="3"/>
            <w:vMerge w:val="continue"/>
          </w:tcPr>
          <w:p>
            <w:pPr>
              <w:spacing w:after="0"/>
              <w:rPr>
                <w:sz w:val="21"/>
                <w:szCs w:val="21"/>
                <w:color w:val="auto"/>
              </w:rPr>
            </w:pPr>
          </w:p>
        </w:tc>
        <w:tc>
          <w:tcPr>
            <w:tcW w:w="2800" w:type="dxa"/>
            <w:vAlign w:val="bottom"/>
            <w:tcBorders>
              <w:bottom w:val="single" w:sz="8" w:color="auto"/>
            </w:tcBorders>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Owned (#)</w:t>
            </w:r>
          </w:p>
        </w:tc>
        <w:tc>
          <w:tcPr>
            <w:tcW w:w="17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Owned (%)</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6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2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Borders>
              <w:top w:val="single" w:sz="8" w:color="CCEEFF"/>
            </w:tcBorders>
          </w:tcPr>
          <w:p>
            <w:pPr>
              <w:spacing w:after="0"/>
              <w:rPr>
                <w:sz w:val="19"/>
                <w:szCs w:val="19"/>
                <w:color w:val="auto"/>
              </w:rPr>
            </w:pPr>
          </w:p>
        </w:tc>
        <w:tc>
          <w:tcPr>
            <w:tcW w:w="3000" w:type="dxa"/>
            <w:vAlign w:val="bottom"/>
            <w:tcBorders>
              <w:top w:val="single" w:sz="8" w:color="auto"/>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Daniel Faga</w:t>
            </w:r>
            <w:r>
              <w:rPr>
                <w:rFonts w:ascii="Times New Roman" w:cs="Times New Roman" w:eastAsia="Times New Roman" w:hAnsi="Times New Roman"/>
                <w:sz w:val="23"/>
                <w:szCs w:val="23"/>
                <w:color w:val="auto"/>
                <w:vertAlign w:val="superscript"/>
              </w:rPr>
              <w:t>(1)</w:t>
            </w:r>
          </w:p>
        </w:tc>
        <w:tc>
          <w:tcPr>
            <w:tcW w:w="3660" w:type="dxa"/>
            <w:vAlign w:val="bottom"/>
            <w:tcBorders>
              <w:top w:val="single" w:sz="8" w:color="CCEEFF"/>
            </w:tcBorders>
          </w:tcPr>
          <w:p>
            <w:pPr>
              <w:spacing w:after="0"/>
              <w:rPr>
                <w:sz w:val="19"/>
                <w:szCs w:val="19"/>
                <w:color w:val="auto"/>
              </w:rPr>
            </w:pPr>
          </w:p>
        </w:tc>
        <w:tc>
          <w:tcPr>
            <w:tcW w:w="2800" w:type="dxa"/>
            <w:vAlign w:val="bottom"/>
            <w:tcBorders>
              <w:top w:val="single" w:sz="8" w:color="CCEEFF"/>
            </w:tcBorders>
          </w:tcPr>
          <w:p>
            <w:pPr>
              <w:jc w:val="center"/>
              <w:ind w:left="1450"/>
              <w:spacing w:after="0"/>
              <w:rPr>
                <w:sz w:val="20"/>
                <w:szCs w:val="20"/>
                <w:color w:val="auto"/>
              </w:rPr>
            </w:pPr>
            <w:r>
              <w:rPr>
                <w:rFonts w:ascii="Times New Roman" w:cs="Times New Roman" w:eastAsia="Times New Roman" w:hAnsi="Times New Roman"/>
                <w:sz w:val="18"/>
                <w:szCs w:val="18"/>
                <w:color w:val="auto"/>
              </w:rPr>
              <w:t>7,221</w:t>
            </w:r>
          </w:p>
        </w:tc>
        <w:tc>
          <w:tcPr>
            <w:tcW w:w="1700" w:type="dxa"/>
            <w:vAlign w:val="bottom"/>
            <w:tcBorders>
              <w:top w:val="single" w:sz="8" w:color="CCEEFF"/>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Paul Lizzul.</w:t>
            </w:r>
            <w:r>
              <w:rPr>
                <w:rFonts w:ascii="Times New Roman" w:cs="Times New Roman" w:eastAsia="Times New Roman" w:hAnsi="Times New Roman"/>
                <w:sz w:val="23"/>
                <w:szCs w:val="23"/>
                <w:color w:val="auto"/>
                <w:vertAlign w:val="superscript"/>
              </w:rPr>
              <w:t>(2)</w:t>
            </w:r>
          </w:p>
        </w:tc>
        <w:tc>
          <w:tcPr>
            <w:tcW w:w="280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rPr>
              <w:t>57,214</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4"/>
          </w:tcPr>
          <w:p>
            <w:pPr>
              <w:ind w:left="40"/>
              <w:spacing w:after="0" w:line="230" w:lineRule="exact"/>
              <w:rPr>
                <w:sz w:val="20"/>
                <w:szCs w:val="20"/>
                <w:color w:val="auto"/>
              </w:rPr>
            </w:pPr>
            <w:r>
              <w:rPr>
                <w:rFonts w:ascii="Times New Roman" w:cs="Times New Roman" w:eastAsia="Times New Roman" w:hAnsi="Times New Roman"/>
                <w:sz w:val="18"/>
                <w:szCs w:val="18"/>
                <w:color w:val="auto"/>
              </w:rPr>
              <w:t>Eric J. Loumeau</w:t>
            </w:r>
            <w:r>
              <w:rPr>
                <w:rFonts w:ascii="Times New Roman" w:cs="Times New Roman" w:eastAsia="Times New Roman" w:hAnsi="Times New Roman"/>
                <w:sz w:val="23"/>
                <w:szCs w:val="23"/>
                <w:color w:val="auto"/>
                <w:vertAlign w:val="superscript"/>
              </w:rPr>
              <w:t>(3)</w:t>
            </w:r>
          </w:p>
        </w:tc>
        <w:tc>
          <w:tcPr>
            <w:tcW w:w="28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145,887</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Hamza Suria</w:t>
            </w:r>
            <w:r>
              <w:rPr>
                <w:rFonts w:ascii="Times New Roman" w:cs="Times New Roman" w:eastAsia="Times New Roman" w:hAnsi="Times New Roman"/>
                <w:sz w:val="23"/>
                <w:szCs w:val="23"/>
                <w:color w:val="auto"/>
                <w:vertAlign w:val="superscript"/>
              </w:rPr>
              <w:t>(4)</w:t>
            </w:r>
          </w:p>
        </w:tc>
        <w:tc>
          <w:tcPr>
            <w:tcW w:w="280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9"/>
              </w:rPr>
              <w:t>418,864</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Dennis Fenton, Ph.D.</w:t>
            </w:r>
            <w:r>
              <w:rPr>
                <w:rFonts w:ascii="Times New Roman" w:cs="Times New Roman" w:eastAsia="Times New Roman" w:hAnsi="Times New Roman"/>
                <w:sz w:val="23"/>
                <w:szCs w:val="23"/>
                <w:color w:val="auto"/>
                <w:vertAlign w:val="superscript"/>
              </w:rPr>
              <w:t>(5)</w:t>
            </w:r>
          </w:p>
        </w:tc>
        <w:tc>
          <w:tcPr>
            <w:tcW w:w="28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42,574</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Laura J. Hamill</w:t>
            </w:r>
            <w:r>
              <w:rPr>
                <w:rFonts w:ascii="Times New Roman" w:cs="Times New Roman" w:eastAsia="Times New Roman" w:hAnsi="Times New Roman"/>
                <w:sz w:val="23"/>
                <w:szCs w:val="23"/>
                <w:color w:val="auto"/>
                <w:vertAlign w:val="superscript"/>
              </w:rPr>
              <w:t>(6)</w:t>
            </w:r>
          </w:p>
        </w:tc>
        <w:tc>
          <w:tcPr>
            <w:tcW w:w="280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rPr>
              <w:t>32,668</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Magda Marquet, Ph.D.</w:t>
            </w:r>
            <w:r>
              <w:rPr>
                <w:rFonts w:ascii="Times New Roman" w:cs="Times New Roman" w:eastAsia="Times New Roman" w:hAnsi="Times New Roman"/>
                <w:sz w:val="23"/>
                <w:szCs w:val="23"/>
                <w:color w:val="auto"/>
                <w:vertAlign w:val="superscript"/>
              </w:rPr>
              <w:t>(7)</w:t>
            </w:r>
          </w:p>
        </w:tc>
        <w:tc>
          <w:tcPr>
            <w:tcW w:w="28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19,740</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3"/>
                <w:szCs w:val="23"/>
                <w:color w:val="auto"/>
                <w:vertAlign w:val="superscript"/>
              </w:rPr>
              <w:t>(8)</w:t>
            </w:r>
          </w:p>
        </w:tc>
        <w:tc>
          <w:tcPr>
            <w:tcW w:w="280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7,520,424</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26.7</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Hollings Renton, M.B.A.</w:t>
            </w:r>
            <w:r>
              <w:rPr>
                <w:rFonts w:ascii="Times New Roman" w:cs="Times New Roman" w:eastAsia="Times New Roman" w:hAnsi="Times New Roman"/>
                <w:sz w:val="23"/>
                <w:szCs w:val="23"/>
                <w:color w:val="auto"/>
                <w:vertAlign w:val="superscript"/>
              </w:rPr>
              <w:t>(9)</w:t>
            </w:r>
          </w:p>
        </w:tc>
        <w:tc>
          <w:tcPr>
            <w:tcW w:w="28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103,223</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P. Schmid, M.B.A.</w:t>
            </w:r>
            <w:r>
              <w:rPr>
                <w:rFonts w:ascii="Times New Roman" w:cs="Times New Roman" w:eastAsia="Times New Roman" w:hAnsi="Times New Roman"/>
                <w:sz w:val="23"/>
                <w:szCs w:val="23"/>
                <w:color w:val="auto"/>
                <w:vertAlign w:val="superscript"/>
              </w:rPr>
              <w:t>(10)</w:t>
            </w:r>
          </w:p>
        </w:tc>
        <w:tc>
          <w:tcPr>
            <w:tcW w:w="280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rPr>
              <w:t>94,404</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N. Topper, M.D., Ph.D.</w:t>
            </w:r>
            <w:r>
              <w:rPr>
                <w:rFonts w:ascii="Times New Roman" w:cs="Times New Roman" w:eastAsia="Times New Roman" w:hAnsi="Times New Roman"/>
                <w:sz w:val="23"/>
                <w:szCs w:val="23"/>
                <w:color w:val="auto"/>
                <w:vertAlign w:val="superscript"/>
              </w:rPr>
              <w:t>(11)</w:t>
            </w:r>
          </w:p>
        </w:tc>
        <w:tc>
          <w:tcPr>
            <w:tcW w:w="28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1,032,579</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Ware, M.D.</w:t>
            </w:r>
            <w:r>
              <w:rPr>
                <w:rFonts w:ascii="Times New Roman" w:cs="Times New Roman" w:eastAsia="Times New Roman" w:hAnsi="Times New Roman"/>
                <w:sz w:val="23"/>
                <w:szCs w:val="23"/>
                <w:color w:val="auto"/>
                <w:vertAlign w:val="superscript"/>
              </w:rPr>
              <w:t>(12)</w:t>
            </w:r>
          </w:p>
        </w:tc>
        <w:tc>
          <w:tcPr>
            <w:tcW w:w="280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rPr>
              <w:t>79,932</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4"/>
          </w:tcPr>
          <w:p>
            <w:pPr>
              <w:ind w:left="40"/>
              <w:spacing w:after="0" w:line="230" w:lineRule="exact"/>
              <w:rPr>
                <w:sz w:val="20"/>
                <w:szCs w:val="20"/>
                <w:color w:val="auto"/>
              </w:rPr>
            </w:pPr>
            <w:r>
              <w:rPr>
                <w:rFonts w:ascii="Times New Roman" w:cs="Times New Roman" w:eastAsia="Times New Roman" w:hAnsi="Times New Roman"/>
                <w:sz w:val="18"/>
                <w:szCs w:val="18"/>
                <w:b w:val="1"/>
                <w:bCs w:val="1"/>
                <w:color w:val="auto"/>
              </w:rPr>
              <w:t>Total Executive Officers and Directors as a Group (12 people)</w:t>
            </w:r>
            <w:r>
              <w:rPr>
                <w:rFonts w:ascii="Times New Roman" w:cs="Times New Roman" w:eastAsia="Times New Roman" w:hAnsi="Times New Roman"/>
                <w:sz w:val="23"/>
                <w:szCs w:val="23"/>
                <w:b w:val="1"/>
                <w:bCs w:val="1"/>
                <w:color w:val="auto"/>
                <w:vertAlign w:val="superscript"/>
              </w:rPr>
              <w:t>(13)</w:t>
            </w:r>
          </w:p>
        </w:tc>
        <w:tc>
          <w:tcPr>
            <w:tcW w:w="280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9,554,730</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33.9</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6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2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EcoR1 Capital LLC</w:t>
            </w:r>
            <w:r>
              <w:rPr>
                <w:rFonts w:ascii="Times New Roman" w:cs="Times New Roman" w:eastAsia="Times New Roman" w:hAnsi="Times New Roman"/>
                <w:sz w:val="23"/>
                <w:szCs w:val="23"/>
                <w:color w:val="auto"/>
                <w:vertAlign w:val="superscript"/>
              </w:rPr>
              <w:t>(14)</w:t>
            </w:r>
          </w:p>
        </w:tc>
        <w:tc>
          <w:tcPr>
            <w:tcW w:w="280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7,520,424</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26.7</w:t>
            </w:r>
          </w:p>
        </w:tc>
        <w:tc>
          <w:tcPr>
            <w:tcW w:w="0" w:type="dxa"/>
            <w:vAlign w:val="bottom"/>
          </w:tcPr>
          <w:p>
            <w:pPr>
              <w:spacing w:after="0"/>
              <w:rPr>
                <w:sz w:val="1"/>
                <w:szCs w:val="1"/>
                <w:color w:val="auto"/>
              </w:rPr>
            </w:pPr>
          </w:p>
        </w:tc>
      </w:tr>
      <w:tr>
        <w:trPr>
          <w:trHeight w:val="230"/>
        </w:trPr>
        <w:tc>
          <w:tcPr>
            <w:tcW w:w="6700" w:type="dxa"/>
            <w:vAlign w:val="bottom"/>
            <w:gridSpan w:val="4"/>
          </w:tcPr>
          <w:p>
            <w:pPr>
              <w:ind w:left="40"/>
              <w:spacing w:after="0" w:line="230" w:lineRule="exact"/>
              <w:rPr>
                <w:sz w:val="20"/>
                <w:szCs w:val="20"/>
                <w:color w:val="auto"/>
              </w:rPr>
            </w:pPr>
            <w:r>
              <w:rPr>
                <w:rFonts w:ascii="Times New Roman" w:cs="Times New Roman" w:eastAsia="Times New Roman" w:hAnsi="Times New Roman"/>
                <w:sz w:val="18"/>
                <w:szCs w:val="18"/>
                <w:color w:val="auto"/>
              </w:rPr>
              <w:t>Tang Capital Partners, LP</w:t>
            </w:r>
            <w:r>
              <w:rPr>
                <w:rFonts w:ascii="Times New Roman" w:cs="Times New Roman" w:eastAsia="Times New Roman" w:hAnsi="Times New Roman"/>
                <w:sz w:val="23"/>
                <w:szCs w:val="23"/>
                <w:color w:val="auto"/>
                <w:vertAlign w:val="superscript"/>
              </w:rPr>
              <w:t>(15)</w:t>
            </w:r>
          </w:p>
        </w:tc>
        <w:tc>
          <w:tcPr>
            <w:tcW w:w="28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2,628,678</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9.3</w:t>
            </w:r>
          </w:p>
        </w:tc>
        <w:tc>
          <w:tcPr>
            <w:tcW w:w="0" w:type="dxa"/>
            <w:vAlign w:val="bottom"/>
          </w:tcPr>
          <w:p>
            <w:pPr>
              <w:spacing w:after="0"/>
              <w:rPr>
                <w:sz w:val="1"/>
                <w:szCs w:val="1"/>
                <w:color w:val="auto"/>
              </w:rPr>
            </w:pPr>
          </w:p>
        </w:tc>
      </w:tr>
      <w:tr>
        <w:trPr>
          <w:trHeight w:val="230"/>
        </w:trPr>
        <w:tc>
          <w:tcPr>
            <w:tcW w:w="6700" w:type="dxa"/>
            <w:vAlign w:val="bottom"/>
            <w:gridSpan w:val="4"/>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(16)</w:t>
            </w:r>
          </w:p>
        </w:tc>
        <w:tc>
          <w:tcPr>
            <w:tcW w:w="280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1,865,288</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6.6</w:t>
            </w:r>
          </w:p>
        </w:tc>
        <w:tc>
          <w:tcPr>
            <w:tcW w:w="0" w:type="dxa"/>
            <w:vAlign w:val="bottom"/>
          </w:tcPr>
          <w:p>
            <w:pPr>
              <w:spacing w:after="0"/>
              <w:rPr>
                <w:sz w:val="1"/>
                <w:szCs w:val="1"/>
                <w:color w:val="auto"/>
              </w:rPr>
            </w:pPr>
          </w:p>
        </w:tc>
      </w:tr>
      <w:tr>
        <w:trPr>
          <w:trHeight w:val="230"/>
        </w:trPr>
        <w:tc>
          <w:tcPr>
            <w:tcW w:w="6700" w:type="dxa"/>
            <w:vAlign w:val="bottom"/>
            <w:gridSpan w:val="4"/>
          </w:tcPr>
          <w:p>
            <w:pPr>
              <w:ind w:left="40"/>
              <w:spacing w:after="0" w:line="230"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(17)</w:t>
            </w:r>
          </w:p>
        </w:tc>
        <w:tc>
          <w:tcPr>
            <w:tcW w:w="28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1,842,683</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6.5</w:t>
            </w:r>
          </w:p>
        </w:tc>
        <w:tc>
          <w:tcPr>
            <w:tcW w:w="0" w:type="dxa"/>
            <w:vAlign w:val="bottom"/>
          </w:tcPr>
          <w:p>
            <w:pPr>
              <w:spacing w:after="0"/>
              <w:rPr>
                <w:sz w:val="1"/>
                <w:szCs w:val="1"/>
                <w:color w:val="auto"/>
              </w:rPr>
            </w:pPr>
          </w:p>
        </w:tc>
      </w:tr>
      <w:tr>
        <w:trPr>
          <w:trHeight w:val="229"/>
        </w:trPr>
        <w:tc>
          <w:tcPr>
            <w:tcW w:w="6700" w:type="dxa"/>
            <w:vAlign w:val="bottom"/>
            <w:gridSpan w:val="4"/>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Federated Hermes, Inc.</w:t>
            </w:r>
            <w:r>
              <w:rPr>
                <w:rFonts w:ascii="Times New Roman" w:cs="Times New Roman" w:eastAsia="Times New Roman" w:hAnsi="Times New Roman"/>
                <w:sz w:val="23"/>
                <w:szCs w:val="23"/>
                <w:color w:val="auto"/>
                <w:vertAlign w:val="superscript"/>
              </w:rPr>
              <w:t>(18)</w:t>
            </w:r>
          </w:p>
        </w:tc>
        <w:tc>
          <w:tcPr>
            <w:tcW w:w="280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1,604,287</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Represents beneficial ownership of less than one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157" w:right="359" w:bottom="1440" w:gutter="0" w:footer="0" w:header="0"/>
        </w:sectPr>
      </w:pPr>
    </w:p>
    <w:bookmarkStart w:id="22" w:name="page23"/>
    <w:bookmarkEnd w:id="22"/>
    <w:p>
      <w:pPr>
        <w:ind w:left="332" w:hanging="332"/>
        <w:spacing w:after="0"/>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7,221 shares of common stock issuable to Mr. Faga upon the exercise of stock options that are exercisable within 60 days of April 11, 2022</w:t>
      </w:r>
    </w:p>
    <w:p>
      <w:pPr>
        <w:spacing w:after="0" w:line="113" w:lineRule="exact"/>
        <w:rPr>
          <w:rFonts w:ascii="Times New Roman" w:cs="Times New Roman" w:eastAsia="Times New Roman" w:hAnsi="Times New Roman"/>
          <w:sz w:val="16"/>
          <w:szCs w:val="16"/>
          <w:color w:val="auto"/>
        </w:rPr>
      </w:pPr>
    </w:p>
    <w:p>
      <w:pPr>
        <w:ind w:left="332" w:right="20" w:hanging="332"/>
        <w:spacing w:after="0" w:line="298"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964 shares of common stock held directly by Dr. Lizzul and (b) 56,250 shares of common stock issuable to Dr. Lizzul upon the exercise of stock options that are exercisable within 60 days of April 11, 2022.</w:t>
      </w:r>
    </w:p>
    <w:p>
      <w:pPr>
        <w:spacing w:after="0" w:line="42" w:lineRule="exact"/>
        <w:rPr>
          <w:rFonts w:ascii="Times New Roman" w:cs="Times New Roman" w:eastAsia="Times New Roman" w:hAnsi="Times New Roman"/>
          <w:sz w:val="16"/>
          <w:szCs w:val="16"/>
          <w:color w:val="auto"/>
        </w:rPr>
      </w:pPr>
    </w:p>
    <w:p>
      <w:pPr>
        <w:ind w:left="332" w:hanging="332"/>
        <w:spacing w:after="0" w:line="280"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523 shares of common stock held directly by Mr. Loumeau and (b) 145,364 shares of common stock issuable to Mr. Loumeau upon the exercise of stock options that are exercisable within 60 days of April 11, 2022.</w:t>
      </w:r>
    </w:p>
    <w:p>
      <w:pPr>
        <w:spacing w:after="0" w:line="70" w:lineRule="exact"/>
        <w:rPr>
          <w:rFonts w:ascii="Times New Roman" w:cs="Times New Roman" w:eastAsia="Times New Roman" w:hAnsi="Times New Roman"/>
          <w:sz w:val="16"/>
          <w:szCs w:val="16"/>
          <w:color w:val="auto"/>
        </w:rPr>
      </w:pPr>
    </w:p>
    <w:p>
      <w:pPr>
        <w:ind w:left="332" w:right="20" w:hanging="332"/>
        <w:spacing w:after="0" w:line="280"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964 shares of common stock held directly by Mr. Suria and (b) 417,900 shares of common stock issuable to Mr. Suria upon the exercise of stock options that are exercisable within 60 days of April 11, 2022.</w:t>
      </w:r>
    </w:p>
    <w:p>
      <w:pPr>
        <w:spacing w:after="0" w:line="7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42,574 shares of common stock issuable to Dr. Fenton upon the exercise of stock options that are exercisable within 60 days of April 11, 2022.</w:t>
      </w:r>
    </w:p>
    <w:p>
      <w:pPr>
        <w:spacing w:after="0" w:line="113"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32,668 shares of common stock issuable to Ms. Hamill upon the exercise of stock options that are exercisable within 60 days of April 11, 2022.</w:t>
      </w:r>
    </w:p>
    <w:p>
      <w:pPr>
        <w:spacing w:after="0" w:line="113"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19,740 shares of common stock issuable to Dr. Marquet upon the exercise of stock options that are exercisable within 60 days of April 11, 2022.</w:t>
      </w:r>
    </w:p>
    <w:p>
      <w:pPr>
        <w:spacing w:after="0" w:line="126" w:lineRule="exact"/>
        <w:rPr>
          <w:rFonts w:ascii="Times New Roman" w:cs="Times New Roman" w:eastAsia="Times New Roman" w:hAnsi="Times New Roman"/>
          <w:sz w:val="16"/>
          <w:szCs w:val="16"/>
          <w:color w:val="auto"/>
        </w:rPr>
      </w:pPr>
    </w:p>
    <w:p>
      <w:pPr>
        <w:ind w:left="332" w:right="80" w:hanging="332"/>
        <w:spacing w:after="0" w:line="280"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shares of common stock described in footnote 14 below. Mr. Nodelman joined our board of directors in April 2022, and disclaims beneficial ownership of such shares, except to the extent of his pecuniary interest therein.</w:t>
      </w:r>
    </w:p>
    <w:p>
      <w:pPr>
        <w:spacing w:after="0" w:line="56"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103,223 shares of common stock issuable to Mr. Renton upon the exercise of stock options that are exercisable within 60 days of April 11, 2022.</w:t>
      </w:r>
    </w:p>
    <w:p>
      <w:pPr>
        <w:spacing w:after="0" w:line="126"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94,404 shares of common stock issuable to Mr. Schmid upon the exercise of stock options that are exercisable within 60 days of April 11, 2022.</w:t>
      </w:r>
    </w:p>
    <w:p>
      <w:pPr>
        <w:spacing w:after="0" w:line="113" w:lineRule="exact"/>
        <w:rPr>
          <w:rFonts w:ascii="Times New Roman" w:cs="Times New Roman" w:eastAsia="Times New Roman" w:hAnsi="Times New Roman"/>
          <w:sz w:val="16"/>
          <w:szCs w:val="16"/>
          <w:color w:val="auto"/>
        </w:rPr>
      </w:pPr>
    </w:p>
    <w:p>
      <w:pPr>
        <w:ind w:left="332" w:right="380" w:hanging="332"/>
        <w:spacing w:after="0" w:line="272" w:lineRule="auto"/>
        <w:tabs>
          <w:tab w:leader="none" w:pos="32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899,700 shares of common stock held directly by Frazier Healthcare V, L.P based on Schedule 13-D/A filed on November 26, 2020 and (b) 80,812 shares of common stock held directly by Dr. Topper and (c) 52,067 shares of common stock issuable to Dr. Topper upon the exercise of stock options that are exercisable within 60 days of April 11, 2022.</w:t>
      </w:r>
    </w:p>
    <w:p>
      <w:pPr>
        <w:spacing w:after="0" w:line="62" w:lineRule="exact"/>
        <w:rPr>
          <w:rFonts w:ascii="Times New Roman" w:cs="Times New Roman" w:eastAsia="Times New Roman" w:hAnsi="Times New Roman"/>
          <w:sz w:val="16"/>
          <w:szCs w:val="16"/>
          <w:color w:val="auto"/>
        </w:rPr>
      </w:pPr>
    </w:p>
    <w:p>
      <w:pPr>
        <w:ind w:left="332" w:right="40" w:hanging="332"/>
        <w:spacing w:after="0" w:line="298"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3,600 shares of common stock held directly by Dr. Ware and (b) 76,332 shares of common stock issuable to Dr. Ware upon the exercise of stock options that are exercisable within 60 days of April 11, 2022.</w:t>
      </w:r>
    </w:p>
    <w:p>
      <w:pPr>
        <w:spacing w:after="0" w:line="42" w:lineRule="exact"/>
        <w:rPr>
          <w:rFonts w:ascii="Times New Roman" w:cs="Times New Roman" w:eastAsia="Times New Roman" w:hAnsi="Times New Roman"/>
          <w:sz w:val="16"/>
          <w:szCs w:val="16"/>
          <w:color w:val="auto"/>
        </w:rPr>
      </w:pPr>
    </w:p>
    <w:p>
      <w:pPr>
        <w:ind w:left="332" w:right="340" w:hanging="332"/>
        <w:spacing w:after="0" w:line="298"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beneficially owned by our executive officers and directors. Consists of (a) 8,506,987 shares of common stock and (b) 1,047,743 shares of common stock issuable upon the exercise of stock options that are exercisable within 60 days of April 11, 2022.</w:t>
      </w:r>
    </w:p>
    <w:p>
      <w:pPr>
        <w:spacing w:after="0" w:line="42" w:lineRule="exact"/>
        <w:rPr>
          <w:rFonts w:ascii="Times New Roman" w:cs="Times New Roman" w:eastAsia="Times New Roman" w:hAnsi="Times New Roman"/>
          <w:sz w:val="16"/>
          <w:szCs w:val="16"/>
          <w:color w:val="auto"/>
        </w:rPr>
      </w:pPr>
    </w:p>
    <w:p>
      <w:pPr>
        <w:jc w:val="both"/>
        <w:ind w:left="332" w:right="160" w:hanging="332"/>
        <w:spacing w:after="0" w:line="272"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7,520,424 shares of common stock held directly by EcoR1 Capital Fund Qualified, L.P. Each of EcoR1 Capital Fund Qualified, L.P., EcoR1 Capital, LLC and Oleg Nodelman have shared voting and dispositive power over such shares. The address of each of EcoR1 Capital Fund Qualified, L.P., EcoR1 Capital, LLC and Mr. Nodelman is 357 Tehama Street #3, San Francisco, California 94103.</w:t>
      </w:r>
    </w:p>
    <w:p>
      <w:pPr>
        <w:spacing w:after="0" w:line="62" w:lineRule="exact"/>
        <w:rPr>
          <w:rFonts w:ascii="Times New Roman" w:cs="Times New Roman" w:eastAsia="Times New Roman" w:hAnsi="Times New Roman"/>
          <w:sz w:val="16"/>
          <w:szCs w:val="16"/>
          <w:color w:val="auto"/>
        </w:rPr>
      </w:pPr>
    </w:p>
    <w:p>
      <w:pPr>
        <w:ind w:left="332" w:right="340" w:hanging="332"/>
        <w:spacing w:after="0" w:line="298"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13-G/A filed by Tang Capital Partners, L.P. on February 16, 2021. Consists of 2,628,678 shares of common stock held directly by Tang Capital Partners L.P. The address of Tang Capital Partners L.P. is 4747 Executive Drive, Suite 210, San Diego, CA 92121.</w:t>
      </w:r>
    </w:p>
    <w:p>
      <w:pPr>
        <w:spacing w:after="0" w:line="42" w:lineRule="exact"/>
        <w:rPr>
          <w:rFonts w:ascii="Times New Roman" w:cs="Times New Roman" w:eastAsia="Times New Roman" w:hAnsi="Times New Roman"/>
          <w:sz w:val="16"/>
          <w:szCs w:val="16"/>
          <w:color w:val="auto"/>
        </w:rPr>
      </w:pPr>
    </w:p>
    <w:p>
      <w:pPr>
        <w:ind w:left="332" w:right="20" w:hanging="332"/>
        <w:spacing w:after="0" w:line="260"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13-G/A filed by BlackRock, Inc. (“Blackrock”) on February 3, 2022. Consists of 1,865,288 shares of common stock held by the following subsidiaries of BlackRock, Inc, or BlackRock: BlackRock Life Limited,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and BlackRock Fund Managers Ltd. Blackrock’s address is 55 East 52nd Street, New York, New York 10055.</w:t>
      </w:r>
    </w:p>
    <w:p>
      <w:pPr>
        <w:spacing w:after="0" w:line="73" w:lineRule="exact"/>
        <w:rPr>
          <w:rFonts w:ascii="Times New Roman" w:cs="Times New Roman" w:eastAsia="Times New Roman" w:hAnsi="Times New Roman"/>
          <w:sz w:val="16"/>
          <w:szCs w:val="16"/>
          <w:color w:val="auto"/>
        </w:rPr>
      </w:pPr>
    </w:p>
    <w:p>
      <w:pPr>
        <w:jc w:val="both"/>
        <w:ind w:left="332" w:hanging="332"/>
        <w:spacing w:after="0" w:line="263"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13-G/A filed by The Vanguard Group on February 9, 2022. Consists of 1,842,683 shares of common stock held by the following subsidiaries of The Vanguard Group: Vanguard Asset Management, Limited, Vanguard Fiduciary Trust Company, Vanguard Global Advisors, Vanguard Group (Ireland) Limited, Vanguard Investments Australia Ltd, Vanguard Investments Canada Inc., Vanguard Investments Hong Kong Limited, and Vanguard Investments UK, Limited. The address of The Vanguard Group is 100 Vanguard Blvd. Malvern, Pennsylvania 19355.</w:t>
      </w:r>
    </w:p>
    <w:p>
      <w:pPr>
        <w:spacing w:after="0" w:line="84" w:lineRule="exact"/>
        <w:rPr>
          <w:rFonts w:ascii="Times New Roman" w:cs="Times New Roman" w:eastAsia="Times New Roman" w:hAnsi="Times New Roman"/>
          <w:sz w:val="16"/>
          <w:szCs w:val="16"/>
          <w:color w:val="auto"/>
        </w:rPr>
      </w:pPr>
    </w:p>
    <w:p>
      <w:pPr>
        <w:ind w:left="332" w:right="320" w:hanging="332"/>
        <w:spacing w:after="0" w:line="263" w:lineRule="auto"/>
        <w:tabs>
          <w:tab w:leader="none" w:pos="3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13-G filed by Federated Hermes, Inc.(“FHI”) on February 14, 2022. Consists of 1,604,287 shares of common stock held by Federated Equity Management Company of Pennsylvania and Federated Global Investment Management Corp., which are wholly owned subsidiaries of FII Holdings, Inc., which is wholly owned subsidiary of FHI. All of FHI’s. outstanding voting stock is held in the Voting Shares Irrevocable Trust for which Thomas R. Donahue, Rhodora J. Donahue and J. Christopher Donahue act as trustees. FHI’s address is 1001 Liberty Avenue, Pittsburgh, PA 15222.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12"/>
          </w:cols>
          <w:pgMar w:left="328" w:top="1165" w:right="359" w:bottom="1440" w:gutter="0" w:footer="0" w:header="0"/>
        </w:sectPr>
      </w:pPr>
    </w:p>
    <w:bookmarkStart w:id="23" w:name="page24"/>
    <w:bookmarkEnd w:id="23"/>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as of March 31, 2022:</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0" w:type="dxa"/>
            <w:vAlign w:val="bottom"/>
            <w:tcBorders>
              <w:bottom w:val="single" w:sz="8" w:color="auto"/>
            </w:tcBorders>
            <w:shd w:val="clear" w:color="auto" w:fill="CCEEFF"/>
          </w:tcPr>
          <w:p>
            <w:pPr>
              <w:jc w:val="center"/>
              <w:ind w:left="1832"/>
              <w:spacing w:after="0"/>
              <w:rPr>
                <w:sz w:val="20"/>
                <w:szCs w:val="20"/>
                <w:color w:val="auto"/>
              </w:rPr>
            </w:pPr>
            <w:r>
              <w:rPr>
                <w:rFonts w:ascii="Times New Roman" w:cs="Times New Roman" w:eastAsia="Times New Roman" w:hAnsi="Times New Roman"/>
                <w:sz w:val="16"/>
                <w:szCs w:val="16"/>
                <w:b w:val="1"/>
                <w:bCs w:val="1"/>
                <w:color w:val="auto"/>
              </w:rPr>
              <w:t>Age</w:t>
            </w:r>
          </w:p>
        </w:tc>
        <w:tc>
          <w:tcPr>
            <w:tcW w:w="5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23"/>
        </w:trPr>
        <w:tc>
          <w:tcPr>
            <w:tcW w:w="3160" w:type="dxa"/>
            <w:vAlign w:val="bottom"/>
          </w:tcPr>
          <w:p>
            <w:pPr>
              <w:ind w:left="40"/>
              <w:spacing w:after="0" w:line="223" w:lineRule="exact"/>
              <w:rPr>
                <w:sz w:val="20"/>
                <w:szCs w:val="20"/>
                <w:color w:val="auto"/>
              </w:rPr>
            </w:pPr>
            <w:r>
              <w:rPr>
                <w:rFonts w:ascii="Times New Roman" w:cs="Times New Roman" w:eastAsia="Times New Roman" w:hAnsi="Times New Roman"/>
                <w:sz w:val="18"/>
                <w:szCs w:val="18"/>
                <w:color w:val="auto"/>
              </w:rPr>
              <w:t>Daniel Faga</w:t>
            </w:r>
            <w:r>
              <w:rPr>
                <w:rFonts w:ascii="Times New Roman" w:cs="Times New Roman" w:eastAsia="Times New Roman" w:hAnsi="Times New Roman"/>
                <w:sz w:val="23"/>
                <w:szCs w:val="23"/>
                <w:color w:val="auto"/>
                <w:vertAlign w:val="superscript"/>
              </w:rPr>
              <w:t>(1)</w:t>
            </w:r>
          </w:p>
        </w:tc>
        <w:tc>
          <w:tcPr>
            <w:tcW w:w="2400" w:type="dxa"/>
            <w:vAlign w:val="bottom"/>
          </w:tcPr>
          <w:p>
            <w:pPr>
              <w:jc w:val="center"/>
              <w:ind w:left="1812"/>
              <w:spacing w:after="0"/>
              <w:rPr>
                <w:sz w:val="20"/>
                <w:szCs w:val="20"/>
                <w:color w:val="auto"/>
              </w:rPr>
            </w:pPr>
            <w:r>
              <w:rPr>
                <w:rFonts w:ascii="Times New Roman" w:cs="Times New Roman" w:eastAsia="Times New Roman" w:hAnsi="Times New Roman"/>
                <w:sz w:val="18"/>
                <w:szCs w:val="18"/>
                <w:color w:val="auto"/>
                <w:w w:val="99"/>
              </w:rPr>
              <w:t>42</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President and Chief Executive Officer and Director</w:t>
            </w:r>
          </w:p>
        </w:tc>
      </w:tr>
      <w:tr>
        <w:trPr>
          <w:trHeight w:val="230"/>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Eric Loumeau</w:t>
            </w:r>
          </w:p>
        </w:tc>
        <w:tc>
          <w:tcPr>
            <w:tcW w:w="2400" w:type="dxa"/>
            <w:vAlign w:val="bottom"/>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9"/>
              </w:rPr>
              <w:t>59</w:t>
            </w:r>
          </w:p>
        </w:tc>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Paul Lizzul</w:t>
            </w:r>
          </w:p>
        </w:tc>
        <w:tc>
          <w:tcPr>
            <w:tcW w:w="2400" w:type="dxa"/>
            <w:vAlign w:val="bottom"/>
          </w:tcPr>
          <w:p>
            <w:pPr>
              <w:jc w:val="center"/>
              <w:ind w:left="1812"/>
              <w:spacing w:after="0"/>
              <w:rPr>
                <w:sz w:val="20"/>
                <w:szCs w:val="20"/>
                <w:color w:val="auto"/>
              </w:rPr>
            </w:pPr>
            <w:r>
              <w:rPr>
                <w:rFonts w:ascii="Times New Roman" w:cs="Times New Roman" w:eastAsia="Times New Roman" w:hAnsi="Times New Roman"/>
                <w:sz w:val="18"/>
                <w:szCs w:val="18"/>
                <w:color w:val="auto"/>
                <w:w w:val="99"/>
              </w:rPr>
              <w:t>47</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29"/>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Dennis Mulroy</w:t>
            </w:r>
          </w:p>
        </w:tc>
        <w:tc>
          <w:tcPr>
            <w:tcW w:w="2400" w:type="dxa"/>
            <w:vAlign w:val="bottom"/>
            <w:shd w:val="clear" w:color="auto" w:fill="CCEEFF"/>
          </w:tcPr>
          <w:p>
            <w:pPr>
              <w:jc w:val="center"/>
              <w:ind w:left="1812"/>
              <w:spacing w:after="0"/>
              <w:rPr>
                <w:sz w:val="20"/>
                <w:szCs w:val="20"/>
                <w:color w:val="auto"/>
              </w:rPr>
            </w:pPr>
            <w:r>
              <w:rPr>
                <w:rFonts w:ascii="Times New Roman" w:cs="Times New Roman" w:eastAsia="Times New Roman" w:hAnsi="Times New Roman"/>
                <w:sz w:val="18"/>
                <w:szCs w:val="18"/>
                <w:color w:val="auto"/>
                <w:w w:val="99"/>
              </w:rPr>
              <w:t>67</w:t>
            </w:r>
          </w:p>
        </w:tc>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76" w:lineRule="exact"/>
        <w:rPr>
          <w:sz w:val="20"/>
          <w:szCs w:val="20"/>
          <w:color w:val="auto"/>
        </w:rPr>
      </w:pPr>
    </w:p>
    <w:p>
      <w:pPr>
        <w:ind w:left="340" w:right="360" w:hanging="332"/>
        <w:spacing w:after="0" w:line="282"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Faga was appointed interim president and chief executive officer effective March 21, 2022 following the resignation by Hamza Suria from his position.</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Mr. Faga’s biographical information is set forth above under the heading “Proposal No. 1 Election of Class II Directors - Directors not Standing for Election”.</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Loumeau, J.D. </w:t>
      </w:r>
      <w:r>
        <w:rPr>
          <w:rFonts w:ascii="Times New Roman" w:cs="Times New Roman" w:eastAsia="Times New Roman" w:hAnsi="Times New Roman"/>
          <w:sz w:val="18"/>
          <w:szCs w:val="18"/>
          <w:color w:val="auto"/>
        </w:rPr>
        <w:t>has served as our Chief Operating Officer since July 2020 and as our General Counsel since August 2018. Mr. Loumeau also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interim Chief Financial Officer from September 2019 to July 2020.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spacing w:after="0" w:line="1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Lizzul M.D., Ph.D., M.P.H., M.B.A. </w:t>
      </w:r>
      <w:r>
        <w:rPr>
          <w:rFonts w:ascii="Times New Roman" w:cs="Times New Roman" w:eastAsia="Times New Roman" w:hAnsi="Times New Roman"/>
          <w:sz w:val="18"/>
          <w:szCs w:val="18"/>
          <w:color w:val="auto"/>
        </w:rPr>
        <w:t>joined our Company as our Chief Medical Officer in July 2020. Dr. Lizzul previously served as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Director of Amgen Inc, a pharmaceutical company, from January 2020 to July 2020. Before joining Amgen, he served as Chief Medical Officer of Sienna Biopharmaceuticals, Inc. from 2016 to January 2020. Previously, he served as Senior Medical Director and Head of Safety at Kythera Biopharmaceuticals, Inc., and as an Assistant Professor of Dermatology and Associate Director of Clinical Research at the Tufts University School of Medicine, where he conducted investigator-initiated and industry-sponsored clinical trials in inflammatory skin diseases (psoriasis). Dr. Lizzul has authored articles in academic journals on topics including inflammation, psoriasis, aesthetics (Kybella) and health care reform. Dr. Lizzul is a diplomat of the American Board of Dermatology and a faculty member of the American Academy of Dermatology and previously served on the FDA’s Dermatology and Ophthalmic Drugs Advisory Committee. Dr. Lizzul is a volunteer member of the teaching faculty in the Department of Dermatology at University of California, Los Angeles School of Medicine. Dr. Lizzul completed his post-graduate medical internship at Greenwich Hospital, Yale University School of Medicine and his dermatology residency at the University of California Davis, where he was appointed chief resident. Dr. Lizzul earned his B.S. in Biology from Rensselaer Polytechnic Institute, and an M.D., Ph.D. in Molecular Genetics and Microbiology and M.P.H. in Epidemiology/Outcomes from the Rutgers/Robert Wood Johnson Medical School. Dr. Lizzul also earned an M.B.A. in Entrepreneurship from the Rutgers Business School.</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Dennis Mulroy </w:t>
      </w:r>
      <w:r>
        <w:rPr>
          <w:rFonts w:ascii="Times New Roman" w:cs="Times New Roman" w:eastAsia="Times New Roman" w:hAnsi="Times New Roman"/>
          <w:sz w:val="18"/>
          <w:szCs w:val="18"/>
          <w:color w:val="auto"/>
        </w:rPr>
        <w:t>has served as our Chief Financial Officer since July 2020. Mr. Mulroy previously served as Chief Financial Officer for La Jolla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Company from April 2015 to May 2020. Before joining La Jolla Pharmaceutical, he served as Chief Financial Officer of Taxus Cardium Pharmaceuticals Group, Inc., and Chief Financial Officer of Molecular Imaging, Inc., Chief Financial Officer of SeraCare Life Sciences, Inc. Mr. Mulroy began his career at Ernst &amp; Young LLP. Mr. Mulroy received a B.S. degree in business administration, with an emphasis in accounting, from the University of San Diego and is a Certified Public Accountant (inactive) in the state of California.</w:t>
      </w:r>
    </w:p>
    <w:p>
      <w:pPr>
        <w:spacing w:after="0" w:line="1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 There are no family relationships among any of our directors or 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 and Practices</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endeavor to maintain sound compensation governance standards consistent with our executive compensation policies and practices. Our compensation committee evaluates our executive compensation program on a regular basis (and no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143" w:right="359" w:bottom="1440" w:gutter="0" w:footer="0" w:header="0"/>
        </w:sectPr>
      </w:pPr>
    </w:p>
    <w:bookmarkStart w:id="24" w:name="page25"/>
    <w:bookmarkEnd w:id="24"/>
    <w:p>
      <w:pPr>
        <w:ind w:right="100"/>
        <w:spacing w:after="0" w:line="282" w:lineRule="auto"/>
        <w:rPr>
          <w:sz w:val="20"/>
          <w:szCs w:val="20"/>
          <w:color w:val="auto"/>
        </w:rPr>
      </w:pPr>
      <w:r>
        <w:rPr>
          <w:rFonts w:ascii="Times New Roman" w:cs="Times New Roman" w:eastAsia="Times New Roman" w:hAnsi="Times New Roman"/>
          <w:sz w:val="18"/>
          <w:szCs w:val="18"/>
          <w:color w:val="auto"/>
        </w:rPr>
        <w:t>than annually)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What We Do</w:t>
      </w:r>
    </w:p>
    <w:p>
      <w:pPr>
        <w:spacing w:after="0" w:line="225" w:lineRule="exact"/>
        <w:rPr>
          <w:sz w:val="20"/>
          <w:szCs w:val="20"/>
          <w:color w:val="auto"/>
        </w:rPr>
      </w:pPr>
    </w:p>
    <w:p>
      <w:pPr>
        <w:ind w:left="980" w:right="240" w:hanging="324"/>
        <w:spacing w:after="0" w:line="28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an Independent Compensation Committee. </w:t>
      </w:r>
      <w:r>
        <w:rPr>
          <w:rFonts w:ascii="Times New Roman" w:cs="Times New Roman" w:eastAsia="Times New Roman" w:hAnsi="Times New Roman"/>
          <w:sz w:val="18"/>
          <w:szCs w:val="18"/>
          <w:color w:val="auto"/>
        </w:rPr>
        <w:t>Our compensation committee consists solely of independent directors who establish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compensation practices.</w:t>
      </w:r>
    </w:p>
    <w:p>
      <w:pPr>
        <w:spacing w:after="0" w:line="87" w:lineRule="exact"/>
        <w:rPr>
          <w:rFonts w:ascii="Times New Roman" w:cs="Times New Roman" w:eastAsia="Times New Roman" w:hAnsi="Times New Roman"/>
          <w:sz w:val="18"/>
          <w:szCs w:val="18"/>
          <w:color w:val="auto"/>
        </w:rPr>
      </w:pPr>
    </w:p>
    <w:p>
      <w:pPr>
        <w:ind w:left="980" w:right="480" w:hanging="324"/>
        <w:spacing w:after="0" w:line="268"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an Independent Compensation Advisor. </w:t>
      </w:r>
      <w:r>
        <w:rPr>
          <w:rFonts w:ascii="Times New Roman" w:cs="Times New Roman" w:eastAsia="Times New Roman" w:hAnsi="Times New Roman"/>
          <w:sz w:val="18"/>
          <w:szCs w:val="18"/>
          <w:color w:val="auto"/>
        </w:rPr>
        <w:t>Our compensation committee has engaged its own compensation consultant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analysis, and other advice on executive compensation independent of management. This consultant performed no other consulting or other services for us in 2021.</w:t>
      </w:r>
    </w:p>
    <w:p>
      <w:pPr>
        <w:spacing w:after="0" w:line="89" w:lineRule="exact"/>
        <w:rPr>
          <w:rFonts w:ascii="Times New Roman" w:cs="Times New Roman" w:eastAsia="Times New Roman" w:hAnsi="Times New Roman"/>
          <w:sz w:val="18"/>
          <w:szCs w:val="18"/>
          <w:color w:val="auto"/>
        </w:rPr>
      </w:pPr>
    </w:p>
    <w:p>
      <w:pPr>
        <w:ind w:left="980" w:right="100" w:hanging="324"/>
        <w:spacing w:after="0" w:line="26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Annual Executive Compensation Review. </w:t>
      </w:r>
      <w:r>
        <w:rPr>
          <w:rFonts w:ascii="Times New Roman" w:cs="Times New Roman" w:eastAsia="Times New Roman" w:hAnsi="Times New Roman"/>
          <w:sz w:val="18"/>
          <w:szCs w:val="18"/>
          <w:color w:val="auto"/>
        </w:rPr>
        <w:t>Our compensation committee conducts an annual review and approval of our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108" w:lineRule="exact"/>
        <w:rPr>
          <w:rFonts w:ascii="Times New Roman" w:cs="Times New Roman" w:eastAsia="Times New Roman" w:hAnsi="Times New Roman"/>
          <w:sz w:val="18"/>
          <w:szCs w:val="18"/>
          <w:color w:val="auto"/>
        </w:rPr>
      </w:pPr>
    </w:p>
    <w:p>
      <w:pPr>
        <w:ind w:left="980" w:right="240" w:hanging="324"/>
        <w:spacing w:after="0" w:line="268"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At-Risk. </w:t>
      </w:r>
      <w:r>
        <w:rPr>
          <w:rFonts w:ascii="Times New Roman" w:cs="Times New Roman" w:eastAsia="Times New Roman" w:hAnsi="Times New Roman"/>
          <w:sz w:val="18"/>
          <w:szCs w:val="18"/>
          <w:color w:val="auto"/>
        </w:rPr>
        <w:t>Our executive compensation program is designed so that a significant portion of each of our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compensation is “at-risk” based on corporate performance, as well as equity-based, to align the interests of our executive officers and stockholders.</w:t>
      </w:r>
    </w:p>
    <w:p>
      <w:pPr>
        <w:spacing w:after="0" w:line="103" w:lineRule="exact"/>
        <w:rPr>
          <w:rFonts w:ascii="Times New Roman" w:cs="Times New Roman" w:eastAsia="Times New Roman" w:hAnsi="Times New Roman"/>
          <w:sz w:val="18"/>
          <w:szCs w:val="18"/>
          <w:color w:val="auto"/>
        </w:rPr>
      </w:pPr>
    </w:p>
    <w:p>
      <w:pPr>
        <w:ind w:left="980" w:right="100" w:hanging="324"/>
        <w:spacing w:after="0" w:line="26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Use a “Pay-for-Performance” Philosophy. </w:t>
      </w:r>
      <w:r>
        <w:rPr>
          <w:rFonts w:ascii="Times New Roman" w:cs="Times New Roman" w:eastAsia="Times New Roman" w:hAnsi="Times New Roman"/>
          <w:sz w:val="18"/>
          <w:szCs w:val="18"/>
          <w:color w:val="auto"/>
        </w:rPr>
        <w:t>The majority of our Named Executive Officers’ compensation is directly linked to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through short-term performance-based annual bonuses and long-term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spacing w:after="0" w:line="95" w:lineRule="exact"/>
        <w:rPr>
          <w:rFonts w:ascii="Times New Roman" w:cs="Times New Roman" w:eastAsia="Times New Roman" w:hAnsi="Times New Roman"/>
          <w:sz w:val="18"/>
          <w:szCs w:val="18"/>
          <w:color w:val="auto"/>
        </w:rPr>
      </w:pPr>
    </w:p>
    <w:p>
      <w:pPr>
        <w:ind w:left="980" w:right="80" w:hanging="324"/>
        <w:spacing w:after="0" w:line="28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On an as-needed basis, we review the risks associated with our Named Executive Officer positions to ensure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succession plans are in place.</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What We Do Not Do</w:t>
      </w:r>
    </w:p>
    <w:p>
      <w:pPr>
        <w:spacing w:after="0" w:line="18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Guaranteed Bonuses. </w:t>
      </w:r>
      <w:r>
        <w:rPr>
          <w:rFonts w:ascii="Times New Roman" w:cs="Times New Roman" w:eastAsia="Times New Roman" w:hAnsi="Times New Roman"/>
          <w:sz w:val="18"/>
          <w:szCs w:val="18"/>
          <w:color w:val="auto"/>
        </w:rPr>
        <w:t>We do not provide guaranteed bonuses to our Named Executive Officers.</w:t>
      </w:r>
    </w:p>
    <w:p>
      <w:pPr>
        <w:spacing w:after="0" w:line="15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Executive Retirement Plans. </w:t>
      </w:r>
      <w:r>
        <w:rPr>
          <w:rFonts w:ascii="Times New Roman" w:cs="Times New Roman" w:eastAsia="Times New Roman" w:hAnsi="Times New Roman"/>
          <w:sz w:val="18"/>
          <w:szCs w:val="18"/>
          <w:color w:val="auto"/>
        </w:rPr>
        <w:t>We do not currently offer defined benefit pension plans or any non-qualified deferred compensation plans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to our Named Executive Officers other than the plans and arrangements that are available to employees generally.</w:t>
      </w:r>
    </w:p>
    <w:p>
      <w:pPr>
        <w:spacing w:after="0" w:line="73"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Hedging or Pledging. </w:t>
      </w:r>
      <w:r>
        <w:rPr>
          <w:rFonts w:ascii="Times New Roman" w:cs="Times New Roman" w:eastAsia="Times New Roman" w:hAnsi="Times New Roman"/>
          <w:sz w:val="18"/>
          <w:szCs w:val="18"/>
          <w:color w:val="auto"/>
        </w:rPr>
        <w:t>We prohibit our employees (including our Named Executive Officers) and the non-employee members of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from hedging or pledging our securities.</w:t>
      </w:r>
    </w:p>
    <w:p>
      <w:pPr>
        <w:spacing w:after="0" w:line="87" w:lineRule="exact"/>
        <w:rPr>
          <w:rFonts w:ascii="Times New Roman" w:cs="Times New Roman" w:eastAsia="Times New Roman" w:hAnsi="Times New Roman"/>
          <w:sz w:val="18"/>
          <w:szCs w:val="18"/>
          <w:color w:val="auto"/>
        </w:rPr>
      </w:pPr>
    </w:p>
    <w:p>
      <w:pPr>
        <w:ind w:left="980" w:right="60" w:hanging="324"/>
        <w:spacing w:after="0" w:line="28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Special Welfare or Health Benefits. </w:t>
      </w:r>
      <w:r>
        <w:rPr>
          <w:rFonts w:ascii="Times New Roman" w:cs="Times New Roman" w:eastAsia="Times New Roman" w:hAnsi="Times New Roman"/>
          <w:sz w:val="18"/>
          <w:szCs w:val="18"/>
          <w:color w:val="auto"/>
        </w:rPr>
        <w:t>We do not provide our Named Executive Officers with any welfare or health benefit programs,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participation in our broad-based employee programs.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to Approve Named Executive Officer Compensation</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At our 2021 Annual Meeting of Stockholders, we conducted our non-binding stockholder advisory vote on the compensation of our named executive officers (commonly known as a “Say-on-Pay” vote). Approximately 99.5% of the votes cast approved our executive compensation program for 2020. Our board of directors and our compensation committee consider the result of the Say-on-Pay vote in determining the compensation of our executive officers, including our named executive officers. Based on the strong level of support for our executive compensation program demonstrated by the result of last year’s Say-on-Pay vote, among other factors, our board of directors and our compensation committee determined not to implement significant changes to our executive compensation program for 2021.</w:t>
      </w:r>
    </w:p>
    <w:p>
      <w:pPr>
        <w:spacing w:after="0" w:line="14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value the opinion of our stockholders. Our board of directors and our compensation committee will continue to consider the result of the Say-on-Pay vote, as well as feedback received throughout the year, when making compensation decisions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161" w:right="379" w:bottom="1440" w:gutter="0" w:footer="0" w:header="0"/>
        </w:sectPr>
      </w:pPr>
    </w:p>
    <w:bookmarkStart w:id="25" w:name="page26"/>
    <w:bookmarkEnd w:id="2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consistent with the recommendation of our board of directors and the preference of our stockholders as reflected in the non-binding stockholder advisory vote on the frequency of future Say-on-Pay votes held at our 2019 Annual Meeting of Stockholders, we continue to hold future Say-on-Pay votes on an annual basis. Accordingly, after the vote at the Annual Meeting to which this Proxy Statement relates, our next Say-on-Pay vote will be conducted at our 2023 Annual Meeting of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Objectives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objectives of our executive compensation program, policies, and practices are to:</w:t>
      </w:r>
    </w:p>
    <w:p>
      <w:pPr>
        <w:spacing w:after="0" w:line="19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compensation which enables us to attract and retain high-caliber executives;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achievement of our business objectives by directly linking annual bonuses to the achievement of objectives that build long-term stockholder value;</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both corporate and individual performance by providing opportunities for career advancement and opportunities for above-median short-term and long-term compensation based on measurable corporate and individual performance;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the interests of our executives with those of our stockholders by incentivizing and rewarding the creation of stockholder value.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has reflected, and we expect that it will continue to reflect, our industry and life-cycle stage, including the fact that we are a biotechnology company whose product candidates are in pre-clinical and clinical development and remain subject to regulatory approval. As a result, our revenues have been and will continue to be limited, and we expect to continue to incur net losses for at least the next several years. In an effort to preserve cash resources,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long-term incentive compensation, we have also implemented an annual performance-based cash bonus plan for our Named Executive Officers. Payments under this cash bonus plan are based primarily on our level of achievement of pre-established corporate performance goals to reflect the fact that our Named Executive Officers make the key strategic decisions influencing our Company as a whole.</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89"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Our compensation committee engages an external compensation consultant to assist it by providing information, analysis, and other advice relating to our executive compensation program and the decisions resulting from its annual executive compensation review. The compensation consultant reports directly to our compensation committee and its chair, and serves at the discretion of our compensation committee, which reviews the engagement annually.</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2021, our compensation committee retained Compensia to serve as its compensation advisor to advise on executive compensation matters, including competitive market pay practices for our executive officers, and with the data analysis and selection of the compensation peer group.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Positioning</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2021, our compensation committee directed Compensia to again refresh our compensation peer group in light of our adjusted market capitalization. In evaluating the companies to comprise the compensation peer group at that time, Compensia considered the following criteria: (i) biotechnology and pharmaceutical companies with therapeutic similarity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61" w:right="339" w:bottom="1440" w:gutter="0" w:footer="0" w:header="0"/>
        </w:sectPr>
      </w:pPr>
    </w:p>
    <w:bookmarkStart w:id="26" w:name="page27"/>
    <w:bookmarkEnd w:id="26"/>
    <w:p>
      <w:pPr>
        <w:ind w:right="160"/>
        <w:spacing w:after="0" w:line="282" w:lineRule="auto"/>
        <w:rPr>
          <w:sz w:val="20"/>
          <w:szCs w:val="20"/>
          <w:color w:val="auto"/>
        </w:rPr>
      </w:pPr>
      <w:r>
        <w:rPr>
          <w:rFonts w:ascii="Times New Roman" w:cs="Times New Roman" w:eastAsia="Times New Roman" w:hAnsi="Times New Roman"/>
          <w:sz w:val="18"/>
          <w:szCs w:val="18"/>
          <w:color w:val="auto"/>
        </w:rPr>
        <w:t>inflammation, immune-oncology, and other antibody-based therapies; (ii) with lead drugs in phase II or III or pending approval; (iii) 25 - 230 employees; and (iv) a market capitalization of 0.33x to 3.0x our market capitalization.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a review of the analysis prepared by Compensia, in September 2021 our compensation committee approved an updated compensation peer group, referred to as the 2021 peer group, consisting of the following companies: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Aeglea BioTherapeutics</w:t>
            </w:r>
          </w:p>
        </w:tc>
        <w:tc>
          <w:tcPr>
            <w:tcW w:w="3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Gossamer Bio</w:t>
            </w:r>
          </w:p>
        </w:tc>
        <w:tc>
          <w:tcPr>
            <w:tcW w:w="4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RAPT Therapeutics</w:t>
            </w:r>
          </w:p>
        </w:tc>
      </w:tr>
      <w:tr>
        <w:trPr>
          <w:trHeight w:val="229"/>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Arcus Biosciences</w:t>
            </w:r>
          </w:p>
        </w:tc>
        <w:tc>
          <w:tcPr>
            <w:tcW w:w="3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ImmunoGen</w:t>
            </w:r>
          </w:p>
        </w:tc>
        <w:tc>
          <w:tcPr>
            <w:tcW w:w="4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Sangamo Therapeutics</w:t>
            </w:r>
          </w:p>
        </w:tc>
      </w:tr>
      <w:tr>
        <w:trPr>
          <w:trHeight w:val="230"/>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Atara Biotherapeutics</w:t>
            </w:r>
          </w:p>
        </w:tc>
        <w:tc>
          <w:tcPr>
            <w:tcW w:w="3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iTeos Therapeutics</w:t>
            </w:r>
          </w:p>
        </w:tc>
        <w:tc>
          <w:tcPr>
            <w:tcW w:w="4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Seres Therapeutics</w:t>
            </w:r>
          </w:p>
        </w:tc>
      </w:tr>
      <w:tr>
        <w:trPr>
          <w:trHeight w:val="229"/>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Corbus Pharmaceuticals</w:t>
            </w:r>
          </w:p>
        </w:tc>
        <w:tc>
          <w:tcPr>
            <w:tcW w:w="3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Jounce Therapeutics</w:t>
            </w:r>
          </w:p>
        </w:tc>
        <w:tc>
          <w:tcPr>
            <w:tcW w:w="4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Syndax Pharmaceuticals</w:t>
            </w:r>
          </w:p>
        </w:tc>
      </w:tr>
      <w:tr>
        <w:trPr>
          <w:trHeight w:val="229"/>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CymaBay Therapeutics</w:t>
            </w:r>
          </w:p>
        </w:tc>
        <w:tc>
          <w:tcPr>
            <w:tcW w:w="3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Kura Oncology</w:t>
            </w:r>
          </w:p>
        </w:tc>
        <w:tc>
          <w:tcPr>
            <w:tcW w:w="4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Tonix Pharmaceuticals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CytomX Therapeutics</w:t>
            </w:r>
          </w:p>
        </w:tc>
        <w:tc>
          <w:tcPr>
            <w:tcW w:w="3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Mersana Therapeutics</w:t>
            </w:r>
          </w:p>
        </w:tc>
        <w:tc>
          <w:tcPr>
            <w:tcW w:w="4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ZIOPHARM Oncology</w:t>
            </w:r>
          </w:p>
        </w:tc>
      </w:tr>
      <w:tr>
        <w:trPr>
          <w:trHeight w:val="229"/>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Evelo Biosciences</w:t>
            </w:r>
          </w:p>
        </w:tc>
        <w:tc>
          <w:tcPr>
            <w:tcW w:w="3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Prothena</w:t>
            </w:r>
          </w:p>
        </w:tc>
        <w:tc>
          <w:tcPr>
            <w:tcW w:w="446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used this compensation peer group as a reference for its compensation decisions in February 2022.</w:t>
      </w:r>
    </w:p>
    <w:p>
      <w:pPr>
        <w:spacing w:after="0" w:line="18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compensation practices of the applicable compensation peer group was the primary guide used by our compensation committee to compare the competitiveness of each compensation element and overall compensation levels (base salary, target annual cash bonus opportunities, and long-term incentive compensation) for purposes of decisions relating to compensation.</w:t>
      </w:r>
    </w:p>
    <w:p>
      <w:pPr>
        <w:spacing w:after="0" w:line="14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our compensation peer group each year (unless there have been significant changes to either our business model or market capitalization) and makes adjustments to its composition if warranted, taking into account changes in both our business and the businesses of the companies in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161" w:right="37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tables and accompanying narrative disclosure set forth information about the compensation provided to certain of our executive officers during the years ended December 31, 2021 and 2020. These executive officers, who include our principal executive officer and the two most highly-compensated executive officers (other than our principal executive officer) who were serving as executive officers at the end of the fiscal year ended December 31, 2021, were:</w:t>
      </w:r>
    </w:p>
    <w:p>
      <w:pPr>
        <w:spacing w:after="0" w:line="15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Hamza Suria, Former President, Chief Executive Officer and Director;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F. Lizzul, Chief Medical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Loumeau, Chief Operating Officer and General Counsel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refer to these individuals as our “named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Named Executive Officers for services rendered during the years ended December 31, 2021 and 2020.</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Option Award</w:t>
            </w:r>
            <w:r>
              <w:rPr>
                <w:rFonts w:ascii="Times New Roman" w:cs="Times New Roman" w:eastAsia="Times New Roman" w:hAnsi="Times New Roman"/>
                <w:sz w:val="18"/>
                <w:szCs w:val="18"/>
                <w:b w:val="1"/>
                <w:bCs w:val="1"/>
                <w:color w:val="auto"/>
                <w:vertAlign w:val="superscript"/>
              </w:rPr>
              <w:t>(1)</w:t>
            </w: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00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0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Hamza Suria</w:t>
            </w:r>
            <w:r>
              <w:rPr>
                <w:rFonts w:ascii="Times New Roman" w:cs="Times New Roman" w:eastAsia="Times New Roman" w:hAnsi="Times New Roman"/>
                <w:sz w:val="21"/>
                <w:szCs w:val="21"/>
                <w:color w:val="auto"/>
                <w:vertAlign w:val="superscript"/>
              </w:rPr>
              <w:t>(2)</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2,702,323</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241,725</w:t>
            </w:r>
          </w:p>
        </w:tc>
        <w:tc>
          <w:tcPr>
            <w:tcW w:w="2000" w:type="dxa"/>
            <w:vAlign w:val="bottom"/>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16"/>
                <w:szCs w:val="16"/>
                <w:color w:val="auto"/>
              </w:rPr>
              <w:t>8,810</w:t>
            </w:r>
            <w:r>
              <w:rPr>
                <w:rFonts w:ascii="Times New Roman" w:cs="Times New Roman" w:eastAsia="Times New Roman" w:hAnsi="Times New Roman"/>
                <w:sz w:val="21"/>
                <w:szCs w:val="21"/>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3,538,858</w:t>
            </w: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Chief Executive Officer and Director</w:t>
            </w:r>
          </w:p>
        </w:tc>
        <w:tc>
          <w:tcPr>
            <w:tcW w:w="10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567,000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311,850</w:t>
            </w:r>
          </w:p>
        </w:tc>
        <w:tc>
          <w:tcPr>
            <w:tcW w:w="2000" w:type="dxa"/>
            <w:vAlign w:val="bottom"/>
          </w:tcPr>
          <w:p>
            <w:pPr>
              <w:jc w:val="right"/>
              <w:ind w:right="121"/>
              <w:spacing w:after="0" w:line="216" w:lineRule="exact"/>
              <w:rPr>
                <w:sz w:val="20"/>
                <w:szCs w:val="20"/>
                <w:color w:val="auto"/>
              </w:rPr>
            </w:pPr>
            <w:r>
              <w:rPr>
                <w:rFonts w:ascii="Times New Roman" w:cs="Times New Roman" w:eastAsia="Times New Roman" w:hAnsi="Times New Roman"/>
                <w:sz w:val="16"/>
                <w:szCs w:val="16"/>
                <w:color w:val="auto"/>
              </w:rPr>
              <w:t>6,540</w:t>
            </w:r>
            <w:r>
              <w:rPr>
                <w:rFonts w:ascii="Times New Roman" w:cs="Times New Roman" w:eastAsia="Times New Roman" w:hAnsi="Times New Roman"/>
                <w:sz w:val="21"/>
                <w:szCs w:val="21"/>
                <w:color w:val="auto"/>
                <w:vertAlign w:val="superscript"/>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885,390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Paul Lizzul</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1,015,911</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216,357</w:t>
            </w:r>
          </w:p>
        </w:tc>
        <w:tc>
          <w:tcPr>
            <w:tcW w:w="2000" w:type="dxa"/>
            <w:vAlign w:val="bottom"/>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16"/>
                <w:szCs w:val="16"/>
                <w:color w:val="auto"/>
              </w:rPr>
              <w:t>8,810</w:t>
            </w:r>
            <w:r>
              <w:rPr>
                <w:rFonts w:ascii="Times New Roman" w:cs="Times New Roman" w:eastAsia="Times New Roman" w:hAnsi="Times New Roman"/>
                <w:sz w:val="21"/>
                <w:szCs w:val="21"/>
                <w:color w:val="auto"/>
                <w:vertAlign w:val="superscript"/>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1,699,078</w:t>
            </w: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10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1,238,769</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67,507</w:t>
            </w:r>
          </w:p>
        </w:tc>
        <w:tc>
          <w:tcPr>
            <w:tcW w:w="2000" w:type="dxa"/>
            <w:vAlign w:val="bottom"/>
          </w:tcPr>
          <w:p>
            <w:pPr>
              <w:jc w:val="right"/>
              <w:ind w:right="121"/>
              <w:spacing w:after="0" w:line="216" w:lineRule="exact"/>
              <w:rPr>
                <w:sz w:val="20"/>
                <w:szCs w:val="20"/>
                <w:color w:val="auto"/>
              </w:rPr>
            </w:pPr>
            <w:r>
              <w:rPr>
                <w:rFonts w:ascii="Times New Roman" w:cs="Times New Roman" w:eastAsia="Times New Roman" w:hAnsi="Times New Roman"/>
                <w:sz w:val="16"/>
                <w:szCs w:val="16"/>
                <w:color w:val="auto"/>
              </w:rPr>
              <w:t>104,238</w:t>
            </w:r>
            <w:r>
              <w:rPr>
                <w:rFonts w:ascii="Times New Roman" w:cs="Times New Roman" w:eastAsia="Times New Roman" w:hAnsi="Times New Roman"/>
                <w:sz w:val="21"/>
                <w:szCs w:val="21"/>
                <w:color w:val="auto"/>
                <w:vertAlign w:val="superscript"/>
              </w:rPr>
              <w:t>(6)</w:t>
            </w:r>
          </w:p>
        </w:tc>
        <w:tc>
          <w:tcPr>
            <w:tcW w:w="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1,578,719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Loumeau</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1,015,911</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168,553</w:t>
            </w:r>
          </w:p>
        </w:tc>
        <w:tc>
          <w:tcPr>
            <w:tcW w:w="2000" w:type="dxa"/>
            <w:vAlign w:val="bottom"/>
            <w:shd w:val="clear" w:color="auto" w:fill="CCEEFF"/>
          </w:tcPr>
          <w:p>
            <w:pPr>
              <w:jc w:val="right"/>
              <w:ind w:right="121"/>
              <w:spacing w:after="0" w:line="216" w:lineRule="exact"/>
              <w:rPr>
                <w:sz w:val="20"/>
                <w:szCs w:val="20"/>
                <w:color w:val="auto"/>
              </w:rPr>
            </w:pPr>
            <w:r>
              <w:rPr>
                <w:rFonts w:ascii="Times New Roman" w:cs="Times New Roman" w:eastAsia="Times New Roman" w:hAnsi="Times New Roman"/>
                <w:sz w:val="16"/>
                <w:szCs w:val="16"/>
                <w:color w:val="auto"/>
              </w:rPr>
              <w:t>10,322</w:t>
            </w:r>
            <w:r>
              <w:rPr>
                <w:rFonts w:ascii="Times New Roman" w:cs="Times New Roman" w:eastAsia="Times New Roman" w:hAnsi="Times New Roman"/>
                <w:sz w:val="21"/>
                <w:szCs w:val="21"/>
                <w:color w:val="auto"/>
                <w:vertAlign w:val="superscript"/>
              </w:rPr>
              <w:t>(5)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1,655,786</w:t>
            </w:r>
          </w:p>
        </w:tc>
        <w:tc>
          <w:tcPr>
            <w:tcW w:w="0" w:type="dxa"/>
            <w:vAlign w:val="bottom"/>
          </w:tcPr>
          <w:p>
            <w:pPr>
              <w:spacing w:after="0"/>
              <w:rPr>
                <w:sz w:val="1"/>
                <w:szCs w:val="1"/>
                <w:color w:val="auto"/>
              </w:rPr>
            </w:pPr>
          </w:p>
        </w:tc>
      </w:tr>
      <w:tr>
        <w:trPr>
          <w:trHeight w:val="281"/>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Chief Operating Officer and General Counsel</w:t>
            </w:r>
          </w:p>
        </w:tc>
        <w:tc>
          <w:tcPr>
            <w:tcW w:w="10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149,991</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168,000</w:t>
            </w:r>
          </w:p>
        </w:tc>
        <w:tc>
          <w:tcPr>
            <w:tcW w:w="2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8,322</w:t>
            </w:r>
            <w:r>
              <w:rPr>
                <w:rFonts w:ascii="Times New Roman" w:cs="Times New Roman" w:eastAsia="Times New Roman" w:hAnsi="Times New Roman"/>
                <w:sz w:val="21"/>
                <w:szCs w:val="21"/>
                <w:color w:val="auto"/>
                <w:vertAlign w:val="superscript"/>
              </w:rPr>
              <w:t>(5)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725,338</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2" w:lineRule="exact"/>
        <w:rPr>
          <w:sz w:val="20"/>
          <w:szCs w:val="20"/>
          <w:color w:val="auto"/>
        </w:rPr>
      </w:pPr>
    </w:p>
    <w:p>
      <w:pPr>
        <w:ind w:left="340" w:right="80" w:hanging="332"/>
        <w:spacing w:after="0" w:line="263" w:lineRule="auto"/>
        <w:tabs>
          <w:tab w:leader="none" w:pos="36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represent the grant date fair value of the stock options granted to the Named Executive Officers during the years ended December 31, 2021 and 2020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2021. Note that the amounts reported in this column reflect the accounting cost for these stock options, and do not correspond to the actual economic value that may be received by our Named Executive Officers from the options.</w:t>
      </w:r>
    </w:p>
    <w:p>
      <w:pPr>
        <w:spacing w:after="0" w:line="71" w:lineRule="exact"/>
        <w:rPr>
          <w:rFonts w:ascii="Times New Roman" w:cs="Times New Roman" w:eastAsia="Times New Roman" w:hAnsi="Times New Roman"/>
          <w:sz w:val="16"/>
          <w:szCs w:val="16"/>
          <w:color w:val="auto"/>
        </w:rPr>
      </w:pPr>
    </w:p>
    <w:p>
      <w:pPr>
        <w:ind w:left="340" w:right="20" w:hanging="332"/>
        <w:spacing w:after="0" w:line="298" w:lineRule="auto"/>
        <w:tabs>
          <w:tab w:leader="none" w:pos="36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Suria resigned from his position effective March 20, 2022. In accordance with the terms of Mr. Suria’s consulting agreement, all of Mr. Suria’s outstanding equity awards will continue vesting pursuant to their terms during the term of his consultancy, which expires on March 21, 2023.</w:t>
      </w:r>
    </w:p>
    <w:p>
      <w:pPr>
        <w:spacing w:after="0" w:line="4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401(k) matching contributions and group term life insurance premiums paid by us on behalf of Mr. Suria.</w:t>
      </w:r>
    </w:p>
    <w:p>
      <w:pPr>
        <w:spacing w:after="0" w:line="1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401(k) matching contributions and group term life insurance premiums paid by us on behalf of Mr. Lizzul.</w:t>
      </w:r>
    </w:p>
    <w:p>
      <w:pPr>
        <w:spacing w:after="0" w:line="113"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401(k) matching contributions and group term life insurance premiums paid by us on behalf of Mr. Loumeau.</w:t>
      </w:r>
    </w:p>
    <w:p>
      <w:pPr>
        <w:spacing w:after="0" w:line="113" w:lineRule="exact"/>
        <w:rPr>
          <w:rFonts w:ascii="Times New Roman" w:cs="Times New Roman" w:eastAsia="Times New Roman" w:hAnsi="Times New Roman"/>
          <w:sz w:val="16"/>
          <w:szCs w:val="16"/>
          <w:color w:val="auto"/>
        </w:rPr>
      </w:pPr>
    </w:p>
    <w:p>
      <w:pPr>
        <w:ind w:left="340" w:hanging="332"/>
        <w:spacing w:after="0" w:line="298" w:lineRule="auto"/>
        <w:tabs>
          <w:tab w:leader="none" w:pos="36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sign-on bonus of $100,000 paid to Dr. Lizzul upon joining the company and 401(k) matching contributions and group term life insurance premiums paid by us on behalf of Dr. Lizzul.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1143"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 each of the Named Executive Officers, information regarding outstanding stock options held as of December 31, 2021.</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 Expiration</w:t>
            </w:r>
          </w:p>
        </w:tc>
        <w:tc>
          <w:tcPr>
            <w:tcW w:w="0" w:type="dxa"/>
            <w:vAlign w:val="bottom"/>
          </w:tcPr>
          <w:p>
            <w:pPr>
              <w:spacing w:after="0"/>
              <w:rPr>
                <w:sz w:val="1"/>
                <w:szCs w:val="1"/>
                <w:color w:val="auto"/>
              </w:rPr>
            </w:pPr>
          </w:p>
        </w:tc>
      </w:tr>
      <w:tr>
        <w:trPr>
          <w:trHeight w:val="162"/>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20" w:type="dxa"/>
            <w:vAlign w:val="bottom"/>
            <w:vMerge w:val="restart"/>
          </w:tcPr>
          <w:p>
            <w:pPr>
              <w:jc w:val="center"/>
              <w:ind w:left="610"/>
              <w:spacing w:after="0"/>
              <w:rPr>
                <w:sz w:val="20"/>
                <w:szCs w:val="20"/>
                <w:color w:val="auto"/>
              </w:rPr>
            </w:pPr>
            <w:r>
              <w:rPr>
                <w:rFonts w:ascii="Times New Roman" w:cs="Times New Roman" w:eastAsia="Times New Roman" w:hAnsi="Times New Roman"/>
                <w:sz w:val="16"/>
                <w:szCs w:val="16"/>
                <w:b w:val="1"/>
                <w:bCs w:val="1"/>
                <w:color w:val="auto"/>
                <w:w w:val="95"/>
              </w:rPr>
              <w:t>Grant Date</w:t>
            </w:r>
            <w:r>
              <w:rPr>
                <w:rFonts w:ascii="Times New Roman" w:cs="Times New Roman" w:eastAsia="Times New Roman" w:hAnsi="Times New Roman"/>
                <w:sz w:val="21"/>
                <w:szCs w:val="21"/>
                <w:b w:val="1"/>
                <w:bCs w:val="1"/>
                <w:color w:val="auto"/>
                <w:w w:val="95"/>
                <w:vertAlign w:val="superscript"/>
              </w:rPr>
              <w:t>(1)</w:t>
            </w:r>
          </w:p>
        </w:tc>
        <w:tc>
          <w:tcPr>
            <w:tcW w:w="2080" w:type="dxa"/>
            <w:vAlign w:val="bottom"/>
          </w:tcPr>
          <w:p>
            <w:pPr>
              <w:jc w:val="center"/>
              <w:ind w:left="11"/>
              <w:spacing w:after="0" w:line="162" w:lineRule="exact"/>
              <w:rPr>
                <w:sz w:val="20"/>
                <w:szCs w:val="20"/>
                <w:color w:val="auto"/>
              </w:rPr>
            </w:pPr>
            <w:r>
              <w:rPr>
                <w:rFonts w:ascii="Times New Roman" w:cs="Times New Roman" w:eastAsia="Times New Roman" w:hAnsi="Times New Roman"/>
                <w:sz w:val="16"/>
                <w:szCs w:val="16"/>
                <w:b w:val="1"/>
                <w:bCs w:val="1"/>
                <w:color w:val="auto"/>
              </w:rPr>
              <w:t>Underlying Unexercised</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 Unexercised</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4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rPr>
              <w:t>Options (#) Exercisable</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 Unexercisable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Hamza Suria</w:t>
            </w:r>
            <w:r>
              <w:rPr>
                <w:rFonts w:ascii="Times New Roman" w:cs="Times New Roman" w:eastAsia="Times New Roman" w:hAnsi="Times New Roman"/>
                <w:sz w:val="23"/>
                <w:szCs w:val="23"/>
                <w:color w:val="auto"/>
                <w:vertAlign w:val="superscript"/>
              </w:rPr>
              <w:t>(2)</w:t>
            </w: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12/17/2012</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19,425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12/16/2022</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09/16/2014</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51,840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09/16/2024</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08/14/2015</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265,928</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08/14/2025</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02/24/2017</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225,000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24.60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02/24/2027</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01/26/2018</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61,688</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106.84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01/26/2028</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02/08/2019</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66,583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27,417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68.89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02/07/2029</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12/13/2019</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140,000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140,000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12/12/2029</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02/10/2021</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119,700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02/10/2021</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46,300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Paul Lizzul </w:t>
            </w:r>
            <w:r>
              <w:rPr>
                <w:rFonts w:ascii="Times New Roman" w:cs="Times New Roman" w:eastAsia="Times New Roman" w:hAnsi="Times New Roman"/>
                <w:sz w:val="21"/>
                <w:szCs w:val="21"/>
                <w:color w:val="auto"/>
                <w:vertAlign w:val="superscript"/>
              </w:rPr>
              <w:t>(3)</w:t>
            </w: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07/30/2020</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31,875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58,125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18.50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07/29/2030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02/10/2021</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02/10/2021</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Eric Loumeau</w:t>
            </w:r>
            <w:r>
              <w:rPr>
                <w:rFonts w:ascii="Times New Roman" w:cs="Times New Roman" w:eastAsia="Times New Roman" w:hAnsi="Times New Roman"/>
                <w:sz w:val="23"/>
                <w:szCs w:val="23"/>
                <w:color w:val="auto"/>
                <w:vertAlign w:val="superscript"/>
              </w:rPr>
              <w:t>(4)</w:t>
            </w: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08/06/2018</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33,333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6,667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78.18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08/05/2028</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02/08/2019</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24,792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68.89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02/07/2029</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08/18/2019</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10,208</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49.20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08/17/2029</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12/06/2019</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36,500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12/05/2029</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07/13/2020</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1,042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6,458</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07/12/2030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2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02/10/2021</w:t>
            </w:r>
          </w:p>
        </w:tc>
        <w:tc>
          <w:tcPr>
            <w:tcW w:w="20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02/10/2021</w:t>
            </w:r>
          </w:p>
        </w:tc>
        <w:tc>
          <w:tcPr>
            <w:tcW w:w="20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29.70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02/09/2031</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5" w:lineRule="exact"/>
        <w:rPr>
          <w:sz w:val="20"/>
          <w:szCs w:val="20"/>
          <w:color w:val="auto"/>
        </w:rPr>
      </w:pPr>
    </w:p>
    <w:p>
      <w:pPr>
        <w:ind w:left="340" w:right="40" w:hanging="332"/>
        <w:spacing w:after="0" w:line="258" w:lineRule="auto"/>
        <w:tabs>
          <w:tab w:leader="none" w:pos="39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stock-option awards granted prior to our IPO in January 2017 were granted under our Amended and Restated 2006 Equity Incentive Plan, and all stock-option awards granted subsequent to our IPO were granted under our 2017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spacing w:after="0" w:line="73" w:lineRule="exact"/>
        <w:rPr>
          <w:rFonts w:ascii="Times New Roman" w:cs="Times New Roman" w:eastAsia="Times New Roman" w:hAnsi="Times New Roman"/>
          <w:sz w:val="16"/>
          <w:szCs w:val="16"/>
          <w:color w:val="auto"/>
        </w:rPr>
      </w:pPr>
    </w:p>
    <w:p>
      <w:pPr>
        <w:ind w:left="340" w:hanging="332"/>
        <w:spacing w:after="0" w:line="257" w:lineRule="auto"/>
        <w:tabs>
          <w:tab w:leader="none" w:pos="36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the shares underlying the options granted on December 17, 2012, September 16, 2014, August 14, 2015, and February 24, 2017 have fully vested; (ii) of the 63,000 shares underlying the option granted on January 26, 2018, 1/4 vested on January 26, 2019, and 1/48 vest on the twenty-sixth day of each succeeding calendar month, starting February 26, 2019; (iii) of the 94,000 shares underlying the option granted on February 8, 2019, 1/4 vested on February 8, 2020, and 1/48 vest on the eighth day of each succeeding calendar month, starting March 8, 2020; (iv) of the 280,000 shares underlying the option granted on December 13, 2019, 1/4 vested on December 13, 2020, and 1/48 vest on the thirteenth day of each succeeding calendar month, starting January 13, 2021; (v) of the 119,700 shares underlying one of the options granted on February 10, 2021, 1/4 vested on February 10, 2022, and 1/48 vest on the tenth of day of each succeeding calendar month, starting March 10, 2022; and (vi) of the 46,300 shares underlying one of the options granted on February 10, 2021, 1/2 vest upon achievement of certain performance conditions, 1/4 vest upon achievement of certain performance conditions, and 1/4 vest upon achievement of certain performance conditions , provided, however, that in accordance with the terms of Mr. Suria’s consulting agreement, all of Mr. Suria’s outstanding equity awards will continue vesting pursuant to their terms during the term of his consultancy, which will end on March 21, 2023, following which all unvested equity awards will be forfeited. Mr. Suria resigned from his position as chief executive officer effective March 20, 2022.</w:t>
      </w:r>
    </w:p>
    <w:p>
      <w:pPr>
        <w:spacing w:after="0" w:line="87" w:lineRule="exact"/>
        <w:rPr>
          <w:rFonts w:ascii="Times New Roman" w:cs="Times New Roman" w:eastAsia="Times New Roman" w:hAnsi="Times New Roman"/>
          <w:sz w:val="16"/>
          <w:szCs w:val="16"/>
          <w:color w:val="auto"/>
        </w:rPr>
      </w:pPr>
    </w:p>
    <w:p>
      <w:pPr>
        <w:ind w:left="340" w:right="20" w:hanging="332"/>
        <w:spacing w:after="0" w:line="258" w:lineRule="auto"/>
        <w:tabs>
          <w:tab w:leader="none" w:pos="36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of the 90,000 shares underlying the option granted on July 13, 2020, 1/4 vested on July 13, 2021, and 1/48 vest on the thirteenth day of each succeeding calendar month, starting August 13, 2021; (ii) of the 45,000 shares underlying one of the options granted on February 10, 2021, 1/4 vested on February 10, 2022, and 1/48 vest on the tenth day of each succeeding calendar month, starting March 10, 2022; and (iii) of the 20,000 shares underlying one of the options granted on February 10, 2021, 1/2 vest upon achievement of certain performance conditions, 1/4 vest upon achievement of certain performance conditions, and 1/4 vest upon achievement of certain performance conditions. If we experience a change in control and Mr. Lizzul is terminated without “cause” or resigns for “good reason” (each as defined in the Lizzul Employment Agreement) upon the occurrence of, or within 13 months following, such change of control, and provided that Mr. Lizzul delivers a signed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20" w:top="1143" w:right="399" w:bottom="1440" w:gutter="0" w:footer="0" w:header="0"/>
        </w:sectPr>
      </w:pPr>
    </w:p>
    <w:bookmarkStart w:id="29" w:name="page30"/>
    <w:bookmarkEnd w:id="29"/>
    <w:p>
      <w:pPr>
        <w:ind w:left="340" w:right="80"/>
        <w:spacing w:after="0" w:line="280" w:lineRule="auto"/>
        <w:rPr>
          <w:sz w:val="20"/>
          <w:szCs w:val="20"/>
          <w:color w:val="auto"/>
        </w:rPr>
      </w:pPr>
      <w:r>
        <w:rPr>
          <w:rFonts w:ascii="Times New Roman" w:cs="Times New Roman" w:eastAsia="Times New Roman" w:hAnsi="Times New Roman"/>
          <w:sz w:val="16"/>
          <w:szCs w:val="16"/>
          <w:color w:val="auto"/>
        </w:rPr>
        <w:t>and general release in favor of us and satisfies all conditions to make such release effective, then each of Mr. Lizzul’s then currently outstanding stock options will vest in full.</w:t>
      </w:r>
    </w:p>
    <w:p>
      <w:pPr>
        <w:spacing w:after="0" w:line="70" w:lineRule="exact"/>
        <w:rPr>
          <w:sz w:val="20"/>
          <w:szCs w:val="20"/>
          <w:color w:val="auto"/>
        </w:rPr>
      </w:pPr>
    </w:p>
    <w:p>
      <w:pPr>
        <w:ind w:left="340" w:hanging="332"/>
        <w:spacing w:after="0" w:line="255" w:lineRule="auto"/>
        <w:tabs>
          <w:tab w:leader="none" w:pos="36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of the 40,000 shares underlying the option granted on August 6, 2018, 1/4 vested on August 6, 2019, and 1/48 vest on the sixth day of each succeeding calendar month, starting September 6, 2019; (ii) of the 35,000 shares underlying the options granted on February 8, 2019, 1/4 vested on February 8, 2020, and 1/48 vest on the eighth day of each succeeding calendar month, starting March 8, 2020; (iii) of the 17,500 shares underlying the options granted on August 18, 2019, 1/4 vested on August 18, 2020, and 1/48 vest on the eighteenth day of each succeeding calendar month, starting September 18, 2020; (iv) of the 85,500 shares underlying the options granted on December 6, 2019, 1/4 vested on December 6, 2020, and 1/48 vest on the sixth day of each succeeding calendar month, starting January 6, 2021; (v) of the 7,500 shares underlying the options granted on July 13, 2020, 1/4 vested on July 13, 2021, and 1/48 vest on the thirteenth day of each succeeding calendar month, starting August 13, 2021; (vi) of the 45,000 shares underlying one of the options granted on February 10, 2021, 1/4 vested on February 10, 2022, and 1/48 vest on the tenth day of each succeeding calendar month, starting March 10, 2022; and (vii) of the 20,000 shares underlying one of the options granted on February 10, 2021,1/2 vest upon achievement of certain performance conditions, 1/4 vest upon achievement of certain performance conditions, and 1/4 vest upon achievement of certain performance conditions. If we experience a change in control and Mr. Loumeau is terminated without “cause” or resigns for “good reason” (each as defined in the Loumeau Employment Agreement) upon the occurrence of, or within 13 months following, such change of control, and provided that Mr. Loumeau delivers a signed settlement and general release in favor of us and satisfies all conditions to make such release effective, then each of Mr. Loumeau’s then currently outstanding stock options will vest in full.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terms and conditions of employment of each of Mr. Faga, Dr. Lizzul and Mr. Loumeau are set forth in written employment agreements. Each of these arrangements was approved by our board of directors. Prior to his resignation as our Chief Executive Officer, effective March 20, 2022, Mr. Suria was party to a written employment agreement with us, and following his resignation, he is party to a separation agreement and a consulting agreement with us. In connection with his appointment as our Interim President and Chief Executive Officer, effective March 21, 2022, we entered into a written employment agreement with Mr. Faga. We believed these employment agreements were necessary to induce these individuals to forego other employment opportunities or leave their current employer for the uncertainty of a demanding position in a new and unfamiliar organization. We believe the separation agreement and consulting agreement we entered into with Mr. Suria were necessary to induce Mr. Suria to provide transition support.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Suria’s Separation Agreement and Consulting Agreement</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Suria previously served as our President and Chief Executive Officer. Mr. Suria resigned from his position on March 20, 2022. Mr. Suria was party to an employment agreement with the Company, dated January 26, 2018, pursuant to which, among other things, Mr. Suria was entitled to certain severance benefits upon his termination by the Company without cause. In connection with Mr. Suria’s resignation, the Company entered into a separation agreement, dated March 20, 2022, with Mr. Suria regarding the terms of his separation from the Company, pursuant to which, among other things, Mr. Suria’s employment agreement with the Company was terminated, and in exchange for executing a general release of claims in favor of the Company, for a period of 12 months, Mr. Suria is entitled to receive salary continuation payments of his then-current base salary of $603,580 and reimbursement for his COBRA premiums. In addition, the Company entered into a consulting agreement with Mr. Suria, pursuant to which Mr. Suria is engaged as a consultant to provide transition support through March 21, 2023. Mr. Suria’s outstanding equity awards will continue vesting pursuant to their terms during his consultancy, and remain eligible for accelerated vesting in the event he is terminated without cause within 12 months following a change in control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Lizzul's Employment Agreement</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Pursuant to an employment agreement effective as of July 31, 2020, as amended on April 25, 2022, or the Lizzul Employment Agreement, Dr. Lizzul serves as our Chief Medical Officer. The Lizzul Employment Agreement set forth the principal terms and conditions of his employment, including his annual base salary, subject to periodic review and an annual target cash bonus opportunity of up to 40% of his base salary, which bonus is earned based on our achievement of performance goals established by our chief executive officer, the achievement of which is evaluated by our chief executive officer and board of directors. Dr. Lizzul’s employment is at will and may be terminated at any time, with or without cause. However, pursuant to the terms of the Lizzul Employment Agreement, Dr. Lizzul will be entitled to severance benefits upon a qualifying termination of employment as described in “-Potential Payments upon Termination or Change in Control”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Mr. Loumeau’s Employment Agreement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an employment agreement effective as of July 15, 2020, as amended on April 25, 2022, or the Loumeau Employment Agreement, Mr. Loumeau serves as our Chief Operating Officer and General Counsel. The Loumeau Employment Agreement set forth the principal terms and conditions of his employment, including his annual base salary, subject to periodic review and an annual target cash bonus opportunity of up to 45% of his base salary, which bonus is earned based on our achievement of performance goals established by our chief executive officer, the achievement of which is evaluated by our chief executive officer and board of directors. Mr. Loumeau’s employment is at will and may be terminated at any time, with or without cause. However, pursuant to the terms of the Loumeau Employment Agreement, Mr. Loumeau will be entitled to severance benefits upon a qualifying termination of employment as described in “-Potential Payments upon Termination or Change in Control”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Faga’s Employment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Faga was appointed our Interim President &amp; Chief Executive Officer, effective March 21, 2022. The Company has entered into an employment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March 21, 2022, or the Faga Employment Agreement, with Mr. Faga in connection with his appointment, which sets forth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of his employment as the Company’s Interim President and Chief Executive Officer, including his initial annual base salary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$603,580 and an annual target cash bonus opportunity of up to 55% of his base salary, which bonus may be earned based upon the achievement of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goals (and which will be prorated for his partial year of service). Mr. Faga also received an equity grant consisting of 887,043 restricted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with associated dividend equivalent rights payable as the RSU award vests. The RSU award will vest on the 24-month anniversary of his March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start date. The Faga Employment Agreement will continue for a two-year term with an automatic renewal for one year unless there is 3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by either party or unless it is terminated pursuant to its terms, however Mr. Faga’s employment is at-will and may be terminated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or without cause. However, pursuant to the terms of the Faga Employment Agreement, Mr. Faga will be entitled to severance benefits upon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qualifying termination of employment as described in “-Potential Payments upon Termination or Change in Control”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Faga Employment Agreement, the Lizzul Employment Agreement and the Loumeau Employment Agreement, in the event that Mr. Faga, Dr. Lizzul or Mr. Loumeau is terminated without “cause” or resigns for “good reason” (each as defined in the applicable employment agreement), provided that each delivers a signed settlement and general release in favor of us and satisfies all conditions to make such release effective, (i) in the case of Mr. Faga, he will receive continued severance payments for twelve months, and in the case of Dr. Lizzul and Mr. Loumeau, nine months, and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Faga, and nine months, in the case of Dr. Lizzul and Mr. Loumeau, or such earlier date on which coverage with a new employer is obtained.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Faga Employment Agreement and certain of his outstanding stock option agreements, if we experience a change of control and Mr. Faga is terminated without “cause”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(i) Mr. Faga will receive the continued severance payments and COBRA premiums described above for eighteen months and</w:t>
      </w:r>
    </w:p>
    <w:p>
      <w:pPr>
        <w:spacing w:after="0" w:line="3" w:lineRule="exact"/>
        <w:rPr>
          <w:sz w:val="20"/>
          <w:szCs w:val="20"/>
          <w:color w:val="auto"/>
        </w:rPr>
      </w:pPr>
    </w:p>
    <w:p>
      <w:pPr>
        <w:ind w:right="40" w:firstLine="8"/>
        <w:spacing w:after="0" w:line="253"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payment equal to his target bonus payment for the year, (iii) a prorated bonus based on actual achievement by the Company of goals for the year, and (iv) all of Mr. Faga’s outstanding equity awards, including his RSU award, will vest in full. Pursuant to the Faga Employment Agreement, if within the 24-month anniversary of his March 21, 2022 appointment, any payment to Mr. Faga would constitute a “parachute payment” within the meaning of Section 280G of the Internal Revenue Code of 1986 and be subject to an excise tax by Section 4999, then such payment shall be grossed up so that Mr. Faga receives the same amount after imposition of the excise tax as he would have received had no excise tax been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57" w:right="33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t>Pursuant to each of the Lizzul Employment Agreement and the Loumeau Employment Agreement, if we experience a change in control and Dr. Lizzul or Mr. Loumeau, as applicable, is terminated without “cause” or resigns for “good reason” (each as defined in each of the Lizzul Employment Agreement and the Loumeau Employment Agreement) upon the occurrence of, or within 13 months following, such change of control, and provided that Dr. Lizzul or Mr. Loumeau, as applicable, delivers a signed settlement and general release in favor of us and satisfies all conditions to make such release effective, (i) Dr. Lizzul or Mr. Loumeau, as applicable, will receive the severance payments and COBRA premiums described above for twelve months, (ii) Dr. Lizzul's or Mr. Loumeau's, as applicable, currently outstanding stock options will vest in full, and (iii) Dr. Lizzul or Mr. Loumeau, as applicable, will receive the full payment of his target bonus and a prorated payment of his actual bonus for the applicable year of termination.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Lizzul Employment Agreement and the Loumeau Employment Agreement contains a “better after-tax” provision, which provides that if any of the payments to Dr. Lizzul or Mr. Loumeau,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Benefits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80"/>
          </w:cols>
          <w:pgMar w:left="320" w:top="1161" w:right="39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2021 with respect to compensation plans under which shares of our common stock may be issued.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2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3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future issuance under</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to be issued upon</w:t>
            </w:r>
          </w:p>
        </w:tc>
        <w:tc>
          <w:tcPr>
            <w:tcW w:w="2500" w:type="dxa"/>
            <w:vAlign w:val="bottom"/>
            <w:gridSpan w:val="2"/>
            <w:vMerge w:val="continue"/>
          </w:tcPr>
          <w:p>
            <w:pPr>
              <w:spacing w:after="0"/>
              <w:rPr>
                <w:sz w:val="15"/>
                <w:szCs w:val="15"/>
                <w:color w:val="auto"/>
              </w:rPr>
            </w:pPr>
          </w:p>
        </w:tc>
        <w:tc>
          <w:tcPr>
            <w:tcW w:w="3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25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3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250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3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175"/>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400" w:type="dxa"/>
            <w:vAlign w:val="bottom"/>
          </w:tcPr>
          <w:p>
            <w:pPr>
              <w:spacing w:after="0"/>
              <w:rPr>
                <w:sz w:val="15"/>
                <w:szCs w:val="15"/>
                <w:color w:val="auto"/>
              </w:rPr>
            </w:pPr>
          </w:p>
        </w:tc>
        <w:tc>
          <w:tcPr>
            <w:tcW w:w="26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5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options, warrants</w:t>
            </w:r>
          </w:p>
        </w:tc>
        <w:tc>
          <w:tcPr>
            <w:tcW w:w="3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25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320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column(a)) (#)</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20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(c)</w:t>
            </w: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w:t>
            </w:r>
          </w:p>
        </w:tc>
        <w:tc>
          <w:tcPr>
            <w:tcW w:w="400" w:type="dxa"/>
            <w:vAlign w:val="bottom"/>
            <w:vMerge w:val="restart"/>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w w:val="99"/>
              </w:rPr>
              <w:t>(1)</w:t>
            </w:r>
          </w:p>
        </w:tc>
        <w:tc>
          <w:tcPr>
            <w:tcW w:w="2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approved by security holders</w:t>
            </w:r>
          </w:p>
        </w:tc>
        <w:tc>
          <w:tcPr>
            <w:tcW w:w="400" w:type="dxa"/>
            <w:vAlign w:val="bottom"/>
            <w:vMerge w:val="continue"/>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shd w:val="clear" w:color="auto" w:fill="CCEEFF"/>
          </w:tcPr>
          <w:p>
            <w:pPr>
              <w:spacing w:after="0"/>
              <w:rPr>
                <w:sz w:val="15"/>
                <w:szCs w:val="15"/>
                <w:color w:val="auto"/>
              </w:rPr>
            </w:pPr>
          </w:p>
        </w:tc>
        <w:tc>
          <w:tcPr>
            <w:tcW w:w="3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4,520,291</w:t>
            </w: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29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3,460,295</w:t>
            </w:r>
          </w:p>
        </w:tc>
        <w:tc>
          <w:tcPr>
            <w:tcW w:w="100" w:type="dxa"/>
            <w:vAlign w:val="bottom"/>
            <w:shd w:val="clear" w:color="auto" w:fill="CCEEFF"/>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approved by security holders</w:t>
            </w:r>
          </w:p>
        </w:tc>
        <w:tc>
          <w:tcPr>
            <w:tcW w:w="400" w:type="dxa"/>
            <w:vAlign w:val="bottom"/>
          </w:tcPr>
          <w:p>
            <w:pPr>
              <w:spacing w:after="0"/>
              <w:rPr>
                <w:sz w:val="20"/>
                <w:szCs w:val="20"/>
                <w:color w:val="auto"/>
              </w:rPr>
            </w:pPr>
          </w:p>
        </w:tc>
        <w:tc>
          <w:tcPr>
            <w:tcW w:w="2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3,460,295</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4,520,291</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340" w:right="160" w:hanging="332"/>
        <w:spacing w:after="0" w:line="280" w:lineRule="auto"/>
        <w:tabs>
          <w:tab w:leader="none" w:pos="36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2006 Equity Incentive Plan, 2017 Equity Incentive Plan and our 2017 Employee Stock Purchase Plan, and excludes purchase rights accruing under our 2017 Employee Stock Purchase Plan.</w:t>
      </w:r>
    </w:p>
    <w:p>
      <w:pPr>
        <w:spacing w:after="0" w:line="69" w:lineRule="exact"/>
        <w:rPr>
          <w:rFonts w:ascii="Times New Roman" w:cs="Times New Roman" w:eastAsia="Times New Roman" w:hAnsi="Times New Roman"/>
          <w:sz w:val="16"/>
          <w:szCs w:val="16"/>
          <w:color w:val="auto"/>
        </w:rPr>
      </w:pPr>
    </w:p>
    <w:p>
      <w:pPr>
        <w:ind w:left="340" w:hanging="332"/>
        <w:spacing w:after="0" w:line="257" w:lineRule="auto"/>
        <w:tabs>
          <w:tab w:leader="none" w:pos="36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ceased issuing awards under our Amended and Restated 2006 Equity Incentive Plan as of the effective date of our 2017 Equity Incentive Plan. Any shares of common stock that are subject to outstanding awards under the 2006 Equity Incentive Plan that are issuable upon the exercise of stock options that expire or become unexercisable for any reason without having been exercised in full will generally be available for future grant and issuance under our 2017 Equity Incentive Plan. In addition, the number of shares reserved for issuance under our 2017 Equity Incentive Plan increased automatically by 4% on January 1, 2022 and will increase automatically on the first day of January of each of 2023 through 2028 by the number of shares equal to 4% of the total outstanding shares of our common stock as of the immediately preceding December 31 or a lower number approved by our board of directors or compensation committee. There are 1,528,496 shares of common stock available for issuance under the 2017 Employee Stock Purchase Plan and will increase automatically on the first day of January of each of 2023 through 2028 by the number of shares equal to 1% of the total outstanding shares of our common stock as of the immediately preceding December 31 or a lower number approved by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60"/>
          </w:cols>
          <w:pgMar w:left="320" w:top="1157" w:right="41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January 1, 2020 to the present, there have been no transactions, and there are currently no proposed transactions, in which the amount involved exceeds $120,000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$120,000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400" w:right="359" w:bottom="1440" w:gutter="0" w:footer="0" w:header="0"/>
        </w:sectPr>
      </w:pPr>
    </w:p>
    <w:bookmarkStart w:id="34" w:name="page35"/>
    <w:bookmarkEnd w:id="34"/>
    <w:p>
      <w:pPr>
        <w:ind w:left="43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Proposals to be presented at Next Annual Meeting</w:t>
      </w:r>
    </w:p>
    <w:p>
      <w:pPr>
        <w:spacing w:after="0" w:line="22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an Annual Meeting. </w:t>
      </w:r>
      <w:r>
        <w:rPr>
          <w:rFonts w:ascii="Times New Roman" w:cs="Times New Roman" w:eastAsia="Times New Roman" w:hAnsi="Times New Roman"/>
          <w:sz w:val="18"/>
          <w:szCs w:val="18"/>
          <w:color w:val="auto"/>
        </w:rPr>
        <w:t>Our bylaws provide that for stockholder nominations to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other proposals to be considered at an annual meeting, the stockholder must give timely notice thereof in writing to the Corporate Secretary at AnaptysBio, Inc., 10770 Wateridge Circle, Suite 210, San Diego, CA 92121.</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be timely for our company’s 2023 annual meeting of stockholders, a stockholder’s notice must be delivered to or mailed and received by our Corporate Secretary at our principal executive offices not earlier than the close of business on March 10, 2023 and not later than the close of business on April 9, 2023.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w:t>
      </w:r>
      <w:r>
        <w:rPr>
          <w:rFonts w:ascii="Times New Roman" w:cs="Times New Roman" w:eastAsia="Times New Roman" w:hAnsi="Times New Roman"/>
          <w:sz w:val="18"/>
          <w:szCs w:val="18"/>
          <w:color w:val="auto"/>
        </w:rPr>
        <w:t>Stockholder proposals submitted pursuant to Rule 14a-8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 and intended to be presented at our 2023 annual meeting of stockholders must be received by us not later than December 31, 2022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will mail without charge, upon written request, a copy of our annual report on Form 10-K for the year ended December 31, 2021, including the financial statements and list of exhibits, and any exhibit specifically requested. Requests should be sent to:</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ind w:left="4820"/>
        <w:spacing w:after="0" w:line="226" w:lineRule="auto"/>
        <w:rPr>
          <w:sz w:val="20"/>
          <w:szCs w:val="20"/>
          <w:color w:val="auto"/>
        </w:rPr>
      </w:pPr>
      <w:r>
        <w:rPr>
          <w:rFonts w:ascii="Times New Roman" w:cs="Times New Roman" w:eastAsia="Times New Roman" w:hAnsi="Times New Roman"/>
          <w:sz w:val="18"/>
          <w:szCs w:val="18"/>
          <w:b w:val="1"/>
          <w:bCs w:val="1"/>
          <w:color w:val="auto"/>
        </w:rPr>
        <w:t>San Diego, CA 92121</w:t>
      </w:r>
    </w:p>
    <w:p>
      <w:pPr>
        <w:ind w:left="4600"/>
        <w:spacing w:after="0"/>
        <w:rPr>
          <w:sz w:val="20"/>
          <w:szCs w:val="20"/>
          <w:color w:val="auto"/>
        </w:rPr>
      </w:pPr>
      <w:r>
        <w:rPr>
          <w:rFonts w:ascii="Times New Roman" w:cs="Times New Roman" w:eastAsia="Times New Roman" w:hAnsi="Times New Roman"/>
          <w:sz w:val="18"/>
          <w:szCs w:val="18"/>
          <w:b w:val="1"/>
          <w:bCs w:val="1"/>
          <w:color w:val="auto"/>
        </w:rPr>
        <w:t>Attn: Corporate Secretary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report on Form 10-K is also available at http://ir.anaptysbio.com.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 Stockholders Sharing the Same Address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written or oral request, we will undertake to promptly deliver a separate copy of the Notice of Internet Availability and, if applicable,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Corporate Secretary at 10770 Wateridge Circle, Suite 210, San Diego, CA 92121, or call 1 (858) 362-6348.</w:t>
      </w:r>
    </w:p>
    <w:p>
      <w:pPr>
        <w:spacing w:after="0" w:line="13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Any stockholders who share the same address and currently receive multiple copies of our Notice of Internet Availability or annual report on Form 10-K and other proxy materials who wish to receive only one copy in the future can contact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157" w:right="37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bank, broker or other holder of record to request information about “householding” or our Corporate Secretary at the address or telephone number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320" w:top="1161" w:right="619" w:bottom="1440" w:gutter="0" w:footer="0" w:header="0"/>
        </w:sectPr>
      </w:pPr>
    </w:p>
    <w:bookmarkStart w:id="36" w:name="page37"/>
    <w:bookmarkEnd w:id="3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does not presently intend to bring any other business before the meeting and, so far as is known to the board of directors,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320" w:top="1157" w:right="419" w:bottom="1440"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1811655</wp:posOffset>
            </wp:positionV>
            <wp:extent cx="5246370" cy="6789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749300</wp:posOffset>
            </wp:positionV>
            <wp:extent cx="5246370" cy="6789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4"/>
    </w:lvl>
  </w:abstractNum>
  <w:abstractNum w:abstractNumId="26">
    <w:nsid w:val="71F32454"/>
    <w:multiLevelType w:val="hybridMultilevel"/>
    <w:lvl w:ilvl="0">
      <w:lvlJc w:val="left"/>
      <w:lvlText w:val="(%1)"/>
      <w:numFmt w:val="lowerRoman"/>
      <w:start w:val="2"/>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2022-04-29T21:42:43Z</dcterms:created>
  <dcterms:modified xsi:type="dcterms:W3CDTF">2022-04-29T21:42:43Z</dcterms:modified>
</cp:coreProperties>
</file>