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813,571.00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813,571.00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813,571.00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813,571.00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813,571.00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813,571.00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813,571.00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813,571.00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813,571.00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599"/>
        <w:spacing w:after="0"/>
        <w:rPr>
          <w:sz w:val="20"/>
          <w:szCs w:val="20"/>
          <w:color w:val="auto"/>
        </w:rPr>
      </w:pPr>
      <w:r>
        <w:rPr>
          <w:rFonts w:ascii="Times New Roman" w:cs="Times New Roman" w:eastAsia="Times New Roman" w:hAnsi="Times New Roman"/>
          <w:sz w:val="22"/>
          <w:szCs w:val="22"/>
          <w:color w:val="auto"/>
        </w:rPr>
        <w:t>10770 Wateridge Circle, Suite 210, San Diego, California 92121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340"/>
        <w:spacing w:after="0" w:line="286"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56" w:lineRule="exact"/>
        <w:rPr>
          <w:sz w:val="20"/>
          <w:szCs w:val="20"/>
          <w:color w:val="auto"/>
        </w:rPr>
      </w:pPr>
    </w:p>
    <w:p>
      <w:pPr>
        <w:ind w:left="920" w:right="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838" w:orient="portrait"/>
          <w:cols w:equalWidth="0" w:num="1">
            <w:col w:w="11000"/>
          </w:cols>
          <w:pgMar w:left="360" w:top="112" w:right="53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032724106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080"/>
          </w:cols>
          <w:pgMar w:left="360" w:top="112" w:right="539" w:bottom="0" w:gutter="0" w:footer="0" w:header="0"/>
          <w:type w:val="continuous"/>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100" w:firstLine="6"/>
        <w:spacing w:after="0" w:line="509" w:lineRule="auto"/>
        <w:tabs>
          <w:tab w:leader="none" w:pos="123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18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55"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w:t>
      </w:r>
    </w:p>
    <w:p>
      <w:pPr>
        <w:sectPr>
          <w:pgSz w:w="11900" w:h="16838" w:orient="portrait"/>
          <w:cols w:equalWidth="0" w:num="1">
            <w:col w:w="11000"/>
          </w:cols>
          <w:pgMar w:left="360" w:top="112" w:right="5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January 15, 2026, by and among Millennium Management LLC, Millennium Group Management LLC and Israel A. Englander.</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AnaptysBio,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2026-01-16T15:27:07Z</dcterms:created>
  <dcterms:modified xsi:type="dcterms:W3CDTF">2026-01-16T15:27:07Z</dcterms:modified>
</cp:coreProperties>
</file>