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28, 2016.</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333-206849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6</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w:t>
      </w:r>
      <w:r>
        <w:rPr>
          <w:rFonts w:ascii="Arial" w:cs="Arial" w:eastAsia="Arial" w:hAnsi="Arial"/>
          <w:sz w:val="36"/>
          <w:szCs w:val="36"/>
          <w:b w:val="1"/>
          <w:bCs w:val="1"/>
          <w:color w:val="auto"/>
        </w:rPr>
        <w:t>NAPTYS</w:t>
      </w:r>
      <w:r>
        <w:rPr>
          <w:rFonts w:ascii="Arial" w:cs="Arial" w:eastAsia="Arial" w:hAnsi="Arial"/>
          <w:sz w:val="43"/>
          <w:szCs w:val="43"/>
          <w:b w:val="1"/>
          <w:bCs w:val="1"/>
          <w:color w:val="auto"/>
        </w:rPr>
        <w:t>B</w:t>
      </w:r>
      <w:r>
        <w:rPr>
          <w:rFonts w:ascii="Arial" w:cs="Arial" w:eastAsia="Arial" w:hAnsi="Arial"/>
          <w:sz w:val="36"/>
          <w:szCs w:val="36"/>
          <w:b w:val="1"/>
          <w:bCs w:val="1"/>
          <w:color w:val="auto"/>
        </w:rPr>
        <w:t>IO</w:t>
      </w:r>
      <w:r>
        <w:rPr>
          <w:rFonts w:ascii="Arial" w:cs="Arial" w:eastAsia="Arial" w:hAnsi="Arial"/>
          <w:sz w:val="43"/>
          <w:szCs w:val="43"/>
          <w:b w:val="1"/>
          <w:bCs w:val="1"/>
          <w:color w:val="auto"/>
        </w:rPr>
        <w:t>,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42"/>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20-3828755</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Hamza Suria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10421 Pacific Center Court,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tbl>
      <w:tblPr>
        <w:tblLayout w:type="fixed"/>
        <w:tblInd w:w="188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496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Copies to:</w:t>
            </w:r>
          </w:p>
        </w:tc>
      </w:tr>
      <w:tr>
        <w:trPr>
          <w:trHeight w:val="441"/>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88"/>
              </w:rPr>
              <w:t>Effie Toshav, Esq.</w:t>
            </w:r>
          </w:p>
        </w:tc>
        <w:tc>
          <w:tcPr>
            <w:tcW w:w="4960" w:type="dxa"/>
            <w:vAlign w:val="bottom"/>
          </w:tcPr>
          <w:p>
            <w:pPr>
              <w:jc w:val="center"/>
              <w:ind w:left="3030"/>
              <w:spacing w:after="0"/>
              <w:rPr>
                <w:sz w:val="20"/>
                <w:szCs w:val="20"/>
                <w:color w:val="auto"/>
              </w:rPr>
            </w:pPr>
            <w:r>
              <w:rPr>
                <w:rFonts w:ascii="Arial" w:cs="Arial" w:eastAsia="Arial" w:hAnsi="Arial"/>
                <w:sz w:val="18"/>
                <w:szCs w:val="18"/>
                <w:b w:val="1"/>
                <w:bCs w:val="1"/>
                <w:color w:val="auto"/>
                <w:w w:val="91"/>
              </w:rPr>
              <w:t>Charles S. Kim, Esq.</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Matthew S. Rossiter, Esq.</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2"/>
              </w:rPr>
              <w:t>Robert W. Phillips, Esq.</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Robert A. Freedman, Esq.</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0"/>
              </w:rPr>
              <w:t>Sean M. Clayton, Esq.</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4"/>
              </w:rPr>
              <w:t>Fenwick &amp; West LLP</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4"/>
              </w:rPr>
              <w:t>Cooley LLP</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555 California Street</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4401 Eastgate Mall</w:t>
            </w:r>
          </w:p>
        </w:tc>
      </w:tr>
      <w:tr>
        <w:trPr>
          <w:trHeight w:val="216"/>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San Francisco, CA 94104</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0"/>
              </w:rPr>
              <w:t>San Diego, CA 92121</w:t>
            </w:r>
          </w:p>
        </w:tc>
      </w:tr>
      <w:tr>
        <w:trPr>
          <w:trHeight w:val="234"/>
        </w:trPr>
        <w:tc>
          <w:tcPr>
            <w:tcW w:w="27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(415) 875-2300</w:t>
            </w:r>
          </w:p>
        </w:tc>
        <w:tc>
          <w:tcPr>
            <w:tcW w:w="4960" w:type="dxa"/>
            <w:vAlign w:val="bottom"/>
          </w:tcPr>
          <w:p>
            <w:pPr>
              <w:jc w:val="center"/>
              <w:ind w:left="3010"/>
              <w:spacing w:after="0"/>
              <w:rPr>
                <w:sz w:val="20"/>
                <w:szCs w:val="20"/>
                <w:color w:val="auto"/>
              </w:rPr>
            </w:pPr>
            <w:r>
              <w:rPr>
                <w:rFonts w:ascii="Arial" w:cs="Arial" w:eastAsia="Arial" w:hAnsi="Arial"/>
                <w:sz w:val="18"/>
                <w:szCs w:val="18"/>
                <w:b w:val="1"/>
                <w:bCs w:val="1"/>
                <w:color w:val="auto"/>
                <w:w w:val="92"/>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ind w:right="80"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30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4"/>
          <w:szCs w:val="24"/>
          <w:color w:val="auto"/>
        </w:rPr>
      </w:pPr>
    </w:p>
    <w:p>
      <w:pPr>
        <w:ind w:right="28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420"/>
          </w:cols>
          <w:pgMar w:left="240" w:top="230" w:right="239" w:bottom="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252730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December 28, 2016</w:t>
      </w:r>
    </w:p>
    <w:p>
      <w:pPr>
        <w:spacing w:after="0" w:line="210" w:lineRule="exact"/>
        <w:rPr>
          <w:sz w:val="20"/>
          <w:szCs w:val="20"/>
          <w:color w:val="auto"/>
        </w:rPr>
      </w:pPr>
    </w:p>
    <w:p>
      <w:pPr>
        <w:ind w:left="580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173355</wp:posOffset>
            </wp:positionV>
            <wp:extent cx="2229485" cy="643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294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This is the initial public offering of shares of AnaptysBio, Inc. common stock. We are offering the initial public offering price of our common stock will be between $ and $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We anticipate that</w:t>
      </w:r>
    </w:p>
    <w:p>
      <w:pPr>
        <w:spacing w:after="0" w:line="464" w:lineRule="exact"/>
        <w:rPr>
          <w:sz w:val="20"/>
          <w:szCs w:val="20"/>
          <w:color w:val="auto"/>
        </w:rPr>
      </w:pPr>
    </w:p>
    <w:p>
      <w:pPr>
        <w:sectPr>
          <w:pgSz w:w="11900" w:h="16838" w:orient="portrait"/>
          <w:cols w:equalWidth="0" w:num="2">
            <w:col w:w="7380" w:space="460"/>
            <w:col w:w="3580"/>
          </w:cols>
          <w:pgMar w:left="240" w:top="459" w:right="239" w:bottom="1440" w:gutter="0" w:footer="0" w:header="0"/>
          <w:type w:val="continuous"/>
        </w:sectPr>
      </w:pPr>
    </w:p>
    <w:p>
      <w:pPr>
        <w:ind w:right="240" w:firstLine="456"/>
        <w:spacing w:after="0" w:line="277" w:lineRule="auto"/>
        <w:rPr>
          <w:sz w:val="20"/>
          <w:szCs w:val="20"/>
          <w:color w:val="auto"/>
        </w:rPr>
      </w:pPr>
      <w:r>
        <w:rPr>
          <w:rFonts w:ascii="Arial" w:cs="Arial" w:eastAsia="Arial" w:hAnsi="Arial"/>
          <w:sz w:val="18"/>
          <w:szCs w:val="18"/>
          <w:color w:val="auto"/>
        </w:rPr>
        <w:t>Prior to this offering, there has been no public market for our common stock. Our common stock has been approved for listing on the Nasdaq Global Select Market under the symbol “ANAB.”</w:t>
      </w:r>
    </w:p>
    <w:p>
      <w:pPr>
        <w:spacing w:after="0" w:line="170" w:lineRule="exact"/>
        <w:rPr>
          <w:sz w:val="20"/>
          <w:szCs w:val="20"/>
          <w:color w:val="auto"/>
        </w:rPr>
      </w:pPr>
    </w:p>
    <w:p>
      <w:pPr>
        <w:ind w:left="460"/>
        <w:spacing w:after="0"/>
        <w:tabs>
          <w:tab w:leader="none" w:pos="7100" w:val="left"/>
        </w:tabs>
        <w:rPr>
          <w:sz w:val="20"/>
          <w:szCs w:val="20"/>
          <w:color w:val="auto"/>
        </w:rPr>
      </w:pPr>
      <w:r>
        <w:rPr>
          <w:rFonts w:ascii="Arial" w:cs="Arial" w:eastAsia="Arial" w:hAnsi="Arial"/>
          <w:sz w:val="18"/>
          <w:szCs w:val="18"/>
          <w:color w:val="auto"/>
        </w:rPr>
        <w:t>The underwriters have the option for a 30-day period to purchase up to an additional</w:t>
      </w:r>
      <w:r>
        <w:rPr>
          <w:sz w:val="20"/>
          <w:szCs w:val="20"/>
          <w:color w:val="auto"/>
        </w:rPr>
        <w:tab/>
      </w:r>
      <w:r>
        <w:rPr>
          <w:rFonts w:ascii="Arial" w:cs="Arial" w:eastAsia="Arial" w:hAnsi="Arial"/>
          <w:sz w:val="16"/>
          <w:szCs w:val="16"/>
          <w:color w:val="auto"/>
        </w:rPr>
        <w:t>shares from us to cover over-allotments of shares.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880" w:firstLine="456"/>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12 of this prospectus.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Price to</w:t>
            </w:r>
          </w:p>
        </w:tc>
        <w:tc>
          <w:tcPr>
            <w:tcW w:w="7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4"/>
                <w:szCs w:val="14"/>
                <w:b w:val="1"/>
                <w:bCs w:val="1"/>
                <w:color w:val="auto"/>
              </w:rPr>
              <w:t>Underwriting</w:t>
            </w:r>
          </w:p>
        </w:tc>
        <w:tc>
          <w:tcPr>
            <w:tcW w:w="8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7"/>
              </w:rPr>
              <w:t>Discounts and</w:t>
            </w:r>
          </w:p>
        </w:tc>
        <w:tc>
          <w:tcPr>
            <w:tcW w:w="8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AnaptysBio,</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b w:val="1"/>
                <w:bCs w:val="1"/>
                <w:color w:val="auto"/>
                <w:w w:val="99"/>
              </w:rPr>
              <w:t>Public</w:t>
            </w:r>
          </w:p>
        </w:tc>
        <w:tc>
          <w:tcPr>
            <w:tcW w:w="78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b w:val="1"/>
                <w:bCs w:val="1"/>
                <w:color w:val="auto"/>
                <w:w w:val="88"/>
              </w:rPr>
              <w:t>Commissions (1)</w:t>
            </w:r>
          </w:p>
        </w:tc>
        <w:tc>
          <w:tcPr>
            <w:tcW w:w="8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Inc.</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298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58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color w:val="auto"/>
                <w:w w:val="93"/>
              </w:rPr>
              <w:t>The underwriters expect to deliver the shares of common stock to the purchasers on or about</w:t>
            </w:r>
          </w:p>
        </w:tc>
        <w:tc>
          <w:tcPr>
            <w:tcW w:w="780" w:type="dxa"/>
            <w:vAlign w:val="bottom"/>
          </w:tcPr>
          <w:p>
            <w:pPr>
              <w:jc w:val="right"/>
              <w:spacing w:after="0"/>
              <w:rPr>
                <w:sz w:val="20"/>
                <w:szCs w:val="20"/>
                <w:color w:val="auto"/>
              </w:rPr>
            </w:pPr>
            <w:r>
              <w:rPr>
                <w:rFonts w:ascii="Arial" w:cs="Arial" w:eastAsia="Arial" w:hAnsi="Arial"/>
                <w:sz w:val="18"/>
                <w:szCs w:val="18"/>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Stifel</w:t>
      </w:r>
    </w:p>
    <w:p>
      <w:pPr>
        <w:spacing w:after="0" w:line="156" w:lineRule="exact"/>
        <w:rPr>
          <w:sz w:val="20"/>
          <w:szCs w:val="20"/>
          <w:color w:val="auto"/>
        </w:rPr>
      </w:pPr>
    </w:p>
    <w:p>
      <w:pPr>
        <w:sectPr>
          <w:pgSz w:w="11900" w:h="16838" w:orient="portrait"/>
          <w:cols w:equalWidth="0" w:num="2">
            <w:col w:w="8380" w:space="720"/>
            <w:col w:w="2320"/>
          </w:cols>
          <w:pgMar w:left="240" w:top="459" w:right="2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ectPr>
          <w:pgSz w:w="11900" w:h="16838" w:orient="portrait"/>
          <w:cols w:equalWidth="0" w:num="2">
            <w:col w:w="8380" w:space="720"/>
            <w:col w:w="2320"/>
          </w:cols>
          <w:pgMar w:left="240" w:top="459" w:right="239" w:bottom="1440" w:gutter="0" w:footer="0" w:header="0"/>
          <w:type w:val="continuous"/>
        </w:sectPr>
      </w:pPr>
    </w:p>
    <w:p>
      <w:pPr>
        <w:spacing w:after="0" w:line="69"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 2017.</w:t>
      </w:r>
    </w:p>
    <w:p>
      <w:pPr>
        <w:sectPr>
          <w:pgSz w:w="11900" w:h="16838" w:orient="portrait"/>
          <w:cols w:equalWidth="0" w:num="2">
            <w:col w:w="6240" w:space="540"/>
            <w:col w:w="464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780" w:type="dxa"/>
            <w:vAlign w:val="bottom"/>
            <w:gridSpan w:val="8"/>
            <w:vMerge w:val="restart"/>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w:t>
              </w:r>
              <w:r>
                <w:rPr>
                  <w:rFonts w:ascii="Arial" w:cs="Arial" w:eastAsia="Arial" w:hAnsi="Arial"/>
                  <w:sz w:val="15"/>
                  <w:szCs w:val="15"/>
                  <w:color w:val="0000EE"/>
                  <w:w w:val="93"/>
                </w:rPr>
                <w:t>ROSPECTUS</w:t>
              </w:r>
              <w:r>
                <w:rPr>
                  <w:rFonts w:ascii="Arial" w:cs="Arial" w:eastAsia="Arial" w:hAnsi="Arial"/>
                  <w:sz w:val="18"/>
                  <w:szCs w:val="18"/>
                  <w:color w:val="0000EE"/>
                  <w:w w:val="93"/>
                </w:rPr>
                <w:t xml:space="preserve"> S</w:t>
              </w:r>
              <w:r>
                <w:rPr>
                  <w:rFonts w:ascii="Arial" w:cs="Arial" w:eastAsia="Arial" w:hAnsi="Arial"/>
                  <w:sz w:val="15"/>
                  <w:szCs w:val="15"/>
                  <w:color w:val="0000EE"/>
                  <w:w w:val="93"/>
                </w:rPr>
                <w:t>UMMARY</w:t>
              </w:r>
            </w:hyperlink>
          </w:p>
        </w:tc>
        <w:tc>
          <w:tcPr>
            <w:tcW w:w="3280" w:type="dxa"/>
            <w:vAlign w:val="bottom"/>
            <w:gridSpan w:val="6"/>
            <w:vMerge w:val="restart"/>
          </w:tcPr>
          <w:p>
            <w:pPr>
              <w:spacing w:after="0"/>
              <w:rPr>
                <w:sz w:val="14"/>
                <w:szCs w:val="1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Page</w:t>
            </w:r>
          </w:p>
        </w:tc>
        <w:tc>
          <w:tcPr>
            <w:tcW w:w="5040" w:type="dxa"/>
            <w:vAlign w:val="bottom"/>
            <w:gridSpan w:val="14"/>
            <w:vMerge w:val="restart"/>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M</w:t>
              </w:r>
              <w:r>
                <w:rPr>
                  <w:rFonts w:ascii="Arial" w:cs="Arial" w:eastAsia="Arial" w:hAnsi="Arial"/>
                  <w:sz w:val="15"/>
                  <w:szCs w:val="15"/>
                  <w:color w:val="0000EE"/>
                </w:rPr>
                <w:t>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780" w:type="dxa"/>
            <w:vAlign w:val="bottom"/>
            <w:gridSpan w:val="8"/>
            <w:vMerge w:val="continue"/>
          </w:tcPr>
          <w:p>
            <w:pPr>
              <w:spacing w:after="0"/>
              <w:rPr>
                <w:sz w:val="14"/>
                <w:szCs w:val="14"/>
                <w:color w:val="auto"/>
              </w:rPr>
            </w:pPr>
          </w:p>
        </w:tc>
        <w:tc>
          <w:tcPr>
            <w:tcW w:w="3280" w:type="dxa"/>
            <w:vAlign w:val="bottom"/>
            <w:gridSpan w:val="6"/>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460" w:type="dxa"/>
            <w:vAlign w:val="bottom"/>
          </w:tcPr>
          <w:p>
            <w:pPr>
              <w:spacing w:after="0"/>
              <w:rPr>
                <w:sz w:val="14"/>
                <w:szCs w:val="14"/>
                <w:color w:val="auto"/>
              </w:rPr>
            </w:pPr>
          </w:p>
        </w:tc>
        <w:tc>
          <w:tcPr>
            <w:tcW w:w="504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115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gridSpan w:val="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w:t>
              </w:r>
              <w:r>
                <w:rPr>
                  <w:rFonts w:ascii="Arial" w:cs="Arial" w:eastAsia="Arial" w:hAnsi="Arial"/>
                  <w:sz w:val="15"/>
                  <w:szCs w:val="15"/>
                  <w:color w:val="0000EE"/>
                </w:rPr>
                <w:t>HE</w:t>
              </w:r>
              <w:r>
                <w:rPr>
                  <w:rFonts w:ascii="Arial" w:cs="Arial" w:eastAsia="Arial" w:hAnsi="Arial"/>
                  <w:sz w:val="18"/>
                  <w:szCs w:val="18"/>
                  <w:color w:val="0000EE"/>
                </w:rPr>
                <w:t xml:space="preserve"> O</w:t>
              </w:r>
              <w:r>
                <w:rPr>
                  <w:rFonts w:ascii="Arial" w:cs="Arial" w:eastAsia="Arial" w:hAnsi="Arial"/>
                  <w:sz w:val="15"/>
                  <w:szCs w:val="15"/>
                  <w:color w:val="0000EE"/>
                </w:rPr>
                <w:t>FFERING</w:t>
              </w:r>
            </w:hyperlink>
          </w:p>
        </w:tc>
        <w:tc>
          <w:tcPr>
            <w:tcW w:w="3280" w:type="dxa"/>
            <w:vAlign w:val="bottom"/>
            <w:gridSpan w:val="6"/>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8</w:t>
            </w:r>
          </w:p>
        </w:tc>
        <w:tc>
          <w:tcPr>
            <w:tcW w:w="5040" w:type="dxa"/>
            <w:vAlign w:val="bottom"/>
            <w:gridSpan w:val="14"/>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C</w:t>
              </w:r>
              <w:r>
                <w:rPr>
                  <w:rFonts w:ascii="Arial" w:cs="Arial" w:eastAsia="Arial" w:hAnsi="Arial"/>
                  <w:sz w:val="15"/>
                  <w:szCs w:val="15"/>
                  <w:color w:val="0000EE"/>
                </w:rPr>
                <w:t>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R</w:t>
              </w:r>
              <w:r>
                <w:rPr>
                  <w:rFonts w:ascii="Arial" w:cs="Arial" w:eastAsia="Arial" w:hAnsi="Arial"/>
                  <w:sz w:val="15"/>
                  <w:szCs w:val="15"/>
                  <w:color w:val="0000EE"/>
                  <w:w w:val="91"/>
                </w:rPr>
                <w:t>ISK</w:t>
              </w:r>
              <w:r>
                <w:rPr>
                  <w:rFonts w:ascii="Arial" w:cs="Arial" w:eastAsia="Arial" w:hAnsi="Arial"/>
                  <w:sz w:val="18"/>
                  <w:szCs w:val="18"/>
                  <w:color w:val="0000EE"/>
                  <w:w w:val="91"/>
                </w:rPr>
                <w:t xml:space="preserve"> F</w:t>
              </w:r>
              <w:r>
                <w:rPr>
                  <w:rFonts w:ascii="Arial" w:cs="Arial" w:eastAsia="Arial" w:hAnsi="Arial"/>
                  <w:sz w:val="15"/>
                  <w:szCs w:val="15"/>
                  <w:color w:val="0000EE"/>
                  <w:w w:val="91"/>
                </w:rPr>
                <w:t>ACTORS</w:t>
              </w:r>
            </w:hyperlink>
          </w:p>
        </w:tc>
        <w:tc>
          <w:tcPr>
            <w:tcW w:w="3960" w:type="dxa"/>
            <w:vAlign w:val="bottom"/>
            <w:tcBorders>
              <w:bottom w:val="single" w:sz="8" w:color="0000EE"/>
            </w:tcBorders>
            <w:gridSpan w:val="10"/>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12</w:t>
            </w:r>
          </w:p>
        </w:tc>
        <w:tc>
          <w:tcPr>
            <w:tcW w:w="470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43">
              <w:r>
                <w:rPr>
                  <w:rFonts w:ascii="Arial" w:cs="Arial" w:eastAsia="Arial" w:hAnsi="Arial"/>
                  <w:sz w:val="18"/>
                  <w:szCs w:val="18"/>
                  <w:color w:val="0000EE"/>
                  <w:w w:val="95"/>
                </w:rPr>
                <w:t>C</w:t>
              </w:r>
              <w:r>
                <w:rPr>
                  <w:rFonts w:ascii="Arial" w:cs="Arial" w:eastAsia="Arial" w:hAnsi="Arial"/>
                  <w:sz w:val="15"/>
                  <w:szCs w:val="15"/>
                  <w:color w:val="0000EE"/>
                  <w:w w:val="95"/>
                </w:rPr>
                <w:t>ERTAIN</w:t>
              </w:r>
              <w:r>
                <w:rPr>
                  <w:rFonts w:ascii="Arial" w:cs="Arial" w:eastAsia="Arial" w:hAnsi="Arial"/>
                  <w:sz w:val="18"/>
                  <w:szCs w:val="18"/>
                  <w:color w:val="0000EE"/>
                  <w:w w:val="95"/>
                </w:rPr>
                <w:t xml:space="preserve"> R</w:t>
              </w:r>
              <w:r>
                <w:rPr>
                  <w:rFonts w:ascii="Arial" w:cs="Arial" w:eastAsia="Arial" w:hAnsi="Arial"/>
                  <w:sz w:val="15"/>
                  <w:szCs w:val="15"/>
                  <w:color w:val="0000EE"/>
                  <w:w w:val="95"/>
                </w:rPr>
                <w:t>ELATIONSHIPS AND</w:t>
              </w:r>
              <w:r>
                <w:rPr>
                  <w:rFonts w:ascii="Arial" w:cs="Arial" w:eastAsia="Arial" w:hAnsi="Arial"/>
                  <w:sz w:val="18"/>
                  <w:szCs w:val="18"/>
                  <w:color w:val="0000EE"/>
                  <w:w w:val="95"/>
                </w:rPr>
                <w:t xml:space="preserve"> R</w:t>
              </w:r>
              <w:r>
                <w:rPr>
                  <w:rFonts w:ascii="Arial" w:cs="Arial" w:eastAsia="Arial" w:hAnsi="Arial"/>
                  <w:sz w:val="15"/>
                  <w:szCs w:val="15"/>
                  <w:color w:val="0000EE"/>
                  <w:w w:val="95"/>
                </w:rPr>
                <w:t>ELATED</w:t>
              </w:r>
              <w:r>
                <w:rPr>
                  <w:rFonts w:ascii="Arial" w:cs="Arial" w:eastAsia="Arial" w:hAnsi="Arial"/>
                  <w:sz w:val="18"/>
                  <w:szCs w:val="18"/>
                  <w:color w:val="0000EE"/>
                  <w:w w:val="95"/>
                </w:rPr>
                <w:t xml:space="preserve"> P</w:t>
              </w:r>
              <w:r>
                <w:rPr>
                  <w:rFonts w:ascii="Arial" w:cs="Arial" w:eastAsia="Arial" w:hAnsi="Arial"/>
                  <w:sz w:val="15"/>
                  <w:szCs w:val="15"/>
                  <w:color w:val="0000EE"/>
                  <w:w w:val="95"/>
                </w:rPr>
                <w:t>ARTY</w:t>
              </w:r>
              <w:r>
                <w:rPr>
                  <w:rFonts w:ascii="Arial" w:cs="Arial" w:eastAsia="Arial" w:hAnsi="Arial"/>
                  <w:sz w:val="18"/>
                  <w:szCs w:val="18"/>
                  <w:color w:val="0000EE"/>
                  <w:w w:val="95"/>
                </w:rPr>
                <w:t xml:space="preserve"> T</w:t>
              </w:r>
              <w:r>
                <w:rPr>
                  <w:rFonts w:ascii="Arial" w:cs="Arial" w:eastAsia="Arial" w:hAnsi="Arial"/>
                  <w:sz w:val="15"/>
                  <w:szCs w:val="15"/>
                  <w:color w:val="0000EE"/>
                  <w:w w:val="95"/>
                </w:rPr>
                <w:t>RANSACTIONS</w:t>
              </w:r>
            </w:hyperlink>
          </w:p>
        </w:tc>
        <w:tc>
          <w:tcPr>
            <w:tcW w:w="3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 xml:space="preserve"> -L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51</w:t>
            </w:r>
          </w:p>
        </w:tc>
        <w:tc>
          <w:tcPr>
            <w:tcW w:w="5040" w:type="dxa"/>
            <w:vAlign w:val="bottom"/>
            <w:gridSpan w:val="14"/>
          </w:tcPr>
          <w:p>
            <w:pPr>
              <w:spacing w:after="0" w:line="196" w:lineRule="exact"/>
              <w:rPr>
                <w:rFonts w:ascii="Arial" w:cs="Arial" w:eastAsia="Arial" w:hAnsi="Arial"/>
                <w:sz w:val="18"/>
                <w:szCs w:val="18"/>
                <w:color w:val="0000EE"/>
              </w:rPr>
            </w:pPr>
            <w:hyperlink w:anchor="page146">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gridSpan w:val="1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M</w:t>
              </w:r>
              <w:r>
                <w:rPr>
                  <w:rFonts w:ascii="Arial" w:cs="Arial" w:eastAsia="Arial" w:hAnsi="Arial"/>
                  <w:sz w:val="15"/>
                  <w:szCs w:val="15"/>
                  <w:color w:val="0000EE"/>
                </w:rPr>
                <w:t>ARKET AND</w:t>
              </w:r>
              <w:r>
                <w:rPr>
                  <w:rFonts w:ascii="Arial" w:cs="Arial" w:eastAsia="Arial" w:hAnsi="Arial"/>
                  <w:sz w:val="18"/>
                  <w:szCs w:val="18"/>
                  <w:color w:val="0000EE"/>
                </w:rPr>
                <w:t xml:space="preserve"> I</w:t>
              </w:r>
              <w:r>
                <w:rPr>
                  <w:rFonts w:ascii="Arial" w:cs="Arial" w:eastAsia="Arial" w:hAnsi="Arial"/>
                  <w:sz w:val="15"/>
                  <w:szCs w:val="15"/>
                  <w:color w:val="0000EE"/>
                </w:rPr>
                <w:t>NDUSTRY</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440" w:type="dxa"/>
            <w:vAlign w:val="bottom"/>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52</w:t>
            </w:r>
          </w:p>
        </w:tc>
        <w:tc>
          <w:tcPr>
            <w:tcW w:w="5040" w:type="dxa"/>
            <w:vAlign w:val="bottom"/>
            <w:gridSpan w:val="14"/>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C</w:t>
              </w:r>
              <w:r>
                <w:rPr>
                  <w:rFonts w:ascii="Arial" w:cs="Arial" w:eastAsia="Arial" w:hAnsi="Arial"/>
                  <w:sz w:val="15"/>
                  <w:szCs w:val="15"/>
                  <w:color w:val="0000EE"/>
                </w:rPr>
                <w:t>APITAL</w:t>
              </w:r>
              <w:r>
                <w:rPr>
                  <w:rFonts w:ascii="Arial" w:cs="Arial" w:eastAsia="Arial" w:hAnsi="Arial"/>
                  <w:sz w:val="18"/>
                  <w:szCs w:val="18"/>
                  <w:color w:val="0000EE"/>
                </w:rPr>
                <w:t xml:space="preserve"> S</w:t>
              </w:r>
              <w:r>
                <w:rPr>
                  <w:rFonts w:ascii="Arial" w:cs="Arial" w:eastAsia="Arial" w:hAnsi="Arial"/>
                  <w:sz w:val="15"/>
                  <w:szCs w:val="15"/>
                  <w:color w:val="0000EE"/>
                </w:rPr>
                <w:t>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00" w:type="dxa"/>
            <w:vAlign w:val="bottom"/>
            <w:gridSpan w:val="2"/>
          </w:tcPr>
          <w:p>
            <w:pPr>
              <w:spacing w:after="0"/>
              <w:rPr>
                <w:sz w:val="17"/>
                <w:szCs w:val="17"/>
                <w:color w:val="auto"/>
              </w:rPr>
            </w:pPr>
          </w:p>
        </w:tc>
        <w:tc>
          <w:tcPr>
            <w:tcW w:w="2780" w:type="dxa"/>
            <w:vAlign w:val="bottom"/>
            <w:gridSpan w:val="5"/>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53</w:t>
            </w:r>
          </w:p>
        </w:tc>
        <w:tc>
          <w:tcPr>
            <w:tcW w:w="27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54">
              <w:r>
                <w:rPr>
                  <w:rFonts w:ascii="Arial" w:cs="Arial" w:eastAsia="Arial" w:hAnsi="Arial"/>
                  <w:sz w:val="18"/>
                  <w:szCs w:val="18"/>
                  <w:color w:val="0000EE"/>
                  <w:w w:val="95"/>
                </w:rPr>
                <w:t>S</w:t>
              </w:r>
              <w:r>
                <w:rPr>
                  <w:rFonts w:ascii="Arial" w:cs="Arial" w:eastAsia="Arial" w:hAnsi="Arial"/>
                  <w:sz w:val="15"/>
                  <w:szCs w:val="15"/>
                  <w:color w:val="0000EE"/>
                  <w:w w:val="95"/>
                </w:rPr>
                <w:t>HARES</w:t>
              </w:r>
              <w:r>
                <w:rPr>
                  <w:rFonts w:ascii="Arial" w:cs="Arial" w:eastAsia="Arial" w:hAnsi="Arial"/>
                  <w:sz w:val="18"/>
                  <w:szCs w:val="18"/>
                  <w:color w:val="0000EE"/>
                  <w:w w:val="95"/>
                </w:rPr>
                <w:t xml:space="preserve"> E</w:t>
              </w:r>
              <w:r>
                <w:rPr>
                  <w:rFonts w:ascii="Arial" w:cs="Arial" w:eastAsia="Arial" w:hAnsi="Arial"/>
                  <w:sz w:val="15"/>
                  <w:szCs w:val="15"/>
                  <w:color w:val="0000EE"/>
                  <w:w w:val="95"/>
                </w:rPr>
                <w:t>LIGIBLE FOR</w:t>
              </w:r>
              <w:r>
                <w:rPr>
                  <w:rFonts w:ascii="Arial" w:cs="Arial" w:eastAsia="Arial" w:hAnsi="Arial"/>
                  <w:sz w:val="18"/>
                  <w:szCs w:val="18"/>
                  <w:color w:val="0000EE"/>
                  <w:w w:val="95"/>
                </w:rPr>
                <w:t xml:space="preserve"> F</w:t>
              </w:r>
              <w:r>
                <w:rPr>
                  <w:rFonts w:ascii="Arial" w:cs="Arial" w:eastAsia="Arial" w:hAnsi="Arial"/>
                  <w:sz w:val="15"/>
                  <w:szCs w:val="15"/>
                  <w:color w:val="0000EE"/>
                  <w:w w:val="95"/>
                </w:rPr>
                <w:t>UTURE</w:t>
              </w:r>
              <w:r>
                <w:rPr>
                  <w:rFonts w:ascii="Arial" w:cs="Arial" w:eastAsia="Arial" w:hAnsi="Arial"/>
                  <w:sz w:val="18"/>
                  <w:szCs w:val="18"/>
                  <w:color w:val="0000EE"/>
                  <w:w w:val="95"/>
                </w:rPr>
                <w:t xml:space="preserve"> S</w:t>
              </w:r>
              <w:r>
                <w:rPr>
                  <w:rFonts w:ascii="Arial" w:cs="Arial" w:eastAsia="Arial" w:hAnsi="Arial"/>
                  <w:sz w:val="15"/>
                  <w:szCs w:val="15"/>
                  <w:color w:val="0000EE"/>
                  <w:w w:val="95"/>
                </w:rPr>
                <w:t>ALE</w:t>
              </w:r>
            </w:hyperlink>
          </w:p>
        </w:tc>
        <w:tc>
          <w:tcPr>
            <w:tcW w:w="23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145</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60">
              <w:r>
                <w:rPr>
                  <w:rFonts w:ascii="Arial" w:cs="Arial" w:eastAsia="Arial" w:hAnsi="Arial"/>
                  <w:sz w:val="18"/>
                  <w:szCs w:val="18"/>
                  <w:color w:val="0000EE"/>
                  <w:w w:val="98"/>
                </w:rPr>
                <w:t>D</w:t>
              </w:r>
              <w:r>
                <w:rPr>
                  <w:rFonts w:ascii="Arial" w:cs="Arial" w:eastAsia="Arial" w:hAnsi="Arial"/>
                  <w:sz w:val="15"/>
                  <w:szCs w:val="15"/>
                  <w:color w:val="0000EE"/>
                  <w:w w:val="98"/>
                </w:rPr>
                <w:t>IVIDEND</w:t>
              </w:r>
              <w:r>
                <w:rPr>
                  <w:rFonts w:ascii="Arial" w:cs="Arial" w:eastAsia="Arial" w:hAnsi="Arial"/>
                  <w:sz w:val="18"/>
                  <w:szCs w:val="18"/>
                  <w:color w:val="0000EE"/>
                  <w:w w:val="98"/>
                </w:rPr>
                <w:t xml:space="preserve"> P</w:t>
              </w:r>
              <w:r>
                <w:rPr>
                  <w:rFonts w:ascii="Arial" w:cs="Arial" w:eastAsia="Arial" w:hAnsi="Arial"/>
                  <w:sz w:val="15"/>
                  <w:szCs w:val="15"/>
                  <w:color w:val="0000EE"/>
                  <w:w w:val="98"/>
                </w:rPr>
                <w:t>OLICY</w:t>
              </w:r>
            </w:hyperlink>
          </w:p>
        </w:tc>
        <w:tc>
          <w:tcPr>
            <w:tcW w:w="3700" w:type="dxa"/>
            <w:vAlign w:val="bottom"/>
            <w:gridSpan w:val="8"/>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54</w:t>
            </w:r>
          </w:p>
        </w:tc>
        <w:tc>
          <w:tcPr>
            <w:tcW w:w="45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156">
              <w:r>
                <w:rPr>
                  <w:rFonts w:ascii="Arial" w:cs="Arial" w:eastAsia="Arial" w:hAnsi="Arial"/>
                  <w:sz w:val="18"/>
                  <w:szCs w:val="18"/>
                  <w:color w:val="0000EE"/>
                  <w:w w:val="96"/>
                </w:rPr>
                <w:t>M</w:t>
              </w:r>
              <w:r>
                <w:rPr>
                  <w:rFonts w:ascii="Arial" w:cs="Arial" w:eastAsia="Arial" w:hAnsi="Arial"/>
                  <w:sz w:val="15"/>
                  <w:szCs w:val="15"/>
                  <w:color w:val="0000EE"/>
                  <w:w w:val="96"/>
                </w:rPr>
                <w:t>ATERIAL</w:t>
              </w:r>
              <w:r>
                <w:rPr>
                  <w:rFonts w:ascii="Arial" w:cs="Arial" w:eastAsia="Arial" w:hAnsi="Arial"/>
                  <w:sz w:val="18"/>
                  <w:szCs w:val="18"/>
                  <w:color w:val="0000EE"/>
                  <w:w w:val="96"/>
                </w:rPr>
                <w:t xml:space="preserve"> U.S. F</w:t>
              </w:r>
              <w:r>
                <w:rPr>
                  <w:rFonts w:ascii="Arial" w:cs="Arial" w:eastAsia="Arial" w:hAnsi="Arial"/>
                  <w:sz w:val="15"/>
                  <w:szCs w:val="15"/>
                  <w:color w:val="0000EE"/>
                  <w:w w:val="96"/>
                </w:rPr>
                <w:t>EDERAL</w:t>
              </w:r>
              <w:r>
                <w:rPr>
                  <w:rFonts w:ascii="Arial" w:cs="Arial" w:eastAsia="Arial" w:hAnsi="Arial"/>
                  <w:sz w:val="18"/>
                  <w:szCs w:val="18"/>
                  <w:color w:val="0000EE"/>
                  <w:w w:val="96"/>
                </w:rPr>
                <w:t xml:space="preserve"> I</w:t>
              </w:r>
              <w:r>
                <w:rPr>
                  <w:rFonts w:ascii="Arial" w:cs="Arial" w:eastAsia="Arial" w:hAnsi="Arial"/>
                  <w:sz w:val="15"/>
                  <w:szCs w:val="15"/>
                  <w:color w:val="0000EE"/>
                  <w:w w:val="96"/>
                </w:rPr>
                <w:t>NCOME</w:t>
              </w:r>
              <w:r>
                <w:rPr>
                  <w:rFonts w:ascii="Arial" w:cs="Arial" w:eastAsia="Arial" w:hAnsi="Arial"/>
                  <w:sz w:val="18"/>
                  <w:szCs w:val="18"/>
                  <w:color w:val="0000EE"/>
                  <w:w w:val="96"/>
                </w:rPr>
                <w:t xml:space="preserve"> T</w:t>
              </w:r>
              <w:r>
                <w:rPr>
                  <w:rFonts w:ascii="Arial" w:cs="Arial" w:eastAsia="Arial" w:hAnsi="Arial"/>
                  <w:sz w:val="15"/>
                  <w:szCs w:val="15"/>
                  <w:color w:val="0000EE"/>
                  <w:w w:val="96"/>
                </w:rPr>
                <w:t>AX</w:t>
              </w:r>
              <w:r>
                <w:rPr>
                  <w:rFonts w:ascii="Arial" w:cs="Arial" w:eastAsia="Arial" w:hAnsi="Arial"/>
                  <w:sz w:val="18"/>
                  <w:szCs w:val="18"/>
                  <w:color w:val="0000EE"/>
                  <w:w w:val="96"/>
                </w:rPr>
                <w:t xml:space="preserve"> C</w:t>
              </w:r>
              <w:r>
                <w:rPr>
                  <w:rFonts w:ascii="Arial" w:cs="Arial" w:eastAsia="Arial" w:hAnsi="Arial"/>
                  <w:sz w:val="15"/>
                  <w:szCs w:val="15"/>
                  <w:color w:val="0000EE"/>
                  <w:w w:val="96"/>
                </w:rPr>
                <w:t>ONSIDERATIONS FOR</w:t>
              </w:r>
            </w:hyperlink>
          </w:p>
        </w:tc>
        <w:tc>
          <w:tcPr>
            <w:tcW w:w="4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4860" w:type="dxa"/>
            <w:vAlign w:val="bottom"/>
            <w:gridSpan w:val="13"/>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63">
              <w:r>
                <w:rPr>
                  <w:rFonts w:ascii="Arial" w:cs="Arial" w:eastAsia="Arial" w:hAnsi="Arial"/>
                  <w:sz w:val="18"/>
                  <w:szCs w:val="18"/>
                  <w:color w:val="0000EE"/>
                  <w:w w:val="99"/>
                </w:rPr>
                <w:t>D</w:t>
              </w:r>
              <w:r>
                <w:rPr>
                  <w:rFonts w:ascii="Arial" w:cs="Arial" w:eastAsia="Arial" w:hAnsi="Arial"/>
                  <w:sz w:val="15"/>
                  <w:szCs w:val="15"/>
                  <w:color w:val="0000EE"/>
                  <w:w w:val="99"/>
                </w:rPr>
                <w:t>ILUTION</w:t>
              </w:r>
            </w:hyperlink>
          </w:p>
        </w:tc>
        <w:tc>
          <w:tcPr>
            <w:tcW w:w="480" w:type="dxa"/>
            <w:vAlign w:val="bottom"/>
            <w:gridSpan w:val="2"/>
          </w:tcPr>
          <w:p>
            <w:pPr>
              <w:spacing w:after="0"/>
              <w:rPr>
                <w:sz w:val="17"/>
                <w:szCs w:val="17"/>
                <w:color w:val="auto"/>
              </w:rPr>
            </w:pPr>
          </w:p>
        </w:tc>
        <w:tc>
          <w:tcPr>
            <w:tcW w:w="3840" w:type="dxa"/>
            <w:vAlign w:val="bottom"/>
            <w:gridSpan w:val="9"/>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57</w:t>
            </w: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61">
              <w:r>
                <w:rPr>
                  <w:rFonts w:ascii="Arial" w:cs="Arial" w:eastAsia="Arial" w:hAnsi="Arial"/>
                  <w:sz w:val="18"/>
                  <w:szCs w:val="18"/>
                  <w:color w:val="0000EE"/>
                  <w:w w:val="96"/>
                </w:rPr>
                <w:t>U</w:t>
              </w:r>
              <w:r>
                <w:rPr>
                  <w:rFonts w:ascii="Arial" w:cs="Arial" w:eastAsia="Arial" w:hAnsi="Arial"/>
                  <w:sz w:val="15"/>
                  <w:szCs w:val="15"/>
                  <w:color w:val="0000EE"/>
                  <w:w w:val="96"/>
                </w:rPr>
                <w:t>NDERWRITING</w:t>
              </w:r>
            </w:hyperlink>
          </w:p>
        </w:tc>
        <w:tc>
          <w:tcPr>
            <w:tcW w:w="38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152</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65">
              <w:r>
                <w:rPr>
                  <w:rFonts w:ascii="Arial" w:cs="Arial" w:eastAsia="Arial" w:hAnsi="Arial"/>
                  <w:sz w:val="18"/>
                  <w:szCs w:val="18"/>
                  <w:color w:val="0000EE"/>
                  <w:w w:val="96"/>
                </w:rPr>
                <w:t>S</w:t>
              </w:r>
              <w:r>
                <w:rPr>
                  <w:rFonts w:ascii="Arial" w:cs="Arial" w:eastAsia="Arial" w:hAnsi="Arial"/>
                  <w:sz w:val="15"/>
                  <w:szCs w:val="15"/>
                  <w:color w:val="0000EE"/>
                  <w:w w:val="96"/>
                </w:rPr>
                <w:t>ELECTED</w:t>
              </w:r>
              <w:r>
                <w:rPr>
                  <w:rFonts w:ascii="Arial" w:cs="Arial" w:eastAsia="Arial" w:hAnsi="Arial"/>
                  <w:sz w:val="18"/>
                  <w:szCs w:val="18"/>
                  <w:color w:val="0000EE"/>
                  <w:w w:val="96"/>
                </w:rPr>
                <w:t xml:space="preserve"> C</w:t>
              </w:r>
              <w:r>
                <w:rPr>
                  <w:rFonts w:ascii="Arial" w:cs="Arial" w:eastAsia="Arial" w:hAnsi="Arial"/>
                  <w:sz w:val="15"/>
                  <w:szCs w:val="15"/>
                  <w:color w:val="0000EE"/>
                  <w:w w:val="96"/>
                </w:rPr>
                <w:t>ONSOLIDATED</w:t>
              </w:r>
              <w:r>
                <w:rPr>
                  <w:rFonts w:ascii="Arial" w:cs="Arial" w:eastAsia="Arial" w:hAnsi="Arial"/>
                  <w:sz w:val="18"/>
                  <w:szCs w:val="18"/>
                  <w:color w:val="0000EE"/>
                  <w:w w:val="96"/>
                </w:rPr>
                <w:t xml:space="preserve"> F</w:t>
              </w:r>
              <w:r>
                <w:rPr>
                  <w:rFonts w:ascii="Arial" w:cs="Arial" w:eastAsia="Arial" w:hAnsi="Arial"/>
                  <w:sz w:val="15"/>
                  <w:szCs w:val="15"/>
                  <w:color w:val="0000EE"/>
                  <w:w w:val="96"/>
                </w:rPr>
                <w:t>INANCIAL</w:t>
              </w:r>
              <w:r>
                <w:rPr>
                  <w:rFonts w:ascii="Arial" w:cs="Arial" w:eastAsia="Arial" w:hAnsi="Arial"/>
                  <w:sz w:val="18"/>
                  <w:szCs w:val="18"/>
                  <w:color w:val="0000EE"/>
                  <w:w w:val="96"/>
                </w:rPr>
                <w:t xml:space="preserve"> D</w:t>
              </w:r>
              <w:r>
                <w:rPr>
                  <w:rFonts w:ascii="Arial" w:cs="Arial" w:eastAsia="Arial" w:hAnsi="Arial"/>
                  <w:sz w:val="15"/>
                  <w:szCs w:val="15"/>
                  <w:color w:val="0000EE"/>
                  <w:w w:val="96"/>
                </w:rPr>
                <w:t>ATA</w:t>
              </w:r>
            </w:hyperlink>
          </w:p>
        </w:tc>
        <w:tc>
          <w:tcPr>
            <w:tcW w:w="1760" w:type="dxa"/>
            <w:vAlign w:val="bottom"/>
            <w:gridSpan w:val="4"/>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59</w:t>
            </w: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72">
              <w:r>
                <w:rPr>
                  <w:rFonts w:ascii="Arial" w:cs="Arial" w:eastAsia="Arial" w:hAnsi="Arial"/>
                  <w:sz w:val="18"/>
                  <w:szCs w:val="18"/>
                  <w:color w:val="0000EE"/>
                  <w:w w:val="95"/>
                </w:rPr>
                <w:t>L</w:t>
              </w:r>
              <w:r>
                <w:rPr>
                  <w:rFonts w:ascii="Arial" w:cs="Arial" w:eastAsia="Arial" w:hAnsi="Arial"/>
                  <w:sz w:val="15"/>
                  <w:szCs w:val="15"/>
                  <w:color w:val="0000EE"/>
                  <w:w w:val="95"/>
                </w:rPr>
                <w:t>EGAL</w:t>
              </w:r>
              <w:r>
                <w:rPr>
                  <w:rFonts w:ascii="Arial" w:cs="Arial" w:eastAsia="Arial" w:hAnsi="Arial"/>
                  <w:sz w:val="18"/>
                  <w:szCs w:val="18"/>
                  <w:color w:val="0000EE"/>
                  <w:w w:val="95"/>
                </w:rPr>
                <w:t xml:space="preserve"> M</w:t>
              </w:r>
              <w:r>
                <w:rPr>
                  <w:rFonts w:ascii="Arial" w:cs="Arial" w:eastAsia="Arial" w:hAnsi="Arial"/>
                  <w:sz w:val="15"/>
                  <w:szCs w:val="15"/>
                  <w:color w:val="0000EE"/>
                  <w:w w:val="95"/>
                </w:rPr>
                <w:t>ATTERS</w:t>
              </w:r>
            </w:hyperlink>
          </w:p>
        </w:tc>
        <w:tc>
          <w:tcPr>
            <w:tcW w:w="37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M</w:t>
              </w:r>
              <w:r>
                <w:rPr>
                  <w:rFonts w:ascii="Arial" w:cs="Arial" w:eastAsia="Arial" w:hAnsi="Arial"/>
                  <w:sz w:val="15"/>
                  <w:szCs w:val="15"/>
                  <w:color w:val="0000EE"/>
                  <w:w w:val="98"/>
                </w:rPr>
                <w:t>ANAGEMENT</w:t>
              </w:r>
              <w:r>
                <w:rPr>
                  <w:rFonts w:ascii="Arial" w:cs="Arial" w:eastAsia="Arial" w:hAnsi="Arial"/>
                  <w:sz w:val="18"/>
                  <w:szCs w:val="18"/>
                  <w:color w:val="0000EE"/>
                  <w:w w:val="98"/>
                </w:rPr>
                <w:t>’</w:t>
              </w:r>
              <w:r>
                <w:rPr>
                  <w:rFonts w:ascii="Arial" w:cs="Arial" w:eastAsia="Arial" w:hAnsi="Arial"/>
                  <w:sz w:val="15"/>
                  <w:szCs w:val="15"/>
                  <w:color w:val="0000EE"/>
                  <w:w w:val="98"/>
                </w:rPr>
                <w:t>S</w:t>
              </w:r>
              <w:r>
                <w:rPr>
                  <w:rFonts w:ascii="Arial" w:cs="Arial" w:eastAsia="Arial" w:hAnsi="Arial"/>
                  <w:sz w:val="18"/>
                  <w:szCs w:val="18"/>
                  <w:color w:val="0000EE"/>
                  <w:w w:val="98"/>
                </w:rPr>
                <w:t xml:space="preserve"> D</w:t>
              </w:r>
              <w:r>
                <w:rPr>
                  <w:rFonts w:ascii="Arial" w:cs="Arial" w:eastAsia="Arial" w:hAnsi="Arial"/>
                  <w:sz w:val="15"/>
                  <w:szCs w:val="15"/>
                  <w:color w:val="0000EE"/>
                  <w:w w:val="98"/>
                </w:rPr>
                <w:t>ISCUSSION AND</w:t>
              </w:r>
              <w:r>
                <w:rPr>
                  <w:rFonts w:ascii="Arial" w:cs="Arial" w:eastAsia="Arial" w:hAnsi="Arial"/>
                  <w:sz w:val="18"/>
                  <w:szCs w:val="18"/>
                  <w:color w:val="0000EE"/>
                  <w:w w:val="98"/>
                </w:rPr>
                <w:t xml:space="preserve"> A</w:t>
              </w:r>
              <w:r>
                <w:rPr>
                  <w:rFonts w:ascii="Arial" w:cs="Arial" w:eastAsia="Arial" w:hAnsi="Arial"/>
                  <w:sz w:val="15"/>
                  <w:szCs w:val="15"/>
                  <w:color w:val="0000EE"/>
                  <w:w w:val="98"/>
                </w:rPr>
                <w:t>NALYSIS OF</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hyperlink>
          </w:p>
        </w:tc>
        <w:tc>
          <w:tcPr>
            <w:tcW w:w="6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72">
              <w:r>
                <w:rPr>
                  <w:rFonts w:ascii="Arial" w:cs="Arial" w:eastAsia="Arial" w:hAnsi="Arial"/>
                  <w:sz w:val="18"/>
                  <w:szCs w:val="18"/>
                  <w:color w:val="0000EE"/>
                  <w:w w:val="88"/>
                </w:rPr>
                <w:t>E</w:t>
              </w:r>
              <w:r>
                <w:rPr>
                  <w:rFonts w:ascii="Arial" w:cs="Arial" w:eastAsia="Arial" w:hAnsi="Arial"/>
                  <w:sz w:val="15"/>
                  <w:szCs w:val="15"/>
                  <w:color w:val="0000EE"/>
                  <w:w w:val="88"/>
                </w:rPr>
                <w:t>XPERTS</w:t>
              </w:r>
            </w:hyperlink>
          </w:p>
        </w:tc>
        <w:tc>
          <w:tcPr>
            <w:tcW w:w="438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C</w:t>
              </w:r>
              <w:r>
                <w:rPr>
                  <w:rFonts w:ascii="Arial" w:cs="Arial" w:eastAsia="Arial" w:hAnsi="Arial"/>
                  <w:sz w:val="15"/>
                  <w:szCs w:val="15"/>
                  <w:color w:val="0000EE"/>
                  <w:w w:val="94"/>
                </w:rPr>
                <w:t>ONDITION AND</w:t>
              </w:r>
              <w:r>
                <w:rPr>
                  <w:rFonts w:ascii="Arial" w:cs="Arial" w:eastAsia="Arial" w:hAnsi="Arial"/>
                  <w:sz w:val="18"/>
                  <w:szCs w:val="18"/>
                  <w:color w:val="0000EE"/>
                  <w:w w:val="94"/>
                </w:rPr>
                <w:t xml:space="preserve"> R</w:t>
              </w:r>
              <w:r>
                <w:rPr>
                  <w:rFonts w:ascii="Arial" w:cs="Arial" w:eastAsia="Arial" w:hAnsi="Arial"/>
                  <w:sz w:val="15"/>
                  <w:szCs w:val="15"/>
                  <w:color w:val="0000EE"/>
                  <w:w w:val="94"/>
                </w:rPr>
                <w:t>ESULTS OF</w:t>
              </w:r>
              <w:r>
                <w:rPr>
                  <w:rFonts w:ascii="Arial" w:cs="Arial" w:eastAsia="Arial" w:hAnsi="Arial"/>
                  <w:sz w:val="18"/>
                  <w:szCs w:val="18"/>
                  <w:color w:val="0000EE"/>
                  <w:w w:val="94"/>
                </w:rPr>
                <w:t xml:space="preserve"> O</w:t>
              </w:r>
              <w:r>
                <w:rPr>
                  <w:rFonts w:ascii="Arial" w:cs="Arial" w:eastAsia="Arial" w:hAnsi="Arial"/>
                  <w:sz w:val="15"/>
                  <w:szCs w:val="15"/>
                  <w:color w:val="0000EE"/>
                  <w:w w:val="94"/>
                </w:rPr>
                <w:t>PERATIONS</w:t>
              </w:r>
            </w:hyperlink>
          </w:p>
        </w:tc>
        <w:tc>
          <w:tcPr>
            <w:tcW w:w="1740" w:type="dxa"/>
            <w:vAlign w:val="bottom"/>
            <w:gridSpan w:val="3"/>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61</w:t>
            </w:r>
          </w:p>
        </w:tc>
        <w:tc>
          <w:tcPr>
            <w:tcW w:w="208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29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B</w:t>
              </w:r>
              <w:r>
                <w:rPr>
                  <w:rFonts w:ascii="Arial" w:cs="Arial" w:eastAsia="Arial" w:hAnsi="Arial"/>
                  <w:sz w:val="15"/>
                  <w:szCs w:val="15"/>
                  <w:color w:val="0000EE"/>
                </w:rPr>
                <w:t>USINESS</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77</w:t>
            </w:r>
          </w:p>
        </w:tc>
        <w:tc>
          <w:tcPr>
            <w:tcW w:w="5040" w:type="dxa"/>
            <w:vAlign w:val="bottom"/>
            <w:gridSpan w:val="14"/>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I</w:t>
              </w:r>
              <w:r>
                <w:rPr>
                  <w:rFonts w:ascii="Arial" w:cs="Arial" w:eastAsia="Arial" w:hAnsi="Arial"/>
                  <w:sz w:val="15"/>
                  <w:szCs w:val="15"/>
                  <w:color w:val="0000EE"/>
                </w:rPr>
                <w:t>NDEX TO</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Through and including , 2017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387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7387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20"/>
        <w:spacing w:after="0" w:line="29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3"/>
        <w:spacing w:after="0" w:line="297" w:lineRule="auto"/>
        <w:rPr>
          <w:sz w:val="20"/>
          <w:szCs w:val="20"/>
          <w:color w:val="auto"/>
        </w:rPr>
      </w:pPr>
      <w:r>
        <w:rPr>
          <w:rFonts w:ascii="Arial" w:cs="Arial" w:eastAsia="Arial" w:hAnsi="Arial"/>
          <w:sz w:val="16"/>
          <w:szCs w:val="16"/>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50" w:lineRule="exact"/>
        <w:rPr>
          <w:sz w:val="20"/>
          <w:szCs w:val="20"/>
          <w:color w:val="auto"/>
        </w:rPr>
      </w:pPr>
    </w:p>
    <w:p>
      <w:pPr>
        <w:ind w:left="200" w:firstLine="443"/>
        <w:spacing w:after="0" w:line="267"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have completed a Phase 1 trial of 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plan to disclose detailed data from this Phase 1 trial at two medical conferences during the first quarter of 2017. We have cleared an Investigational New Drug application, or IND, with the U.S. Food and Drug Administration, or FDA, and a Clinical Trial Authorisation, or CTA, with the U.K. Medicines and Healthcare Products Regulatory Agency, or MHRA, to initiate Phase 2a trials of ANB020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ANB019 inhibits the interleukin-36, or IL-36R, receptor for the treatment of rare inflammatory diseases including generalized pustular psoriasis, or GPP, and palmo-plantar pustular psoriasis, or PPP. In November 2016, we submitted a CTN for ANB019 and, if cleared, we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82" w:lineRule="exact"/>
        <w:rPr>
          <w:sz w:val="20"/>
          <w:szCs w:val="20"/>
          <w:color w:val="auto"/>
        </w:rPr>
      </w:pPr>
    </w:p>
    <w:p>
      <w:pPr>
        <w:ind w:left="200" w:right="360" w:firstLine="443"/>
        <w:spacing w:after="0" w:line="286" w:lineRule="auto"/>
        <w:rPr>
          <w:sz w:val="20"/>
          <w:szCs w:val="20"/>
          <w:color w:val="auto"/>
        </w:rPr>
      </w:pPr>
      <w:r>
        <w:rPr>
          <w:rFonts w:ascii="Arial" w:cs="Arial" w:eastAsia="Arial" w:hAnsi="Arial"/>
          <w:sz w:val="17"/>
          <w:szCs w:val="17"/>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w:t>
      </w:r>
    </w:p>
    <w:p>
      <w:pPr>
        <w:spacing w:after="0" w:line="57" w:lineRule="exact"/>
        <w:rPr>
          <w:sz w:val="20"/>
          <w:szCs w:val="20"/>
          <w:color w:val="auto"/>
        </w:rPr>
      </w:pPr>
    </w:p>
    <w:p>
      <w:pPr>
        <w:ind w:left="200" w:right="20" w:firstLine="443"/>
        <w:spacing w:after="0" w:line="270" w:lineRule="auto"/>
        <w:rPr>
          <w:sz w:val="20"/>
          <w:szCs w:val="20"/>
          <w:color w:val="auto"/>
        </w:rPr>
      </w:pPr>
      <w:r>
        <w:rPr>
          <w:rFonts w:ascii="Arial" w:cs="Arial" w:eastAsia="Arial" w:hAnsi="Arial"/>
          <w:sz w:val="17"/>
          <w:szCs w:val="17"/>
          <w:color w:val="auto"/>
        </w:rPr>
        <w:t xml:space="preserve">Under our TESARO collaboration, a Phase 1 clinical trial was initiated during the first quarter of 2016 to study an AnaptysBio-generated anti-PD-1 antagonist antibody (TSR-042) in patients under an IND cleared by the U.S. FDA. We anticipate initiation of a registration program for TSR-042 by TESARO during the first half of 2017. A second Phase 1 trial was initiated during the third quarter of 2016 to study an AnaptysBio-generated anti-TIM-3 antagonist antibody (TSR-022) in patients under a separate IND cleared by the FDA. We anticipate initiation of a combination trial of TSR-022 with an anti-PD-1 antibody by TESARO during the first half of 2017. Under our Celgene collaboration,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using good laboratory practices, or GLPs, for an AnaptysBio-generated antibody was completed during the second quarter of 2016, and a U.S. IND was cleared by the FDA and a Phase 1 trial was initiated in December 2016. Including the aforementioned programs, we expect that our collaborators will advance four AnaptysBio-generated antibodies to the clinic by the end of the first half of 2017. Through the date of this prospectus, we have received $65.4 million in non-dilutive funding from our collaborators.</w:t>
      </w:r>
    </w:p>
    <w:p>
      <w:pPr>
        <w:spacing w:after="0" w:line="74" w:lineRule="exact"/>
        <w:rPr>
          <w:sz w:val="20"/>
          <w:szCs w:val="20"/>
          <w:color w:val="auto"/>
        </w:rPr>
      </w:pPr>
    </w:p>
    <w:p>
      <w:pPr>
        <w:ind w:left="200" w:right="280" w:firstLine="443"/>
        <w:spacing w:after="0" w:line="286" w:lineRule="auto"/>
        <w:rPr>
          <w:sz w:val="20"/>
          <w:szCs w:val="20"/>
          <w:color w:val="auto"/>
        </w:rPr>
      </w:pPr>
      <w:r>
        <w:rPr>
          <w:rFonts w:ascii="Arial" w:cs="Arial" w:eastAsia="Arial" w:hAnsi="Arial"/>
          <w:sz w:val="17"/>
          <w:szCs w:val="17"/>
          <w:color w:val="auto"/>
        </w:rPr>
        <w:t>Our company is led by a strong management team with deep experience in antibody discovery and development, collaborations, operations and corporate finance. Through November 30, 2016, we have raised approximately $94.3 million from investors, including Biotechnology Value Fund, Cormorant Asset Management, Frazier Healthcare, HBM Partners, Longwood Capital Partners and Novo A/S.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687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76879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1060" w:hanging="323"/>
        <w:spacing w:after="0" w:line="284"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is 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pharmacodynamic assay. We plan to disclose detailed data from this Phase 1 trial at two medical conferences during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2017. We have a cleared U.S. IND and a U.K. CTA to initiate Phase 2a trials of ANB020 for the treatment of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Based on our analysis of publicly available data sources and interviews with physicians and key opinion leaders in the field of atopic dermatitis, we estimate approximately 1.4 million adults in the United States are affected by atopic dermatitis, of which approximately 280,000 are diagnosed with a moderate-to-severe form of this disease, of which 98,000 are believed to be suitable for treatment with systemic biological therapies.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3.6 million have severe, persistent occurrence of this respiratory disease in the United States.</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59" w:right="3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935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693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hanging="323"/>
        <w:spacing w:after="0" w:line="268"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IL-36R, which we are initially developing as a potential first-in-class therapy for GPP</w:t>
      </w:r>
      <w:r>
        <w:rPr>
          <w:rFonts w:ascii="Arial" w:cs="Arial" w:eastAsia="Arial" w:hAnsi="Arial"/>
          <w:sz w:val="17"/>
          <w:szCs w:val="17"/>
          <w:b w:val="1"/>
          <w:bCs w:val="1"/>
          <w:color w:val="auto"/>
        </w:rPr>
        <w:t xml:space="preserve"> </w:t>
      </w:r>
      <w:r>
        <w:rPr>
          <w:rFonts w:ascii="Arial" w:cs="Arial" w:eastAsia="Arial" w:hAnsi="Arial"/>
          <w:sz w:val="17"/>
          <w:szCs w:val="17"/>
          <w:color w:val="auto"/>
        </w:rPr>
        <w:t>and 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 signaling pathway.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the IL-36R in development. We have submitted an Australian CTN for ANB019 and, if cleared, we plan to initiate a Phase 1 clinical trial in Australia in the first half of 2017, and anticipate announcing top-line data from this trial during the second half of 2017. We subsequently plan to seek regulatory clearance to initiate Phase 2 studies of ANB019 in GPP and PPP patients during 2018 and plan to seek FDA Orphan Drug Designation for the treatment of GPP and PPP. The FDA may grant Orphan Drug Designation to a drug intended to treat a disease or condition, that generally affects fewer than 200,000 individuals in the United States.</w:t>
      </w:r>
    </w:p>
    <w:p>
      <w:pPr>
        <w:spacing w:after="0" w:line="90" w:lineRule="exact"/>
        <w:rPr>
          <w:rFonts w:ascii="Arial" w:cs="Arial" w:eastAsia="Arial" w:hAnsi="Arial"/>
          <w:sz w:val="17"/>
          <w:szCs w:val="17"/>
          <w:color w:val="auto"/>
        </w:rPr>
      </w:pPr>
    </w:p>
    <w:p>
      <w:pPr>
        <w:ind w:left="1060" w:right="40" w:hanging="323"/>
        <w:spacing w:after="0" w:line="277"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Checkpoint receptor agonist </w:t>
      </w:r>
      <w:r>
        <w:rPr>
          <w:rFonts w:ascii="Arial" w:cs="Arial" w:eastAsia="Arial" w:hAnsi="Arial"/>
          <w:sz w:val="17"/>
          <w:szCs w:val="17"/>
          <w:color w:val="auto"/>
        </w:rPr>
        <w:t>antibodies are being developed by AnaptysBio to multiple different immune checkpoint receptors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Advantages of Our SHM Platform</w:t>
      </w:r>
    </w:p>
    <w:p>
      <w:pPr>
        <w:spacing w:after="0" w:line="121" w:lineRule="exact"/>
        <w:rPr>
          <w:sz w:val="20"/>
          <w:szCs w:val="20"/>
          <w:color w:val="auto"/>
        </w:rPr>
      </w:pPr>
    </w:p>
    <w:p>
      <w:pPr>
        <w:ind w:left="200" w:right="200" w:firstLine="443"/>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90" w:lineRule="exact"/>
        <w:rPr>
          <w:sz w:val="20"/>
          <w:szCs w:val="20"/>
          <w:color w:val="auto"/>
        </w:rPr>
      </w:pPr>
    </w:p>
    <w:p>
      <w:pPr>
        <w:ind w:left="1060" w:right="160" w:hanging="323"/>
        <w:spacing w:after="0" w:line="26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1060" w:right="540" w:hanging="323"/>
        <w:spacing w:after="0" w:line="347"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1060" w:right="240" w:hanging="323"/>
        <w:spacing w:after="0" w:line="266"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1060" w:hanging="323"/>
        <w:spacing w:after="0" w:line="314"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Speed. </w:t>
      </w:r>
      <w:r>
        <w:rPr>
          <w:rFonts w:ascii="Arial" w:cs="Arial" w:eastAsia="Arial" w:hAnsi="Arial"/>
          <w:sz w:val="16"/>
          <w:szCs w:val="16"/>
          <w:color w:val="auto"/>
        </w:rPr>
        <w:t>Our platform technology has enabled us to generate therapeutic-grade antibodies and subsequently advance preclinical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47" w:lineRule="exact"/>
        <w:rPr>
          <w:rFonts w:ascii="Arial" w:cs="Arial" w:eastAsia="Arial" w:hAnsi="Arial"/>
          <w:sz w:val="16"/>
          <w:szCs w:val="16"/>
          <w:color w:val="auto"/>
        </w:rPr>
      </w:pPr>
    </w:p>
    <w:p>
      <w:pPr>
        <w:ind w:left="1060" w:right="620" w:hanging="323"/>
        <w:spacing w:after="0" w:line="282"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antibody expression, formulation and stability during the antibody generation process.</w:t>
      </w:r>
    </w:p>
    <w:p>
      <w:pPr>
        <w:spacing w:after="0" w:line="67" w:lineRule="exact"/>
        <w:rPr>
          <w:rFonts w:ascii="Arial" w:cs="Arial" w:eastAsia="Arial" w:hAnsi="Arial"/>
          <w:sz w:val="18"/>
          <w:szCs w:val="18"/>
          <w:color w:val="auto"/>
        </w:rPr>
      </w:pPr>
    </w:p>
    <w:p>
      <w:pPr>
        <w:ind w:left="1060" w:right="860" w:hanging="323"/>
        <w:spacing w:after="0" w:line="282"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Our novel approach for the generation of bispecific antibodies leverages SHM to combine two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mechanisms into a single natural antibody molecule.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452120</wp:posOffset>
            </wp:positionV>
            <wp:extent cx="7276465" cy="9728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972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left="200" w:firstLine="443"/>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$65.4 million in payments through the date of this prospectus. Multiple antibodies, generated by us prior to or during a strategic collaboration, are currently being advanced through development by our collaborators. Our collaborations with TESARO and Celgene are described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1060" w:right="140" w:hanging="323"/>
        <w:spacing w:after="0" w:line="308"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Anti-PD-1 Monospecific Antagonist Antibody (TSR-042)</w:t>
      </w:r>
      <w:r>
        <w:rPr>
          <w:rFonts w:ascii="Arial" w:cs="Arial" w:eastAsia="Arial" w:hAnsi="Arial"/>
          <w:sz w:val="17"/>
          <w:szCs w:val="17"/>
          <w:color w:val="auto"/>
        </w:rPr>
        <w:t>: Phase 1 clinical trial dosing initiated in the first quarter of 2016 subsequent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a U.S. FDA IND, finalize registration strategy and initiate a registration program in the first half of 2017;</w:t>
      </w:r>
    </w:p>
    <w:p>
      <w:pPr>
        <w:spacing w:after="0" w:line="51" w:lineRule="exact"/>
        <w:rPr>
          <w:rFonts w:ascii="Arial" w:cs="Arial" w:eastAsia="Arial" w:hAnsi="Arial"/>
          <w:sz w:val="17"/>
          <w:szCs w:val="17"/>
          <w:color w:val="auto"/>
        </w:rPr>
      </w:pPr>
    </w:p>
    <w:p>
      <w:pPr>
        <w:ind w:left="1060" w:right="2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 (TSR-022)</w:t>
      </w:r>
      <w:r>
        <w:rPr>
          <w:rFonts w:ascii="Arial" w:cs="Arial" w:eastAsia="Arial" w:hAnsi="Arial"/>
          <w:sz w:val="18"/>
          <w:szCs w:val="18"/>
          <w:color w:val="auto"/>
        </w:rPr>
        <w:t>: Phase 1 clinical trial dosing initiated in the third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initiation of an anti-PD-1 combination trial in the first half of 2017;</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 (TSR-033)</w:t>
      </w:r>
      <w:r>
        <w:rPr>
          <w:rFonts w:ascii="Arial" w:cs="Arial" w:eastAsia="Arial" w:hAnsi="Arial"/>
          <w:sz w:val="18"/>
          <w:szCs w:val="18"/>
          <w:color w:val="auto"/>
        </w:rPr>
        <w:t>: currently in preclinical development, expect the initiation of a Phase 1 trial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of 2017;</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left="200" w:firstLine="443"/>
        <w:spacing w:after="0" w:line="276" w:lineRule="auto"/>
        <w:rPr>
          <w:sz w:val="20"/>
          <w:szCs w:val="20"/>
          <w:color w:val="auto"/>
        </w:rPr>
      </w:pPr>
      <w:r>
        <w:rPr>
          <w:rFonts w:ascii="Arial" w:cs="Arial" w:eastAsia="Arial" w:hAnsi="Arial"/>
          <w:sz w:val="17"/>
          <w:szCs w:val="17"/>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and has completed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under GLP, cleared a U.S. IND with the FDA and initiated a Phase 1 trial for one of these two antibodies.</w:t>
      </w:r>
    </w:p>
    <w:p>
      <w:pPr>
        <w:sectPr>
          <w:pgSz w:w="11900" w:h="16838" w:orient="portrait"/>
          <w:cols w:equalWidth="0" w:num="1">
            <w:col w:w="11240"/>
          </w:cols>
          <w:pgMar w:left="240" w:top="459"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-119380</wp:posOffset>
            </wp:positionV>
            <wp:extent cx="1270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1051560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-119380</wp:posOffset>
            </wp:positionV>
            <wp:extent cx="1270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10515600"/>
                    </a:xfrm>
                    <a:prstGeom prst="rect">
                      <a:avLst/>
                    </a:prstGeom>
                    <a:noFill/>
                  </pic:spPr>
                </pic:pic>
              </a:graphicData>
            </a:graphic>
          </wp:anchor>
        </w:drawing>
      </w:r>
    </w:p>
    <w:p>
      <w:pPr>
        <w:spacing w:after="0" w:line="10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chart describes key milestones we have achieved since July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907415</wp:posOffset>
            </wp:positionH>
            <wp:positionV relativeFrom="paragraph">
              <wp:posOffset>184150</wp:posOffset>
            </wp:positionV>
            <wp:extent cx="5213985" cy="4013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4013200"/>
                    </a:xfrm>
                    <a:prstGeom prst="rect">
                      <a:avLst/>
                    </a:prstGeom>
                    <a:noFill/>
                  </pic:spPr>
                </pic:pic>
              </a:graphicData>
            </a:graphic>
          </wp:anchor>
        </w:drawing>
      </w:r>
    </w:p>
    <w:p>
      <w:pPr>
        <w:sectPr>
          <w:pgSz w:w="11900" w:h="16838" w:orient="portrait"/>
          <w:cols w:equalWidth="0" w:num="1">
            <w:col w:w="10019"/>
          </w:cols>
          <w:pgMar w:left="440" w:top="121" w:right="1440" w:bottom="1440" w:gutter="0" w:footer="0" w:header="0"/>
        </w:sectPr>
      </w:pPr>
    </w:p>
    <w:bookmarkStart w:id="9" w:name="page10"/>
    <w:bookmarkEnd w:id="9"/>
    <w:p>
      <w:pPr>
        <w:ind w:left="440"/>
        <w:spacing w:after="0"/>
        <w:rPr>
          <w:sz w:val="20"/>
          <w:szCs w:val="20"/>
          <w:color w:val="auto"/>
        </w:rPr>
      </w:pPr>
      <w:r>
        <w:rPr>
          <w:rFonts w:ascii="Arial" w:cs="Arial" w:eastAsia="Arial" w:hAnsi="Arial"/>
          <w:sz w:val="18"/>
          <w:szCs w:val="18"/>
          <w:color w:val="auto"/>
        </w:rPr>
        <w:t>The following chart describes milestones anticipated during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-121920</wp:posOffset>
            </wp:positionV>
            <wp:extent cx="7276465" cy="8869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8869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0" w:firstLine="443"/>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860" w:hanging="323"/>
        <w:spacing w:after="0" w:line="286"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wholly-owned lead product candidates to clinical milestones. </w:t>
      </w:r>
      <w:r>
        <w:rPr>
          <w:rFonts w:ascii="Arial" w:cs="Arial" w:eastAsia="Arial" w:hAnsi="Arial"/>
          <w:sz w:val="16"/>
          <w:szCs w:val="16"/>
          <w:color w:val="auto"/>
        </w:rPr>
        <w:t>We are working to demonstrate the safety and efficacy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our wholly-owned pipeline programs, and have completed a Phase 1 trial of ANB020 in healthy volunteers in Australia, which we believe has demonstrated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We have a cleared U.S. IND and U.K. CTA to initiate Phase 2a trials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We have also submitted an Australian CTN and, if cleared, we plan to initiate a Phase 1 healthy volunteer trial for ANB019 in the first half of 2017, and anticipate announcing top-line data from this trial during the second half of 2017. We subsequently plan to seek regulatory clearance to initiate Phase 2 studies of ANB019 in GPP and PPP patients during 2018. For both ANB020 and ANB019, we are conducting, or plan to conduct, our initial clinical trials in Australia, and we plan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77" w:lineRule="exact"/>
        <w:rPr>
          <w:rFonts w:ascii="Arial" w:cs="Arial" w:eastAsia="Arial" w:hAnsi="Arial"/>
          <w:sz w:val="16"/>
          <w:szCs w:val="16"/>
          <w:color w:val="auto"/>
        </w:rPr>
      </w:pPr>
    </w:p>
    <w:p>
      <w:pPr>
        <w:ind w:left="860" w:right="20" w:hanging="323"/>
        <w:spacing w:after="0" w:line="261"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ectPr>
          <w:pgSz w:w="11900" w:h="16838" w:orient="portrait"/>
          <w:cols w:equalWidth="0" w:num="1">
            <w:col w:w="11040"/>
          </w:cols>
          <w:pgMar w:left="44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040"/>
          </w:cols>
          <w:pgMar w:left="440" w:top="125"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0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2609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hanging="323"/>
        <w:spacing w:after="0" w:line="277"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1060" w:right="40" w:hanging="323"/>
        <w:spacing w:after="0" w:line="281"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w:t>
      </w:r>
      <w:r>
        <w:rPr>
          <w:rFonts w:ascii="Arial" w:cs="Arial" w:eastAsia="Arial" w:hAnsi="Arial"/>
          <w:sz w:val="17"/>
          <w:szCs w:val="17"/>
          <w:b w:val="1"/>
          <w:bCs w:val="1"/>
          <w:color w:val="auto"/>
        </w:rPr>
        <w:t xml:space="preserve"> </w:t>
      </w:r>
      <w:r>
        <w:rPr>
          <w:rFonts w:ascii="Arial" w:cs="Arial" w:eastAsia="Arial" w:hAnsi="Arial"/>
          <w:sz w:val="17"/>
          <w:szCs w:val="17"/>
          <w:color w:val="auto"/>
        </w:rPr>
        <w:t>key preclinical and clinical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121" w:lineRule="exact"/>
        <w:rPr>
          <w:sz w:val="20"/>
          <w:szCs w:val="20"/>
          <w:color w:val="auto"/>
        </w:rPr>
      </w:pPr>
    </w:p>
    <w:p>
      <w:pPr>
        <w:ind w:left="200" w:right="660" w:firstLine="443"/>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ind w:left="1060" w:right="7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1060" w:right="300" w:hanging="323"/>
        <w:spacing w:after="0" w:line="31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recently initiated dosing of ANB020 in humans and have never dosed any of our other wholly-owned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2" w:lineRule="exact"/>
        <w:rPr>
          <w:rFonts w:ascii="Arial" w:cs="Arial" w:eastAsia="Arial" w:hAnsi="Arial"/>
          <w:sz w:val="16"/>
          <w:szCs w:val="16"/>
          <w:color w:val="auto"/>
        </w:rPr>
      </w:pPr>
    </w:p>
    <w:p>
      <w:pPr>
        <w:ind w:left="1060" w:right="20" w:hanging="323"/>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1060" w:right="34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 to build a pipeline of product candidates and develop marketable products.</w:t>
      </w:r>
    </w:p>
    <w:p>
      <w:pPr>
        <w:spacing w:after="0" w:line="75" w:lineRule="exact"/>
        <w:rPr>
          <w:rFonts w:ascii="Arial" w:cs="Arial" w:eastAsia="Arial" w:hAnsi="Arial"/>
          <w:sz w:val="18"/>
          <w:szCs w:val="18"/>
          <w:color w:val="auto"/>
        </w:rPr>
      </w:pPr>
    </w:p>
    <w:p>
      <w:pPr>
        <w:ind w:left="1060" w:right="2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1060" w:right="420" w:hanging="323"/>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1060" w:right="220" w:hanging="323"/>
        <w:spacing w:after="0" w:line="308"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2" w:lineRule="exact"/>
        <w:rPr>
          <w:sz w:val="20"/>
          <w:szCs w:val="20"/>
          <w:color w:val="auto"/>
        </w:rPr>
      </w:pPr>
    </w:p>
    <w:p>
      <w:pPr>
        <w:jc w:val="both"/>
        <w:ind w:left="1060" w:right="180" w:hanging="319"/>
        <w:spacing w:after="0" w:line="264" w:lineRule="auto"/>
        <w:tabs>
          <w:tab w:leader="none" w:pos="1040" w:val="left"/>
        </w:tabs>
        <w:rPr>
          <w:sz w:val="20"/>
          <w:szCs w:val="20"/>
          <w:color w:val="auto"/>
        </w:rPr>
      </w:pPr>
      <w:r>
        <w:rPr>
          <w:rFonts w:ascii="Arial" w:cs="Arial" w:eastAsia="Arial" w:hAnsi="Arial"/>
          <w:sz w:val="18"/>
          <w:szCs w:val="18"/>
          <w:color w:val="auto"/>
        </w:rPr>
        <w:t>•</w:t>
        <w:tab/>
        <w:t>Our executive officers, directors, current 5% or greater stockholders and entities affiliated with any of them, together will own % of our common stock after this offering based on the number of shares outstanding as of September 30, 2016; the concentration of our capital stock ownership will likely limit your ability to influence corporate matters.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71"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200" w:right="360" w:firstLine="443"/>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060" w:right="58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right="2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350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1350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8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50895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260"/>
          </w:cols>
          <w:pgMar w:left="240" w:top="459" w:right="399" w:bottom="1440" w:gutter="0" w:footer="0" w:header="0"/>
        </w:sect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of common stock offered by us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151" w:lineRule="exact"/>
        <w:rPr>
          <w:sz w:val="20"/>
          <w:szCs w:val="20"/>
          <w:color w:val="auto"/>
        </w:rPr>
      </w:pPr>
    </w:p>
    <w:p>
      <w:pPr>
        <w:sectPr>
          <w:pgSz w:w="11900" w:h="16838" w:orient="portrait"/>
          <w:cols w:equalWidth="0" w:num="2">
            <w:col w:w="4560" w:space="720"/>
            <w:col w:w="59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Option to purchase additional shares to be offered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w:t>
      </w:r>
    </w:p>
    <w:p>
      <w:pPr>
        <w:spacing w:after="0" w:line="151" w:lineRule="exact"/>
        <w:rPr>
          <w:sz w:val="20"/>
          <w:szCs w:val="20"/>
          <w:color w:val="auto"/>
        </w:rPr>
      </w:pPr>
    </w:p>
    <w:p>
      <w:pPr>
        <w:sectPr>
          <w:pgSz w:w="11900" w:h="16838" w:orient="portrait"/>
          <w:cols w:equalWidth="0" w:num="2">
            <w:col w:w="4560" w:space="720"/>
            <w:col w:w="5980"/>
          </w:cols>
          <w:pgMar w:left="240" w:top="459" w:right="39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Shares of common stock to be outstanding immediately</w:t>
      </w:r>
    </w:p>
    <w:p>
      <w:pPr>
        <w:spacing w:after="0" w:line="20" w:lineRule="exact"/>
        <w:rPr>
          <w:sz w:val="20"/>
          <w:szCs w:val="20"/>
          <w:color w:val="auto"/>
        </w:rPr>
      </w:pPr>
      <w:r>
        <w:rPr>
          <w:sz w:val="20"/>
          <w:szCs w:val="20"/>
          <w:color w:val="auto"/>
        </w:rPr>
        <w:br w:type="column"/>
      </w:r>
    </w:p>
    <w:p>
      <w:pPr>
        <w:spacing w:after="0"/>
        <w:tabs>
          <w:tab w:leader="none" w:pos="1080" w:val="left"/>
        </w:tabs>
        <w:rPr>
          <w:sz w:val="20"/>
          <w:szCs w:val="20"/>
          <w:color w:val="auto"/>
        </w:rPr>
      </w:pPr>
      <w:r>
        <w:rPr>
          <w:rFonts w:ascii="Arial" w:cs="Arial" w:eastAsia="Arial" w:hAnsi="Arial"/>
          <w:sz w:val="18"/>
          <w:szCs w:val="18"/>
          <w:color w:val="auto"/>
        </w:rPr>
        <w:t>shares (</w:t>
      </w:r>
      <w:r>
        <w:rPr>
          <w:sz w:val="20"/>
          <w:szCs w:val="20"/>
          <w:color w:val="auto"/>
        </w:rPr>
        <w:tab/>
      </w:r>
      <w:r>
        <w:rPr>
          <w:rFonts w:ascii="Arial" w:cs="Arial" w:eastAsia="Arial" w:hAnsi="Arial"/>
          <w:sz w:val="16"/>
          <w:szCs w:val="16"/>
          <w:color w:val="auto"/>
        </w:rPr>
        <w:t>shares if the underwriters exercise their option to purchase</w:t>
      </w:r>
    </w:p>
    <w:p>
      <w:pPr>
        <w:spacing w:after="0" w:line="23" w:lineRule="exact"/>
        <w:rPr>
          <w:sz w:val="20"/>
          <w:szCs w:val="20"/>
          <w:color w:val="auto"/>
        </w:rPr>
      </w:pPr>
    </w:p>
    <w:p>
      <w:pPr>
        <w:sectPr>
          <w:pgSz w:w="11900" w:h="16838" w:orient="portrait"/>
          <w:cols w:equalWidth="0" w:num="2">
            <w:col w:w="4560" w:space="720"/>
            <w:col w:w="5980"/>
          </w:cols>
          <w:pgMar w:left="240" w:top="459" w:right="399" w:bottom="1440" w:gutter="0" w:footer="0" w:header="0"/>
          <w:type w:val="continuous"/>
        </w:sectPr>
      </w:pPr>
    </w:p>
    <w:tbl>
      <w:tblPr>
        <w:tblLayout w:type="fixed"/>
        <w:tblInd w:w="20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after this offering</w:t>
            </w:r>
          </w:p>
        </w:tc>
        <w:tc>
          <w:tcPr>
            <w:tcW w:w="3200" w:type="dxa"/>
            <w:vAlign w:val="bottom"/>
            <w:gridSpan w:val="2"/>
          </w:tcPr>
          <w:p>
            <w:pPr>
              <w:ind w:left="920"/>
              <w:spacing w:after="0"/>
              <w:rPr>
                <w:sz w:val="20"/>
                <w:szCs w:val="20"/>
                <w:color w:val="auto"/>
              </w:rPr>
            </w:pPr>
            <w:r>
              <w:rPr>
                <w:rFonts w:ascii="Arial" w:cs="Arial" w:eastAsia="Arial" w:hAnsi="Arial"/>
                <w:sz w:val="18"/>
                <w:szCs w:val="18"/>
                <w:color w:val="auto"/>
              </w:rPr>
              <w:t>additional shares in full).</w:t>
            </w:r>
          </w:p>
        </w:tc>
        <w:tc>
          <w:tcPr>
            <w:tcW w:w="4240" w:type="dxa"/>
            <w:vAlign w:val="bottom"/>
          </w:tcPr>
          <w:p>
            <w:pPr>
              <w:spacing w:after="0"/>
              <w:rPr>
                <w:sz w:val="20"/>
                <w:szCs w:val="20"/>
                <w:color w:val="auto"/>
              </w:rPr>
            </w:pPr>
          </w:p>
        </w:tc>
      </w:tr>
      <w:tr>
        <w:trPr>
          <w:trHeight w:val="295"/>
        </w:trPr>
        <w:tc>
          <w:tcPr>
            <w:tcW w:w="3620" w:type="dxa"/>
            <w:vAlign w:val="bottom"/>
          </w:tcPr>
          <w:p>
            <w:pPr>
              <w:spacing w:after="0"/>
              <w:rPr>
                <w:sz w:val="20"/>
                <w:szCs w:val="20"/>
                <w:color w:val="auto"/>
              </w:rPr>
            </w:pPr>
            <w:r>
              <w:rPr>
                <w:rFonts w:ascii="Arial" w:cs="Arial" w:eastAsia="Arial" w:hAnsi="Arial"/>
                <w:sz w:val="18"/>
                <w:szCs w:val="18"/>
                <w:color w:val="auto"/>
              </w:rPr>
              <w:t>Voting rights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6"/>
              </w:rPr>
              <w:t>Upon the closing of this offering, each outstanding share of our convertible preferred</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8"/>
              </w:rPr>
              <w:t>stock will automatically convert into one share of common stock. Each share of our</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common stock is entitled to one vote on all matters submitted to a vote of stockholders,</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including the election of directors. See “Description of Capital Stock.”</w:t>
            </w: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Use of proceeds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We estimate that the net proceeds from this offering will be approximately $</w:t>
            </w:r>
          </w:p>
        </w:tc>
      </w:tr>
      <w:tr>
        <w:trPr>
          <w:trHeight w:val="216"/>
        </w:trPr>
        <w:tc>
          <w:tcPr>
            <w:tcW w:w="3620" w:type="dxa"/>
            <w:vAlign w:val="bottom"/>
          </w:tcPr>
          <w:p>
            <w:pPr>
              <w:spacing w:after="0"/>
              <w:rPr>
                <w:sz w:val="18"/>
                <w:szCs w:val="18"/>
                <w:color w:val="auto"/>
              </w:rPr>
            </w:pPr>
          </w:p>
        </w:tc>
        <w:tc>
          <w:tcPr>
            <w:tcW w:w="3200" w:type="dxa"/>
            <w:vAlign w:val="bottom"/>
            <w:gridSpan w:val="2"/>
          </w:tcPr>
          <w:p>
            <w:pPr>
              <w:ind w:left="920"/>
              <w:spacing w:after="0"/>
              <w:rPr>
                <w:sz w:val="20"/>
                <w:szCs w:val="20"/>
                <w:color w:val="auto"/>
              </w:rPr>
            </w:pPr>
            <w:r>
              <w:rPr>
                <w:rFonts w:ascii="Arial" w:cs="Arial" w:eastAsia="Arial" w:hAnsi="Arial"/>
                <w:sz w:val="18"/>
                <w:szCs w:val="18"/>
                <w:color w:val="auto"/>
              </w:rPr>
              <w:t>million (or approximately $</w:t>
            </w:r>
          </w:p>
        </w:tc>
        <w:tc>
          <w:tcPr>
            <w:tcW w:w="4240" w:type="dxa"/>
            <w:vAlign w:val="bottom"/>
          </w:tcPr>
          <w:p>
            <w:pPr>
              <w:ind w:left="300"/>
              <w:spacing w:after="0"/>
              <w:rPr>
                <w:sz w:val="20"/>
                <w:szCs w:val="20"/>
                <w:color w:val="auto"/>
              </w:rPr>
            </w:pPr>
            <w:r>
              <w:rPr>
                <w:rFonts w:ascii="Arial" w:cs="Arial" w:eastAsia="Arial" w:hAnsi="Arial"/>
                <w:sz w:val="18"/>
                <w:szCs w:val="18"/>
                <w:color w:val="auto"/>
              </w:rPr>
              <w:t>million if the underwriters exercise their option to</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9"/>
              </w:rPr>
              <w:t>purchase additional shares in full), based upon the assumed initial offering price of</w:t>
            </w:r>
          </w:p>
        </w:tc>
      </w:tr>
      <w:tr>
        <w:trPr>
          <w:trHeight w:val="216"/>
        </w:trPr>
        <w:tc>
          <w:tcPr>
            <w:tcW w:w="3620" w:type="dxa"/>
            <w:vAlign w:val="bottom"/>
          </w:tcPr>
          <w:p>
            <w:pPr>
              <w:spacing w:after="0"/>
              <w:rPr>
                <w:sz w:val="18"/>
                <w:szCs w:val="18"/>
                <w:color w:val="auto"/>
              </w:rPr>
            </w:pPr>
          </w:p>
        </w:tc>
        <w:tc>
          <w:tcPr>
            <w:tcW w:w="1300" w:type="dxa"/>
            <w:vAlign w:val="bottom"/>
          </w:tcPr>
          <w:p>
            <w:pPr>
              <w:ind w:left="920"/>
              <w:spacing w:after="0"/>
              <w:rPr>
                <w:sz w:val="20"/>
                <w:szCs w:val="20"/>
                <w:color w:val="auto"/>
              </w:rPr>
            </w:pPr>
            <w:r>
              <w:rPr>
                <w:rFonts w:ascii="Arial" w:cs="Arial" w:eastAsia="Arial" w:hAnsi="Arial"/>
                <w:sz w:val="18"/>
                <w:szCs w:val="18"/>
                <w:color w:val="auto"/>
              </w:rPr>
              <w:t>$</w:t>
            </w:r>
          </w:p>
        </w:tc>
        <w:tc>
          <w:tcPr>
            <w:tcW w:w="6140" w:type="dxa"/>
            <w:vAlign w:val="bottom"/>
            <w:gridSpan w:val="2"/>
          </w:tcPr>
          <w:p>
            <w:pPr>
              <w:ind w:left="300"/>
              <w:spacing w:after="0"/>
              <w:rPr>
                <w:sz w:val="20"/>
                <w:szCs w:val="20"/>
                <w:color w:val="auto"/>
              </w:rPr>
            </w:pPr>
            <w:r>
              <w:rPr>
                <w:rFonts w:ascii="Arial" w:cs="Arial" w:eastAsia="Arial" w:hAnsi="Arial"/>
                <w:sz w:val="18"/>
                <w:szCs w:val="18"/>
                <w:color w:val="auto"/>
                <w:w w:val="90"/>
              </w:rPr>
              <w:t>per share, which is the midpoint of the estimated offering price range set forth on</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3"/>
              </w:rPr>
              <w:t>the cover page of this prospectus, after deducting estimated underwriting discounts and</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commissions and estimated offering expenses payable by us.</w:t>
            </w:r>
          </w:p>
        </w:tc>
      </w:tr>
      <w:tr>
        <w:trPr>
          <w:trHeight w:val="310"/>
        </w:trPr>
        <w:tc>
          <w:tcPr>
            <w:tcW w:w="3620" w:type="dxa"/>
            <w:vAlign w:val="bottom"/>
          </w:tcPr>
          <w:p>
            <w:pPr>
              <w:spacing w:after="0"/>
              <w:rPr>
                <w:sz w:val="24"/>
                <w:szCs w:val="24"/>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4"/>
              </w:rPr>
              <w:t>We intend to use the net proceeds that we receive in this offering for product discovery</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88"/>
              </w:rPr>
              <w:t>and development and general corporate purposes. We may use a portion of the proceeds to</w:t>
            </w:r>
          </w:p>
        </w:tc>
      </w:tr>
      <w:tr>
        <w:trPr>
          <w:trHeight w:val="216"/>
        </w:trPr>
        <w:tc>
          <w:tcPr>
            <w:tcW w:w="3620" w:type="dxa"/>
            <w:vAlign w:val="bottom"/>
          </w:tcPr>
          <w:p>
            <w:pPr>
              <w:spacing w:after="0"/>
              <w:rPr>
                <w:sz w:val="18"/>
                <w:szCs w:val="18"/>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4"/>
              </w:rPr>
              <w:t>acquire other complementary businesses or technologies. See “Use of Proceeds” for a</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more complete description of the intended use of proceeds from this offering.</w:t>
            </w:r>
          </w:p>
        </w:tc>
      </w:tr>
      <w:tr>
        <w:trPr>
          <w:trHeight w:val="310"/>
        </w:trPr>
        <w:tc>
          <w:tcPr>
            <w:tcW w:w="3620" w:type="dxa"/>
            <w:vAlign w:val="bottom"/>
          </w:tcPr>
          <w:p>
            <w:pPr>
              <w:spacing w:after="0"/>
              <w:rPr>
                <w:sz w:val="20"/>
                <w:szCs w:val="20"/>
                <w:color w:val="auto"/>
              </w:rPr>
            </w:pPr>
            <w:r>
              <w:rPr>
                <w:rFonts w:ascii="Arial" w:cs="Arial" w:eastAsia="Arial" w:hAnsi="Arial"/>
                <w:sz w:val="18"/>
                <w:szCs w:val="18"/>
                <w:color w:val="auto"/>
              </w:rPr>
              <w:t>Risk factors</w:t>
            </w: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w w:val="90"/>
              </w:rPr>
              <w:t>You should read the “Risk Factors” section of this prospectus for a discussion of factors to</w:t>
            </w:r>
          </w:p>
        </w:tc>
      </w:tr>
      <w:tr>
        <w:trPr>
          <w:trHeight w:val="230"/>
        </w:trPr>
        <w:tc>
          <w:tcPr>
            <w:tcW w:w="3620" w:type="dxa"/>
            <w:vAlign w:val="bottom"/>
          </w:tcPr>
          <w:p>
            <w:pPr>
              <w:spacing w:after="0"/>
              <w:rPr>
                <w:sz w:val="20"/>
                <w:szCs w:val="20"/>
                <w:color w:val="auto"/>
              </w:rPr>
            </w:pPr>
          </w:p>
        </w:tc>
        <w:tc>
          <w:tcPr>
            <w:tcW w:w="7440" w:type="dxa"/>
            <w:vAlign w:val="bottom"/>
            <w:gridSpan w:val="3"/>
          </w:tcPr>
          <w:p>
            <w:pPr>
              <w:ind w:left="920"/>
              <w:spacing w:after="0"/>
              <w:rPr>
                <w:sz w:val="20"/>
                <w:szCs w:val="20"/>
                <w:color w:val="auto"/>
              </w:rPr>
            </w:pPr>
            <w:r>
              <w:rPr>
                <w:rFonts w:ascii="Arial" w:cs="Arial" w:eastAsia="Arial" w:hAnsi="Arial"/>
                <w:sz w:val="18"/>
                <w:szCs w:val="18"/>
                <w:color w:val="auto"/>
              </w:rPr>
              <w:t>consider carefully before deciding to invest in shares of our common stock.</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3200" w:type="dxa"/>
            <w:vAlign w:val="bottom"/>
            <w:gridSpan w:val="2"/>
          </w:tcPr>
          <w:p>
            <w:pPr>
              <w:ind w:left="920"/>
              <w:spacing w:after="0"/>
              <w:rPr>
                <w:sz w:val="20"/>
                <w:szCs w:val="20"/>
                <w:color w:val="auto"/>
              </w:rPr>
            </w:pPr>
            <w:r>
              <w:rPr>
                <w:rFonts w:ascii="Arial" w:cs="Arial" w:eastAsia="Arial" w:hAnsi="Arial"/>
                <w:sz w:val="18"/>
                <w:szCs w:val="18"/>
                <w:color w:val="auto"/>
              </w:rPr>
              <w:t>“ANAB.”</w:t>
            </w:r>
          </w:p>
        </w:tc>
        <w:tc>
          <w:tcPr>
            <w:tcW w:w="4240" w:type="dxa"/>
            <w:vAlign w:val="bottom"/>
          </w:tcPr>
          <w:p>
            <w:pPr>
              <w:spacing w:after="0"/>
              <w:rPr>
                <w:sz w:val="24"/>
                <w:szCs w:val="24"/>
                <w:color w:val="auto"/>
              </w:rPr>
            </w:pPr>
          </w:p>
        </w:tc>
      </w:tr>
    </w:tbl>
    <w:p>
      <w:pPr>
        <w:spacing w:after="0" w:line="94"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99,115,774 shares of our common stock outstanding as of September 30, 2016, and excludes:</w:t>
      </w:r>
    </w:p>
    <w:p>
      <w:pPr>
        <w:spacing w:after="0" w:line="76" w:lineRule="exact"/>
        <w:rPr>
          <w:sz w:val="20"/>
          <w:szCs w:val="20"/>
          <w:color w:val="auto"/>
        </w:rPr>
      </w:pPr>
    </w:p>
    <w:p>
      <w:pPr>
        <w:ind w:left="1060" w:right="28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12,997,698 shares of common stock issuable upon the exercise of options outstanding as of September 30, 2016, with a weighted-average exercise price of $0.59 per share;</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362,000 shares of common stock issuable upon the exercise of options granted after September 30, 2016, with an exercise price of $1.60 per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490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3949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00" w:hanging="863"/>
        <w:spacing w:after="0"/>
        <w:tabs>
          <w:tab w:leader="none" w:pos="1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3,593,212 shares of</w:t>
      </w:r>
    </w:p>
    <w:p>
      <w:pPr>
        <w:spacing w:after="0" w:line="46" w:lineRule="exact"/>
        <w:rPr>
          <w:sz w:val="20"/>
          <w:szCs w:val="20"/>
          <w:color w:val="auto"/>
        </w:rPr>
      </w:pPr>
    </w:p>
    <w:p>
      <w:pPr>
        <w:ind w:left="1060" w:right="22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September 30, 2016, (b) shares of common stock reserved for future issuance under our 2016 Equity Incentive Plan, which will become effective on the date immediately prior to the</w:t>
      </w:r>
    </w:p>
    <w:p>
      <w:pPr>
        <w:spacing w:after="0" w:line="1" w:lineRule="exact"/>
        <w:rPr>
          <w:sz w:val="20"/>
          <w:szCs w:val="20"/>
          <w:color w:val="auto"/>
        </w:rPr>
      </w:pPr>
    </w:p>
    <w:p>
      <w:pPr>
        <w:ind w:left="1060"/>
        <w:spacing w:after="0" w:line="252" w:lineRule="auto"/>
        <w:rPr>
          <w:sz w:val="20"/>
          <w:szCs w:val="20"/>
          <w:color w:val="auto"/>
        </w:rPr>
      </w:pPr>
      <w:r>
        <w:rPr>
          <w:rFonts w:ascii="Arial" w:cs="Arial" w:eastAsia="Arial" w:hAnsi="Arial"/>
          <w:sz w:val="18"/>
          <w:szCs w:val="18"/>
          <w:color w:val="auto"/>
        </w:rPr>
        <w:t>date of this prospectus and (c) shares of common stock reserved for future issuance under our 2016 Employee Stock Purchase Plan, which will become effective on the date of this prospectus. Upon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 Employee Benefit and Stock Plans;”</w:t>
      </w:r>
    </w:p>
    <w:p>
      <w:pPr>
        <w:spacing w:after="0" w:line="100" w:lineRule="exact"/>
        <w:rPr>
          <w:sz w:val="20"/>
          <w:szCs w:val="20"/>
          <w:color w:val="auto"/>
        </w:rPr>
      </w:pPr>
    </w:p>
    <w:p>
      <w:pPr>
        <w:ind w:left="1060" w:right="380" w:hanging="323"/>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1060" w:right="40" w:hanging="323"/>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our Series C convertible preferred stock that were outstanding as of September 30, 2016, with an exercise price of $0.65 per share, that do not expire upon the closing of this offering.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right="700" w:hanging="323"/>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September 30, 2016 into an aggregate of 80,645,051 shares of common stock immediately prior to the closing of this offering;</w:t>
      </w:r>
    </w:p>
    <w:p>
      <w:pPr>
        <w:spacing w:after="0" w:line="76" w:lineRule="exact"/>
        <w:rPr>
          <w:sz w:val="20"/>
          <w:szCs w:val="20"/>
          <w:color w:val="auto"/>
        </w:rPr>
      </w:pPr>
    </w:p>
    <w:p>
      <w:pPr>
        <w:ind w:left="1060" w:right="600" w:hanging="319"/>
        <w:spacing w:after="0" w:line="277" w:lineRule="auto"/>
        <w:tabs>
          <w:tab w:leader="none" w:pos="1040" w:val="left"/>
        </w:tabs>
        <w:rPr>
          <w:sz w:val="20"/>
          <w:szCs w:val="20"/>
          <w:color w:val="auto"/>
        </w:rPr>
      </w:pPr>
      <w:r>
        <w:rPr>
          <w:rFonts w:ascii="Arial" w:cs="Arial" w:eastAsia="Arial" w:hAnsi="Arial"/>
          <w:sz w:val="18"/>
          <w:szCs w:val="18"/>
          <w:color w:val="auto"/>
        </w:rPr>
        <w:t>•</w:t>
        <w:tab/>
        <w:t>a -for- reverse stock split of our common stock and convertible preferred stock, which will become effective prior to the completion of this offering;</w:t>
      </w:r>
    </w:p>
    <w:p>
      <w:pPr>
        <w:spacing w:after="0" w:line="76" w:lineRule="exact"/>
        <w:rPr>
          <w:sz w:val="20"/>
          <w:szCs w:val="20"/>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in connection with the closing of this offering;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September 30, 2016;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73621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7362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0" w:firstLine="443"/>
        <w:spacing w:after="0" w:line="287" w:lineRule="auto"/>
        <w:rPr>
          <w:sz w:val="20"/>
          <w:szCs w:val="20"/>
          <w:color w:val="auto"/>
        </w:rPr>
      </w:pPr>
      <w:r>
        <w:rPr>
          <w:rFonts w:ascii="Arial" w:cs="Arial" w:eastAsia="Arial" w:hAnsi="Arial"/>
          <w:sz w:val="16"/>
          <w:szCs w:val="16"/>
          <w:color w:val="auto"/>
        </w:rPr>
        <w:t>The summary statements of operations data presented below for the years ended December 31, 2014 and 2015 are derived from our audited financial statements included elsewhere in this prospectus. The selected consolidated statements of operations data for the nine months ended September 30, 2015 and 2016 and the summary consolidated balance sheet data as of September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6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02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5,483</w:t>
            </w:r>
          </w:p>
        </w:tc>
        <w:tc>
          <w:tcPr>
            <w:tcW w:w="12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15,838</w:t>
            </w:r>
          </w:p>
        </w:tc>
        <w:tc>
          <w:tcPr>
            <w:tcW w:w="2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17,571</w:t>
            </w:r>
          </w:p>
        </w:tc>
        <w:tc>
          <w:tcPr>
            <w:tcW w:w="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13,517</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10,732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ind w:left="1060"/>
              <w:spacing w:after="0"/>
              <w:rPr>
                <w:sz w:val="20"/>
                <w:szCs w:val="20"/>
                <w:color w:val="auto"/>
              </w:rPr>
            </w:pPr>
            <w:r>
              <w:rPr>
                <w:rFonts w:ascii="Arial" w:cs="Arial" w:eastAsia="Arial" w:hAnsi="Arial"/>
                <w:sz w:val="18"/>
                <w:szCs w:val="18"/>
                <w:color w:val="auto"/>
              </w:rPr>
              <w:t>Total operating expenses</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13,247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operations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other income (expense), net</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before income taxes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060"/>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Net income attributed to participating securities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w w:val="99"/>
              </w:rPr>
              <w:t>(319)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(5,405)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(1,893)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Net income (loss) per common share: </w:t>
            </w:r>
            <w:r>
              <w:rPr>
                <w:rFonts w:ascii="Arial" w:cs="Arial" w:eastAsia="Arial" w:hAnsi="Arial"/>
                <w:sz w:val="15"/>
                <w:szCs w:val="15"/>
                <w:color w:val="auto"/>
              </w:rPr>
              <w:t>(1)</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2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Weighted-average number of shares outstanding: </w:t>
            </w:r>
            <w:r>
              <w:rPr>
                <w:rFonts w:ascii="Arial" w:cs="Arial" w:eastAsia="Arial" w:hAnsi="Arial"/>
                <w:sz w:val="15"/>
                <w:szCs w:val="15"/>
                <w:color w:val="auto"/>
              </w:rPr>
              <w:t>(1)</w:t>
            </w: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17,368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17,857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17,857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Pro forma net income (loss) per common share (unaudited): </w:t>
            </w:r>
            <w:r>
              <w:rPr>
                <w:rFonts w:ascii="Arial" w:cs="Arial" w:eastAsia="Arial" w:hAnsi="Arial"/>
                <w:sz w:val="15"/>
                <w:szCs w:val="15"/>
                <w:color w:val="auto"/>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Basic and diluted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Pro forma weighted-average number of shares outstanding (unaudited): </w:t>
            </w:r>
            <w:r>
              <w:rPr>
                <w:rFonts w:ascii="Arial" w:cs="Arial" w:eastAsia="Arial" w:hAnsi="Arial"/>
                <w:sz w:val="15"/>
                <w:szCs w:val="15"/>
                <w:color w:val="auto"/>
              </w:rPr>
              <w:t>(1)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77,926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77,926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104,906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20" w:hanging="427"/>
        <w:spacing w:after="0" w:line="26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See Note 2 to our annual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63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386334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0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As of</w:t>
            </w: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7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September 30, 2016</w:t>
            </w: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4"/>
              </w:rPr>
              <w:t>(unaudited)</w:t>
            </w:r>
          </w:p>
        </w:tc>
        <w:tc>
          <w:tcPr>
            <w:tcW w:w="1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Actual</w:t>
            </w:r>
          </w:p>
        </w:tc>
        <w:tc>
          <w:tcPr>
            <w:tcW w:w="17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xml:space="preserve">Pro Forma </w:t>
            </w:r>
            <w:r>
              <w:rPr>
                <w:rFonts w:ascii="Arial" w:cs="Arial" w:eastAsia="Arial" w:hAnsi="Arial"/>
                <w:sz w:val="12"/>
                <w:szCs w:val="12"/>
                <w:b w:val="1"/>
                <w:bCs w:val="1"/>
                <w:color w:val="auto"/>
              </w:rPr>
              <w:t>(1)</w:t>
            </w:r>
          </w:p>
        </w:tc>
        <w:tc>
          <w:tcPr>
            <w:tcW w:w="1100" w:type="dxa"/>
            <w:vAlign w:val="bottom"/>
          </w:tcPr>
          <w:p>
            <w:pPr>
              <w:jc w:val="center"/>
              <w:ind w:left="131"/>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40" w:type="dxa"/>
            <w:vAlign w:val="bottom"/>
            <w:gridSpan w:val="2"/>
          </w:tcPr>
          <w:p>
            <w:pPr>
              <w:jc w:val="center"/>
              <w:ind w:left="111"/>
              <w:spacing w:after="0"/>
              <w:rPr>
                <w:sz w:val="20"/>
                <w:szCs w:val="20"/>
                <w:color w:val="auto"/>
              </w:rPr>
            </w:pPr>
            <w:r>
              <w:rPr>
                <w:rFonts w:ascii="Arial" w:cs="Arial" w:eastAsia="Arial" w:hAnsi="Arial"/>
                <w:sz w:val="14"/>
                <w:szCs w:val="14"/>
                <w:b w:val="1"/>
                <w:bCs w:val="1"/>
                <w:color w:val="auto"/>
                <w:w w:val="94"/>
              </w:rPr>
              <w:t xml:space="preserve">Adjusted </w:t>
            </w:r>
            <w:r>
              <w:rPr>
                <w:rFonts w:ascii="Arial" w:cs="Arial" w:eastAsia="Arial" w:hAnsi="Arial"/>
                <w:sz w:val="12"/>
                <w:szCs w:val="12"/>
                <w:b w:val="1"/>
                <w:bCs w:val="1"/>
                <w:color w:val="auto"/>
                <w:w w:val="94"/>
              </w:rPr>
              <w:t>(2)(3)</w:t>
            </w:r>
          </w:p>
        </w:tc>
        <w:tc>
          <w:tcPr>
            <w:tcW w:w="0" w:type="dxa"/>
            <w:vAlign w:val="bottom"/>
          </w:tcPr>
          <w:p>
            <w:pPr>
              <w:spacing w:after="0"/>
              <w:rPr>
                <w:sz w:val="1"/>
                <w:szCs w:val="1"/>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9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47,134</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55,837</w:t>
            </w: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3,393</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9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rPr>
              <w:t>1,214</w:t>
            </w: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tcPr>
          <w:p>
            <w:pPr>
              <w:jc w:val="right"/>
              <w:ind w:right="273"/>
              <w:spacing w:after="0"/>
              <w:rPr>
                <w:sz w:val="20"/>
                <w:szCs w:val="20"/>
                <w:color w:val="auto"/>
              </w:rPr>
            </w:pPr>
            <w:r>
              <w:rPr>
                <w:rFonts w:ascii="Arial" w:cs="Arial" w:eastAsia="Arial" w:hAnsi="Arial"/>
                <w:sz w:val="18"/>
                <w:szCs w:val="18"/>
                <w:color w:val="auto"/>
              </w:rPr>
              <w:t>77,516</w:t>
            </w:r>
          </w:p>
        </w:tc>
        <w:tc>
          <w:tcPr>
            <w:tcW w:w="1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8"/>
              </w:rPr>
              <w:t>(33,973)</w:t>
            </w: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hanging="423"/>
        <w:spacing w:after="0"/>
        <w:tabs>
          <w:tab w:leader="none" w:pos="6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 forma consolidated balance sheet data give effect to: (i) the automatic conversion of all outstanding shares of our convertible preferred</w:t>
      </w:r>
    </w:p>
    <w:p>
      <w:pPr>
        <w:spacing w:after="0" w:line="4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0680" w:type="dxa"/>
            <w:vAlign w:val="bottom"/>
            <w:gridSpan w:val="6"/>
          </w:tcPr>
          <w:p>
            <w:pPr>
              <w:ind w:left="100"/>
              <w:spacing w:after="0"/>
              <w:rPr>
                <w:sz w:val="20"/>
                <w:szCs w:val="20"/>
                <w:color w:val="auto"/>
              </w:rPr>
            </w:pPr>
            <w:r>
              <w:rPr>
                <w:rFonts w:ascii="Arial" w:cs="Arial" w:eastAsia="Arial" w:hAnsi="Arial"/>
                <w:sz w:val="18"/>
                <w:szCs w:val="18"/>
                <w:color w:val="auto"/>
                <w:w w:val="91"/>
              </w:rPr>
              <w:t>stock as of September 30, 2016 into 80,645,051 shares of common stock immediately prior to the closing of this offering and (ii) the conversion of</w:t>
            </w:r>
          </w:p>
        </w:tc>
      </w:tr>
      <w:tr>
        <w:trPr>
          <w:trHeight w:val="216"/>
        </w:trPr>
        <w:tc>
          <w:tcPr>
            <w:tcW w:w="320" w:type="dxa"/>
            <w:vAlign w:val="bottom"/>
          </w:tcPr>
          <w:p>
            <w:pPr>
              <w:spacing w:after="0"/>
              <w:rPr>
                <w:sz w:val="18"/>
                <w:szCs w:val="18"/>
                <w:color w:val="auto"/>
              </w:rPr>
            </w:pPr>
          </w:p>
        </w:tc>
        <w:tc>
          <w:tcPr>
            <w:tcW w:w="10680" w:type="dxa"/>
            <w:vAlign w:val="bottom"/>
            <w:gridSpan w:val="6"/>
          </w:tcPr>
          <w:p>
            <w:pPr>
              <w:ind w:left="100"/>
              <w:spacing w:after="0"/>
              <w:rPr>
                <w:sz w:val="20"/>
                <w:szCs w:val="20"/>
                <w:color w:val="auto"/>
              </w:rPr>
            </w:pPr>
            <w:r>
              <w:rPr>
                <w:rFonts w:ascii="Arial" w:cs="Arial" w:eastAsia="Arial" w:hAnsi="Arial"/>
                <w:sz w:val="18"/>
                <w:szCs w:val="18"/>
                <w:color w:val="auto"/>
                <w:w w:val="92"/>
              </w:rPr>
              <w:t>the preferred stock warrants into common stock warrants and the related reclassification of the preferred stock warrant liability to additional paid-</w:t>
            </w:r>
          </w:p>
        </w:tc>
      </w:tr>
      <w:tr>
        <w:trPr>
          <w:trHeight w:val="216"/>
        </w:trPr>
        <w:tc>
          <w:tcPr>
            <w:tcW w:w="320" w:type="dxa"/>
            <w:vAlign w:val="bottom"/>
          </w:tcPr>
          <w:p>
            <w:pPr>
              <w:spacing w:after="0"/>
              <w:rPr>
                <w:sz w:val="18"/>
                <w:szCs w:val="18"/>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in capital.</w:t>
            </w: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6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7620" w:type="dxa"/>
            <w:vAlign w:val="bottom"/>
            <w:gridSpan w:val="5"/>
          </w:tcPr>
          <w:p>
            <w:pPr>
              <w:ind w:left="100"/>
              <w:spacing w:after="0"/>
              <w:rPr>
                <w:sz w:val="20"/>
                <w:szCs w:val="20"/>
                <w:color w:val="auto"/>
              </w:rPr>
            </w:pPr>
            <w:r>
              <w:rPr>
                <w:rFonts w:ascii="Arial" w:cs="Arial" w:eastAsia="Arial" w:hAnsi="Arial"/>
                <w:sz w:val="18"/>
                <w:szCs w:val="18"/>
                <w:color w:val="auto"/>
                <w:w w:val="92"/>
              </w:rPr>
              <w:t>The pro forma as adjusted balance sheet data give effect to the pro forma adjustments and the sale of</w:t>
            </w:r>
          </w:p>
        </w:tc>
        <w:tc>
          <w:tcPr>
            <w:tcW w:w="3060" w:type="dxa"/>
            <w:vAlign w:val="bottom"/>
          </w:tcPr>
          <w:p>
            <w:pPr>
              <w:jc w:val="right"/>
              <w:ind w:right="30"/>
              <w:spacing w:after="0"/>
              <w:rPr>
                <w:sz w:val="20"/>
                <w:szCs w:val="20"/>
                <w:color w:val="auto"/>
              </w:rPr>
            </w:pPr>
            <w:r>
              <w:rPr>
                <w:rFonts w:ascii="Arial" w:cs="Arial" w:eastAsia="Arial" w:hAnsi="Arial"/>
                <w:sz w:val="18"/>
                <w:szCs w:val="18"/>
                <w:color w:val="auto"/>
                <w:w w:val="98"/>
              </w:rPr>
              <w:t>shares of common stock by us in this</w:t>
            </w:r>
          </w:p>
        </w:tc>
      </w:tr>
      <w:tr>
        <w:trPr>
          <w:trHeight w:val="216"/>
        </w:trPr>
        <w:tc>
          <w:tcPr>
            <w:tcW w:w="320" w:type="dxa"/>
            <w:vAlign w:val="bottom"/>
          </w:tcPr>
          <w:p>
            <w:pPr>
              <w:spacing w:after="0"/>
              <w:rPr>
                <w:sz w:val="18"/>
                <w:szCs w:val="18"/>
                <w:color w:val="auto"/>
              </w:rPr>
            </w:pPr>
          </w:p>
        </w:tc>
        <w:tc>
          <w:tcPr>
            <w:tcW w:w="4880" w:type="dxa"/>
            <w:vAlign w:val="bottom"/>
            <w:gridSpan w:val="3"/>
          </w:tcPr>
          <w:p>
            <w:pPr>
              <w:ind w:left="100"/>
              <w:spacing w:after="0"/>
              <w:rPr>
                <w:sz w:val="20"/>
                <w:szCs w:val="20"/>
                <w:color w:val="auto"/>
              </w:rPr>
            </w:pPr>
            <w:r>
              <w:rPr>
                <w:rFonts w:ascii="Arial" w:cs="Arial" w:eastAsia="Arial" w:hAnsi="Arial"/>
                <w:sz w:val="18"/>
                <w:szCs w:val="18"/>
                <w:color w:val="auto"/>
                <w:w w:val="97"/>
              </w:rPr>
              <w:t>offering, based on an assumed initial public offering price of $</w:t>
            </w:r>
          </w:p>
        </w:tc>
        <w:tc>
          <w:tcPr>
            <w:tcW w:w="5800" w:type="dxa"/>
            <w:vAlign w:val="bottom"/>
            <w:gridSpan w:val="3"/>
          </w:tcPr>
          <w:p>
            <w:pPr>
              <w:jc w:val="right"/>
              <w:ind w:right="170"/>
              <w:spacing w:after="0"/>
              <w:rPr>
                <w:sz w:val="20"/>
                <w:szCs w:val="20"/>
                <w:color w:val="auto"/>
              </w:rPr>
            </w:pPr>
            <w:r>
              <w:rPr>
                <w:rFonts w:ascii="Arial" w:cs="Arial" w:eastAsia="Arial" w:hAnsi="Arial"/>
                <w:sz w:val="18"/>
                <w:szCs w:val="18"/>
                <w:color w:val="auto"/>
                <w:w w:val="94"/>
              </w:rPr>
              <w:t>per share, the midpoint of the estimated price range set forth on the cover</w:t>
            </w:r>
          </w:p>
        </w:tc>
      </w:tr>
      <w:tr>
        <w:trPr>
          <w:trHeight w:val="216"/>
        </w:trPr>
        <w:tc>
          <w:tcPr>
            <w:tcW w:w="320" w:type="dxa"/>
            <w:vAlign w:val="bottom"/>
          </w:tcPr>
          <w:p>
            <w:pPr>
              <w:spacing w:after="0"/>
              <w:rPr>
                <w:sz w:val="18"/>
                <w:szCs w:val="18"/>
                <w:color w:val="auto"/>
              </w:rPr>
            </w:pPr>
          </w:p>
        </w:tc>
        <w:tc>
          <w:tcPr>
            <w:tcW w:w="10680" w:type="dxa"/>
            <w:vAlign w:val="bottom"/>
            <w:gridSpan w:val="6"/>
          </w:tcPr>
          <w:p>
            <w:pPr>
              <w:ind w:left="100"/>
              <w:spacing w:after="0"/>
              <w:rPr>
                <w:sz w:val="20"/>
                <w:szCs w:val="20"/>
                <w:color w:val="auto"/>
              </w:rPr>
            </w:pPr>
            <w:r>
              <w:rPr>
                <w:rFonts w:ascii="Arial" w:cs="Arial" w:eastAsia="Arial" w:hAnsi="Arial"/>
                <w:sz w:val="18"/>
                <w:szCs w:val="18"/>
                <w:color w:val="auto"/>
                <w:w w:val="94"/>
              </w:rPr>
              <w:t>page of this prospectus, after deducting estimated 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040" w:type="dxa"/>
            <w:vAlign w:val="bottom"/>
            <w:gridSpan w:val="4"/>
          </w:tcPr>
          <w:p>
            <w:pPr>
              <w:ind w:left="10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640" w:type="dxa"/>
            <w:vAlign w:val="bottom"/>
            <w:gridSpan w:val="2"/>
          </w:tcPr>
          <w:p>
            <w:pPr>
              <w:jc w:val="right"/>
              <w:ind w:right="190"/>
              <w:spacing w:after="0"/>
              <w:rPr>
                <w:sz w:val="20"/>
                <w:szCs w:val="20"/>
                <w:color w:val="auto"/>
              </w:rPr>
            </w:pPr>
            <w:r>
              <w:rPr>
                <w:rFonts w:ascii="Arial" w:cs="Arial" w:eastAsia="Arial" w:hAnsi="Arial"/>
                <w:sz w:val="18"/>
                <w:szCs w:val="18"/>
                <w:color w:val="auto"/>
                <w:w w:val="95"/>
              </w:rPr>
              <w:t>per share, the midpoint of the price range set forth on the</w:t>
            </w:r>
          </w:p>
        </w:tc>
      </w:tr>
      <w:tr>
        <w:trPr>
          <w:trHeight w:val="216"/>
        </w:trPr>
        <w:tc>
          <w:tcPr>
            <w:tcW w:w="320" w:type="dxa"/>
            <w:vAlign w:val="bottom"/>
          </w:tcPr>
          <w:p>
            <w:pPr>
              <w:spacing w:after="0"/>
              <w:rPr>
                <w:sz w:val="18"/>
                <w:szCs w:val="18"/>
                <w:color w:val="auto"/>
              </w:rPr>
            </w:pPr>
          </w:p>
        </w:tc>
        <w:tc>
          <w:tcPr>
            <w:tcW w:w="10680" w:type="dxa"/>
            <w:vAlign w:val="bottom"/>
            <w:gridSpan w:val="6"/>
          </w:tcPr>
          <w:p>
            <w:pPr>
              <w:ind w:left="100"/>
              <w:spacing w:after="0"/>
              <w:rPr>
                <w:sz w:val="20"/>
                <w:szCs w:val="20"/>
                <w:color w:val="auto"/>
              </w:rPr>
            </w:pPr>
            <w:r>
              <w:rPr>
                <w:rFonts w:ascii="Arial" w:cs="Arial" w:eastAsia="Arial" w:hAnsi="Arial"/>
                <w:sz w:val="18"/>
                <w:szCs w:val="18"/>
                <w:color w:val="auto"/>
                <w:w w:val="94"/>
              </w:rPr>
              <w:t>cover page of this prospectus, would increase (decrease) each of our pro forma as adjusted cash and cash equivalents, total assets and total</w:t>
            </w:r>
          </w:p>
        </w:tc>
      </w:tr>
      <w:tr>
        <w:trPr>
          <w:trHeight w:val="216"/>
        </w:trPr>
        <w:tc>
          <w:tcPr>
            <w:tcW w:w="320" w:type="dxa"/>
            <w:vAlign w:val="bottom"/>
          </w:tcPr>
          <w:p>
            <w:pPr>
              <w:spacing w:after="0"/>
              <w:rPr>
                <w:sz w:val="18"/>
                <w:szCs w:val="18"/>
                <w:color w:val="auto"/>
              </w:rPr>
            </w:pPr>
          </w:p>
        </w:tc>
        <w:tc>
          <w:tcPr>
            <w:tcW w:w="3920" w:type="dxa"/>
            <w:vAlign w:val="bottom"/>
            <w:gridSpan w:val="2"/>
          </w:tcPr>
          <w:p>
            <w:pPr>
              <w:ind w:left="100"/>
              <w:spacing w:after="0"/>
              <w:rPr>
                <w:sz w:val="20"/>
                <w:szCs w:val="20"/>
                <w:color w:val="auto"/>
              </w:rPr>
            </w:pPr>
            <w:r>
              <w:rPr>
                <w:rFonts w:ascii="Arial" w:cs="Arial" w:eastAsia="Arial" w:hAnsi="Arial"/>
                <w:sz w:val="18"/>
                <w:szCs w:val="18"/>
                <w:color w:val="auto"/>
              </w:rPr>
              <w:t>stockholders’ equity (deficit) by approximately $</w:t>
            </w:r>
          </w:p>
        </w:tc>
        <w:tc>
          <w:tcPr>
            <w:tcW w:w="6760" w:type="dxa"/>
            <w:vAlign w:val="bottom"/>
            <w:gridSpan w:val="4"/>
          </w:tcPr>
          <w:p>
            <w:pPr>
              <w:jc w:val="right"/>
              <w:ind w:right="250"/>
              <w:spacing w:after="0"/>
              <w:rPr>
                <w:sz w:val="20"/>
                <w:szCs w:val="20"/>
                <w:color w:val="auto"/>
              </w:rPr>
            </w:pPr>
            <w:r>
              <w:rPr>
                <w:rFonts w:ascii="Arial" w:cs="Arial" w:eastAsia="Arial" w:hAnsi="Arial"/>
                <w:sz w:val="18"/>
                <w:szCs w:val="18"/>
                <w:color w:val="auto"/>
                <w:w w:val="93"/>
              </w:rPr>
              <w:t>million, assuming that the number of shares offered by us, remains the same and after</w:t>
            </w:r>
          </w:p>
        </w:tc>
      </w:tr>
      <w:tr>
        <w:trPr>
          <w:trHeight w:val="216"/>
        </w:trPr>
        <w:tc>
          <w:tcPr>
            <w:tcW w:w="320" w:type="dxa"/>
            <w:vAlign w:val="bottom"/>
          </w:tcPr>
          <w:p>
            <w:pPr>
              <w:spacing w:after="0"/>
              <w:rPr>
                <w:sz w:val="18"/>
                <w:szCs w:val="18"/>
                <w:color w:val="auto"/>
              </w:rPr>
            </w:pPr>
          </w:p>
        </w:tc>
        <w:tc>
          <w:tcPr>
            <w:tcW w:w="10680" w:type="dxa"/>
            <w:vAlign w:val="bottom"/>
            <w:gridSpan w:val="6"/>
          </w:tcPr>
          <w:p>
            <w:pPr>
              <w:ind w:left="100"/>
              <w:spacing w:after="0"/>
              <w:rPr>
                <w:sz w:val="20"/>
                <w:szCs w:val="20"/>
                <w:color w:val="auto"/>
              </w:rPr>
            </w:pPr>
            <w:r>
              <w:rPr>
                <w:rFonts w:ascii="Arial" w:cs="Arial" w:eastAsia="Arial" w:hAnsi="Arial"/>
                <w:sz w:val="18"/>
                <w:szCs w:val="18"/>
                <w:color w:val="auto"/>
                <w:w w:val="92"/>
              </w:rPr>
              <w:t>deducting estimated underwriting discounts and commissions. Similarly, each increase (decrease) of one million shares in the number of shares</w:t>
            </w:r>
          </w:p>
        </w:tc>
      </w:tr>
      <w:tr>
        <w:trPr>
          <w:trHeight w:val="216"/>
        </w:trPr>
        <w:tc>
          <w:tcPr>
            <w:tcW w:w="320" w:type="dxa"/>
            <w:vAlign w:val="bottom"/>
          </w:tcPr>
          <w:p>
            <w:pPr>
              <w:spacing w:after="0"/>
              <w:rPr>
                <w:sz w:val="18"/>
                <w:szCs w:val="18"/>
                <w:color w:val="auto"/>
              </w:rPr>
            </w:pPr>
          </w:p>
        </w:tc>
        <w:tc>
          <w:tcPr>
            <w:tcW w:w="10680" w:type="dxa"/>
            <w:vAlign w:val="bottom"/>
            <w:gridSpan w:val="6"/>
          </w:tcPr>
          <w:p>
            <w:pPr>
              <w:ind w:left="100"/>
              <w:spacing w:after="0"/>
              <w:rPr>
                <w:sz w:val="20"/>
                <w:szCs w:val="20"/>
                <w:color w:val="auto"/>
              </w:rPr>
            </w:pPr>
            <w:r>
              <w:rPr>
                <w:rFonts w:ascii="Arial" w:cs="Arial" w:eastAsia="Arial" w:hAnsi="Arial"/>
                <w:sz w:val="18"/>
                <w:szCs w:val="18"/>
                <w:color w:val="auto"/>
                <w:w w:val="91"/>
              </w:rPr>
              <w:t>offered by us would increase (decrease) each of our pro forma as adjusted cash and cash equivalents, total assets and total stockholders’ equity</w:t>
            </w:r>
          </w:p>
        </w:tc>
      </w:tr>
      <w:tr>
        <w:trPr>
          <w:trHeight w:val="230"/>
        </w:trPr>
        <w:tc>
          <w:tcPr>
            <w:tcW w:w="320" w:type="dxa"/>
            <w:vAlign w:val="bottom"/>
          </w:tcPr>
          <w:p>
            <w:pPr>
              <w:spacing w:after="0"/>
              <w:rPr>
                <w:sz w:val="20"/>
                <w:szCs w:val="20"/>
                <w:color w:val="auto"/>
              </w:rPr>
            </w:pPr>
          </w:p>
        </w:tc>
        <w:tc>
          <w:tcPr>
            <w:tcW w:w="2400" w:type="dxa"/>
            <w:vAlign w:val="bottom"/>
          </w:tcPr>
          <w:p>
            <w:pPr>
              <w:ind w:left="100"/>
              <w:spacing w:after="0"/>
              <w:rPr>
                <w:sz w:val="20"/>
                <w:szCs w:val="20"/>
                <w:color w:val="auto"/>
              </w:rPr>
            </w:pPr>
            <w:r>
              <w:rPr>
                <w:rFonts w:ascii="Arial" w:cs="Arial" w:eastAsia="Arial" w:hAnsi="Arial"/>
                <w:sz w:val="18"/>
                <w:szCs w:val="18"/>
                <w:color w:val="auto"/>
              </w:rPr>
              <w:t>(deficit) by approximately $</w:t>
            </w:r>
          </w:p>
        </w:tc>
        <w:tc>
          <w:tcPr>
            <w:tcW w:w="8280" w:type="dxa"/>
            <w:vAlign w:val="bottom"/>
            <w:gridSpan w:val="5"/>
          </w:tcPr>
          <w:p>
            <w:pPr>
              <w:jc w:val="right"/>
              <w:ind w:right="250"/>
              <w:spacing w:after="0"/>
              <w:rPr>
                <w:sz w:val="20"/>
                <w:szCs w:val="20"/>
                <w:color w:val="auto"/>
              </w:rPr>
            </w:pPr>
            <w:r>
              <w:rPr>
                <w:rFonts w:ascii="Arial" w:cs="Arial" w:eastAsia="Arial" w:hAnsi="Arial"/>
                <w:sz w:val="18"/>
                <w:szCs w:val="18"/>
                <w:color w:val="auto"/>
                <w:w w:val="93"/>
              </w:rPr>
              <w:t>million, assuming the assumed initial public offering price remains the same and after deducting estimated</w:t>
            </w:r>
          </w:p>
        </w:tc>
      </w:tr>
    </w:tbl>
    <w:p>
      <w:pPr>
        <w:ind w:left="620"/>
        <w:spacing w:after="0"/>
        <w:rPr>
          <w:sz w:val="20"/>
          <w:szCs w:val="20"/>
          <w:color w:val="auto"/>
        </w:rPr>
      </w:pPr>
      <w:r>
        <w:rPr>
          <w:rFonts w:ascii="Arial" w:cs="Arial" w:eastAsia="Arial" w:hAnsi="Arial"/>
          <w:sz w:val="18"/>
          <w:szCs w:val="18"/>
          <w:color w:val="auto"/>
        </w:rPr>
        <w:t>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7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We have recently initiated dosing of ANB020 in humans and have never dosed any of our other wholly-owned product candidates in humans. 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5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recently initiated our Phase 1 clinical trial for ANB020 and have not yet initiated any clinical trials or dosed any of our other wholly-owned product candidates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 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In our ongoing Phase 1 clinical trial of ANB020, the most common adverse events were upper respiratory tract infection and headache, and the most severe was a reduction of white blood cell counts. No adverse events were determined to be drug related. Subjects in our ongoing and planned clinical trials may in the future suffer significant adverse events or other side effects not observed in our preclinical studies or in our ongoing Phase 1 clinical trial.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Though we have cleared an IND and CTA to conduct clinical trials for ANB020 in the United States and United Kingdom, respectively, before commencing clinical trials in the United States for any other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73"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our CTN for ANB020 in Australia, obtaining clearance for our IND for a Phase 2a clinical trial of ANB020 in severe adult peanut allergy in the United States, obtaining clearance for our CTA for a Phase 2a clinical trial of ANB020 in moderate-to-severe adult atopic dermatitis in the United Kingdom and submitting a CTN for ANB019 in Australia, we have not yet discussed with the FDA or foreign regulatory authorities the development plans for any of our product candidates or the designs of any of our later-stage clinical studies. We thus may not have the full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ten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16" w:lineRule="exact"/>
        <w:rPr>
          <w:sz w:val="20"/>
          <w:szCs w:val="20"/>
          <w:color w:val="auto"/>
        </w:rPr>
      </w:pPr>
    </w:p>
    <w:p>
      <w:pPr>
        <w:ind w:left="900" w:right="26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3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 to build a pipeline of product candidates and develop marketable products.</w:t>
      </w:r>
    </w:p>
    <w:p>
      <w:pPr>
        <w:spacing w:after="0" w:line="62" w:lineRule="exact"/>
        <w:rPr>
          <w:sz w:val="20"/>
          <w:szCs w:val="20"/>
          <w:color w:val="auto"/>
        </w:rPr>
      </w:pPr>
    </w:p>
    <w:p>
      <w:pPr>
        <w:ind w:right="160" w:firstLine="45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and early-stage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30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recently commenced clinical development of ANB020 and have no prior history of conducting clinical trials or commercializing biotechnology products, which may make it difficult to evaluate the prospects for our future viability.</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in the United States, none of our employees have experience with clinical trials in Australia or the United Kingdom and, as a company, we have no experience conducting clinical trials in any jurisdiction and have not had previous experience commercializing product candidates, including submitting an IND or a BLA to the FDA. We have only recently initiated our Phase 1 trial in Australia, and have not obtained marketing authorization from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78" w:lineRule="exact"/>
        <w:rPr>
          <w:sz w:val="20"/>
          <w:szCs w:val="20"/>
          <w:color w:val="auto"/>
        </w:rPr>
      </w:pPr>
    </w:p>
    <w:p>
      <w:pPr>
        <w:jc w:val="both"/>
        <w:ind w:right="660" w:firstLine="456"/>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7" w:lineRule="exact"/>
        <w:rPr>
          <w:sz w:val="20"/>
          <w:szCs w:val="20"/>
          <w:color w:val="auto"/>
        </w:rPr>
      </w:pPr>
    </w:p>
    <w:p>
      <w:pPr>
        <w:ind w:left="900" w:right="1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 ST2-binding antibody which Roche has in-licensed from Amgen (previously known as AMG 282) and plans to advance into Phase 2 clinical trials, and CNTO 7160, which is another ST2-binding antibody that GSK in-licensed from Janssen. For peanut allergy, our competitors include DBV Technologies, which is developing transdermal products for tolerization of food allergies, while Aimmune Therapeutics is developing oral products for peanut allergy desensitization. For atopic dermatitis, our competitors include dupilumab (Regeneron, Sanofi), which has recently been filed for approval by the FDA, crisaborole (Anacor, Pfizer), which has recently been filed for approval by the FDA, and VTP-38543 (Vitae), which is currently in a Phase 2 trial.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which binds IL-1 beta and BI-655130 (Boehringer Ingelheim).</w:t>
      </w:r>
    </w:p>
    <w:p>
      <w:pPr>
        <w:spacing w:after="0" w:line="16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To date, only a handful of biosimilar products have been approved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7"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6"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If companion diagnostics are developed in conjunction with clinical programs, the FDA may require regulatory approval of a companion diagnostic as a condition to approval of the product candidate. For example, if we use a genetic test to determine which patients are most likely to benefit from ANB019 for the treatment of GPP or PPP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76" w:lineRule="exact"/>
        <w:rPr>
          <w:sz w:val="20"/>
          <w:szCs w:val="20"/>
          <w:color w:val="auto"/>
        </w:rPr>
      </w:pPr>
    </w:p>
    <w:p>
      <w:pPr>
        <w:ind w:left="900" w:right="5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30"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33"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b w:val="1"/>
          <w:bCs w:val="1"/>
          <w:i w:val="1"/>
          <w:i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3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Moreover, if the FDA determines that our manufacturer is not in compliance with FDA laws and regulations, including those governing cGMPs, the FDA may deny BLA approval until the deficiencies are corrected or we replace the manufacturer in our BLA with a manufacturer that is in compliance.</w:t>
      </w:r>
    </w:p>
    <w:p>
      <w:pPr>
        <w:spacing w:after="0" w:line="19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Since our inception, we have incurred significant operating losses in every year except fiscal year 2014 and during the nine months ended September 30, 2016. Our collaboration revenue was $15.8 million and our net income was $3.5 million for the year ended December 31, 2014 and our collaboration revenue was $17.6 million and our net loss was $5.4 million for the year ended December 31, 2015. For the nine months ended September 30, 2016, our collaboration revenue was $13.9 million and our net income was $0.3 million. As of September 30, 2016, we had an accumulated deficit of $50.3 million.</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5"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53"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900" w:right="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number and size of clinical trials needed to show safety, efficacy and an acceptable risk/benefit profile for any of our product candidates;</w:t>
      </w:r>
    </w:p>
    <w:p>
      <w:pPr>
        <w:spacing w:after="0" w:line="153" w:lineRule="exact"/>
        <w:rPr>
          <w:rFonts w:ascii="Arial" w:cs="Arial" w:eastAsia="Arial" w:hAnsi="Arial"/>
          <w:sz w:val="16"/>
          <w:szCs w:val="16"/>
          <w:color w:val="auto"/>
        </w:rPr>
      </w:pPr>
    </w:p>
    <w:p>
      <w:pPr>
        <w:ind w:left="900" w:right="480" w:hanging="325"/>
        <w:spacing w:after="0" w:line="308"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30" w:lineRule="exact"/>
        <w:rPr>
          <w:rFonts w:ascii="Arial" w:cs="Arial" w:eastAsia="Arial" w:hAnsi="Arial"/>
          <w:sz w:val="18"/>
          <w:szCs w:val="18"/>
          <w:color w:val="auto"/>
        </w:rPr>
      </w:pPr>
    </w:p>
    <w:p>
      <w:pPr>
        <w:ind w:left="900" w:right="580" w:hanging="325"/>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5"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 xml:space="preserve">Risks Related to Managing Growth, Operations and Macroeconomic Conditions </w:t>
      </w:r>
      <w:r>
        <w:rPr>
          <w:rFonts w:ascii="Arial" w:cs="Arial" w:eastAsia="Arial" w:hAnsi="Arial"/>
          <w:sz w:val="16"/>
          <w:szCs w:val="16"/>
          <w:b w:val="1"/>
          <w:bCs w:val="1"/>
          <w:i w:val="1"/>
          <w:iCs w:val="1"/>
          <w:color w:val="auto"/>
        </w:rPr>
        <w:t>We must attract and retain highly skilled employees in order to succeed.</w:t>
      </w:r>
    </w:p>
    <w:p>
      <w:pPr>
        <w:spacing w:after="0" w:line="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45.0%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vulnerable to disruption, damage and financial obligation as a result of system failures.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generation and/or development collaborations with various collaborators, including TESARO and Celgene, under which we have generated therapeutic quality antibodies using our technology platform and conducted certain preclinical studies in collaboration. These collaborations have provided us with $65.4 million in non-dilutive funding through the date of this prospectus.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additional development collaborations, which could adversely affect our ability to develop and commercialize product candidates.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spacing w:after="0" w:line="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7" w:lineRule="exact"/>
        <w:rPr>
          <w:sz w:val="20"/>
          <w:szCs w:val="20"/>
          <w:color w:val="auto"/>
        </w:rPr>
      </w:pPr>
    </w:p>
    <w:p>
      <w:pPr>
        <w:ind w:left="5620" w:right="2020" w:hanging="5045"/>
        <w:spacing w:after="0" w:line="449" w:lineRule="auto"/>
        <w:tabs>
          <w:tab w:leader="none" w:pos="896"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 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2"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We are conducting, or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are conducting, or plan to conduct, our initial clinical trials for ANB020 and ANB019 in Australia. We believe that clinical data generated in Australia will subsequently be accepted by the FDA and its foreign equivalents outside of Australia, and therefore may enable us to commence Phase 2 and possibly registration clinical trials in the United States or the United Kingdom following submission of an IND or CTA, without the need for us to repeat our Phase 1 trials in the United States or the United Kingdom. However, there can be no assurance the FDA, MHRA or other foreign equivalents will accept data from the clinical trials we plan to conduct in Australia. If the FDA, MHRA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8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Although the FDA, MHRA and other foreign equivalents may accept data from clinical trials conducted entirely outside the United States and not under an IND,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only at sites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3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in June 2016, the United Kingdom held a referendum and voted in favor of leaving the European Union. This has created political and economic uncertainty, particularly in the United Kingdom and the European Union, and could cause disruptions to, and create uncertainty surrounding, our planned clinical trial in the United Kingdom, including affecting our relationships with our existing and prospective customers, partners and employees, and could have a material impact on the regulatory regime applicable to our planned clinical trial in the United Kingdom.</w:t>
      </w:r>
    </w:p>
    <w:p>
      <w:pPr>
        <w:spacing w:after="0" w:line="2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plan to seek Orphan Drug Designation for ANB019 or certain of our other product candidates and we may not be able to obtain or maintain Orphan Drug Designation or obtain the benefits associated with Orphan Drug status, including market exclusivity.</w:t>
      </w:r>
    </w:p>
    <w:p>
      <w:pPr>
        <w:spacing w:after="0" w:line="62"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95"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drugs we develop may become subject to unfavorable third-party reimbursement practices and pricing regulations.</w:t>
      </w:r>
    </w:p>
    <w:p>
      <w:pPr>
        <w:spacing w:after="0" w:line="11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Recently enacted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More recently, President-elect, Donald Trump has made statements that suggest he plans to seek repeal of all or portions of the ACA, and has stated that he will ask Congress to replace the current legislation with new legislation. Once Mr. Trump becomes President, there is uncertainty with respect to the impact his Administration may have, if any, and any changes likely will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 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or SGR, was adjusted to reflect the comparison of actual expenditures to target expenditures. Because one of the factors for calculating the SGR was linked to the growth in the U.S. gross domestic product, or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900" w:right="8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87" w:lineRule="exact"/>
        <w:rPr>
          <w:sz w:val="20"/>
          <w:szCs w:val="20"/>
          <w:color w:val="auto"/>
        </w:rPr>
      </w:pPr>
    </w:p>
    <w:p>
      <w:pPr>
        <w:ind w:left="900" w:right="20" w:hanging="325"/>
        <w:spacing w:after="0" w:line="34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Because patent applications in the United States and most other countries are confidential for a period of time after filing, and some remain so until issued, we cannot be certain that we or our licensors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6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62"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agreements related to our product candidates, we could lose the ability to continue the development and commercialization of our product candidates.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3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harmed.</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7"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approximately 84.1% of our voting stock and, upon the closing of this offering, that same group will hold approximately % of our outstanding voting stock (based on the number of shares of common stock outstanding as of September 30, 2016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w:t>
      </w:r>
    </w:p>
    <w:p>
      <w:pPr>
        <w:spacing w:after="0"/>
        <w:tabs>
          <w:tab w:leader="none" w:pos="6700" w:val="left"/>
        </w:tabs>
        <w:rPr>
          <w:sz w:val="20"/>
          <w:szCs w:val="20"/>
          <w:color w:val="auto"/>
        </w:rPr>
      </w:pPr>
      <w:r>
        <w:rPr>
          <w:rFonts w:ascii="Arial" w:cs="Arial" w:eastAsia="Arial" w:hAnsi="Arial"/>
          <w:sz w:val="18"/>
          <w:szCs w:val="18"/>
          <w:color w:val="auto"/>
        </w:rPr>
        <w:t>investors purchasing common stock in this offering will incur immediate dilution of $</w:t>
      </w:r>
      <w:r>
        <w:rPr>
          <w:sz w:val="20"/>
          <w:szCs w:val="20"/>
          <w:color w:val="auto"/>
        </w:rPr>
        <w:tab/>
      </w:r>
      <w:r>
        <w:rPr>
          <w:rFonts w:ascii="Arial" w:cs="Arial" w:eastAsia="Arial" w:hAnsi="Arial"/>
          <w:sz w:val="16"/>
          <w:szCs w:val="16"/>
          <w:color w:val="auto"/>
        </w:rPr>
        <w:t>per share, based upon an assumed initial public offering price of</w:t>
      </w:r>
    </w:p>
    <w:p>
      <w:pPr>
        <w:ind w:left="640" w:hanging="632"/>
        <w:spacing w:after="0"/>
        <w:tabs>
          <w:tab w:leader="none" w:pos="640" w:val="left"/>
        </w:tabs>
        <w:numPr>
          <w:ilvl w:val="0"/>
          <w:numId w:val="38"/>
        </w:numPr>
        <w:rPr>
          <w:rFonts w:ascii="Arial" w:cs="Arial" w:eastAsia="Arial" w:hAnsi="Arial"/>
          <w:sz w:val="1"/>
          <w:szCs w:val="1"/>
          <w:color w:val="auto"/>
        </w:rPr>
      </w:pPr>
      <w:r>
        <w:rPr>
          <w:rFonts w:ascii="Arial" w:cs="Arial" w:eastAsia="Arial" w:hAnsi="Arial"/>
          <w:sz w:val="1"/>
          <w:szCs w:val="1"/>
          <w:color w:val="auto"/>
        </w:rPr>
        <w:t>per share (the midpoint of the price range set forth on the cover page of this prospectus). Further, investors purchasing common stock in this offering</w:t>
      </w:r>
    </w:p>
    <w:p>
      <w:pPr>
        <w:spacing w:after="0" w:line="19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will contribute approximately % of the total amount invested by stockholders since our inception, but will own only approximately % of the shares of common stock outstanding after giving effect to this offering.</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September 30, 2016, options to purchase 12,997,698 shares of our common stock at a weighted-average exercise price of $0.59 per share, warrants exercisable for 822,386 shares of our common stock at an exercise price of $0.65 per share and warrants exercisable for Series C convertible preferred stock convertible into 2,063,484 shares of our common stock at an exercise price of $0.65 per share were outstanding.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3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the preparation of our 2015 consolidated financial statements, we and our independent registered public accounting firm identified a material weakness in our internal control over financial reporting with respect to the design of our controls over the calculation of our accrued research and contract manufacturing expenses, including the verification of the level and timing of completion of our CRO and CMO activities. Under standards established by the Public Company Accounting Oversight Board, a deficiency in internal control over financial reporting exists when the design or operation of a control does not allow management or personnel, in the normal course of performing their assigned functions, to prevent or detect misstatements on a timely basis.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During the first quarter of 2016, we implemented additional controls to remediate the material weakness, including additional controls to verify the level and timing of completion of our CRO and CMO activities and controls over the completeness and accuracy of spreadsheets used to calculate the accrued research and contract manufacturing expenses. We cannot assure you that these measures will significantly improve or remediate the material weakness described above. We, and our independent registered public accounting firm, were not required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perform an evaluation of our internal control over financial reporting as of December 31, 2015 in accordance with the provisions of the Sarbanes-Oxley Act. Accordingly, we cannot assure you that we have identified all material weaknesses or that there will not be additional material weaknesses or deficiencies that our independent registered public accounting firm or we will identify. If we are unable to successfully remediate the existing material weakness in our internal control over financial reporting, or if we identify any additional issues, we may be unable to produce accurate and timely financial statements, our stock price may be adversely affected and we may be unable to maintain compliance with the Nasdaq Stock Market listing requirements.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spacing w:after="0" w:line="281" w:lineRule="auto"/>
        <w:rPr>
          <w:sz w:val="20"/>
          <w:szCs w:val="20"/>
          <w:color w:val="auto"/>
        </w:rPr>
      </w:pPr>
      <w:r>
        <w:rPr>
          <w:rFonts w:ascii="Arial" w:cs="Arial" w:eastAsia="Arial" w:hAnsi="Arial"/>
          <w:sz w:val="16"/>
          <w:szCs w:val="16"/>
          <w:color w:val="auto"/>
        </w:rPr>
        <w:t>outstanding shares of common stock based on the number of shares outstanding as of September 30, 2016, assuming: (i) no exercise of the underwriters’ option to purchase additional shares and (ii) the conversion of all outstanding shares of our convertible preferred stock into 80,645,051 shares of common stock immediately prior to the closing of this offering. This includes the shares that we sell in this offering, which may be resold in the public market</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immediately without restriction, unless purchased by our affiliates. Of the remaining shares, shares of our common stock are currently restricted as a result of securities laws or lock-up agreements but will be able to be sold after this offering as described in the “Shares Eligible for Future Sale” section of</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this prospectus.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2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1"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additional issuances of equity securities.</w:t>
      </w:r>
    </w:p>
    <w:p>
      <w:pPr>
        <w:spacing w:after="0" w:line="7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plan to use our current year operating losses to offset taxable income from any revenue generated from operations or corporate collaborations. To the extent we have taxable income, we plan to use our NOL carryforwards to offset income that would otherwise be taxable. However, under the Tax Reform Act of 1986, the benefits from the use of our NOL carryforwards may be impaired or limited under Section 382 of the Internal Revenue Code of 1984, as amended, or the Code, if we incur a cumulative ownership change of more than 50%, as interpreted by the U.S. Internal Revenue Service, over a three-year period. In September 2015, we completed a Section 382 and 383 ownership change analysis through December 31, 2014 and determined that there was an ownership change in 2007 that may limit the utilization of approximately $5.3 million and $5.4 million in federal and state NOLs, respectively, and</w:t>
      </w:r>
    </w:p>
    <w:p>
      <w:pPr>
        <w:spacing w:after="0" w:line="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$0.2 million in both federal and state research tax credits. In October 2016, we extended the analysis period of the study through December 31, 2015, noting no ownership changes during fiscal 2015. Our use of federal NOL carryforwards could be limited further by the provisions of Section 382 of the Code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likelihood that the clinical data generated in Australia will be subsequently accepted by the FDA and its foreign equivalents outside of Australia;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4640" w:val="left"/>
        </w:tabs>
        <w:rPr>
          <w:sz w:val="20"/>
          <w:szCs w:val="20"/>
          <w:color w:val="auto"/>
        </w:rPr>
      </w:pPr>
      <w:r>
        <w:rPr>
          <w:rFonts w:ascii="Arial" w:cs="Arial" w:eastAsia="Arial" w:hAnsi="Arial"/>
          <w:sz w:val="18"/>
          <w:szCs w:val="18"/>
          <w:color w:val="auto"/>
        </w:rPr>
        <w:t>We estimate that the net proceeds from our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 w:lineRule="exact"/>
        <w:rPr>
          <w:sz w:val="20"/>
          <w:szCs w:val="20"/>
          <w:color w:val="auto"/>
        </w:rPr>
      </w:pPr>
    </w:p>
    <w:p>
      <w:pPr>
        <w:ind w:left="640" w:hanging="632"/>
        <w:spacing w:after="0"/>
        <w:tabs>
          <w:tab w:leader="none" w:pos="640" w:val="left"/>
        </w:tabs>
        <w:numPr>
          <w:ilvl w:val="0"/>
          <w:numId w:val="41"/>
        </w:numPr>
        <w:rPr>
          <w:rFonts w:ascii="Arial" w:cs="Arial" w:eastAsia="Arial" w:hAnsi="Arial"/>
          <w:sz w:val="2"/>
          <w:szCs w:val="2"/>
          <w:color w:val="auto"/>
        </w:rPr>
      </w:pPr>
      <w:r>
        <w:rPr>
          <w:rFonts w:ascii="Arial" w:cs="Arial" w:eastAsia="Arial" w:hAnsi="Arial"/>
          <w:sz w:val="2"/>
          <w:szCs w:val="2"/>
          <w:color w:val="auto"/>
        </w:rPr>
        <w:t>per share, the midpoint of the price range set forth on the cover page of this prospectus, after deducting estimated underwriting discounts and</w:t>
      </w:r>
    </w:p>
    <w:p>
      <w:pPr>
        <w:spacing w:after="0" w:line="20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commissions and estimated offering expenses payable by us, will be approximately $ million, or $ million if the underwriters exercise their option to purchase additional shares in full.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$1.00 increase (decrease) in the assumed initial public offering price would increase (decrease) the net proceeds to us from this offering by</w:t>
      </w:r>
    </w:p>
    <w:p>
      <w:pPr>
        <w:spacing w:after="0" w:line="35" w:lineRule="exact"/>
        <w:rPr>
          <w:sz w:val="20"/>
          <w:szCs w:val="20"/>
          <w:color w:val="auto"/>
        </w:rPr>
      </w:pPr>
    </w:p>
    <w:p>
      <w:pPr>
        <w:ind w:right="200" w:firstLine="8"/>
        <w:spacing w:after="0" w:line="281" w:lineRule="auto"/>
        <w:tabs>
          <w:tab w:leader="none" w:pos="63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w:t>
      </w:r>
    </w:p>
    <w:p>
      <w:pPr>
        <w:spacing w:after="0" w:line="1" w:lineRule="exact"/>
        <w:rPr>
          <w:rFonts w:ascii="Arial" w:cs="Arial" w:eastAsia="Arial" w:hAnsi="Arial"/>
          <w:sz w:val="16"/>
          <w:szCs w:val="16"/>
          <w:color w:val="auto"/>
        </w:rPr>
      </w:pPr>
    </w:p>
    <w:p>
      <w:pPr>
        <w:ind w:right="400"/>
        <w:spacing w:after="0" w:line="261" w:lineRule="auto"/>
        <w:rPr>
          <w:rFonts w:ascii="Arial" w:cs="Arial" w:eastAsia="Arial" w:hAnsi="Arial"/>
          <w:sz w:val="16"/>
          <w:szCs w:val="16"/>
          <w:color w:val="auto"/>
        </w:rPr>
      </w:pPr>
      <w:r>
        <w:rPr>
          <w:rFonts w:ascii="Arial" w:cs="Arial" w:eastAsia="Arial" w:hAnsi="Arial"/>
          <w:sz w:val="18"/>
          <w:szCs w:val="18"/>
          <w:color w:val="auto"/>
        </w:rPr>
        <w:t>we receive from this offering by $ million, assuming that the assumed initial public offering price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pacing w:after="0" w:line="142" w:lineRule="exact"/>
        <w:rPr>
          <w:sz w:val="20"/>
          <w:szCs w:val="20"/>
          <w:color w:val="auto"/>
        </w:rPr>
      </w:pPr>
    </w:p>
    <w:p>
      <w:pPr>
        <w:ind w:left="900" w:right="20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 million to fund development of ANB020 and ANB019 through initial clinical trials intended to demonstrate efficacy in multiple indications;</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approximately $ million to fund continued development of other wholly-owned product candidates, including our checkpoint receptor agonist antibodies, and discovery of new product candidates to further expand our proprietary pipeline;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24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September 30, 2016 on:</w:t>
      </w:r>
    </w:p>
    <w:p>
      <w:pPr>
        <w:spacing w:after="0" w:line="131"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right="60" w:hanging="325"/>
        <w:spacing w:after="0" w:line="279"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pro forma basis, giving effect to (i) the automatic conversion of all outstanding shares of our convertible preferred stock as of September 30, 2016 into 80,645,051 shares of common stock immediately prior to the closing of this offering, (ii) the conversion of the preferred stock warrants into common stock warrants and the related reclassification of the preferred stock warrant liability to additional paid-in capital and (iii) the effectiveness of our restated certificate of incorporation in connection with the closing of this offering; and</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 pro forma as adjusted basis, giving effect to the pro forma adjustments and the sale of shares of common stock by us in this offering, based on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380" w:firstLine="456"/>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As of September 30, 2016</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(Unaudited)</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3"/>
              </w:rPr>
              <w:t>Actual</w:t>
            </w:r>
          </w:p>
        </w:tc>
        <w:tc>
          <w:tcPr>
            <w:tcW w:w="44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96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As Adjusted (1)</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47,134</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Notes payable, net of current portion</w:t>
            </w:r>
          </w:p>
        </w:tc>
        <w:tc>
          <w:tcPr>
            <w:tcW w:w="2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gridSpan w:val="3"/>
          </w:tcPr>
          <w:p>
            <w:pPr>
              <w:spacing w:after="0" w:line="201" w:lineRule="exact"/>
              <w:rPr>
                <w:sz w:val="20"/>
                <w:szCs w:val="20"/>
                <w:color w:val="auto"/>
              </w:rPr>
            </w:pPr>
            <w:r>
              <w:rPr>
                <w:rFonts w:ascii="Arial" w:cs="Arial" w:eastAsia="Arial" w:hAnsi="Arial"/>
                <w:sz w:val="18"/>
                <w:szCs w:val="18"/>
                <w:color w:val="auto"/>
              </w:rPr>
              <w:t>Series B convertible preferred stock, $0.001 par value; 27,742,877 shares authorized, 27,742,877</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28,220</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C convertible preferred stock, $0.001 par value; 13,210,753 shares authorized, 11,147,269</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6,452</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tcPr>
          <w:p>
            <w:pPr>
              <w:spacing w:after="0" w:line="201" w:lineRule="exact"/>
              <w:rPr>
                <w:sz w:val="20"/>
                <w:szCs w:val="20"/>
                <w:color w:val="auto"/>
              </w:rPr>
            </w:pPr>
            <w:r>
              <w:rPr>
                <w:rFonts w:ascii="Arial" w:cs="Arial" w:eastAsia="Arial" w:hAnsi="Arial"/>
                <w:sz w:val="18"/>
                <w:szCs w:val="18"/>
                <w:color w:val="auto"/>
              </w:rPr>
              <w:t>Series C-1 convertible preferred stock, $0.001 par value; 3,318,054 shares authorized, 3,318,054</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2,156</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D convertible preferred stock, $0.001 par value; 38,436,851 shares authorized, 38,436,851</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7"/>
              </w:rPr>
              <w:t>shares issued and outstanding, actual; no shares designated, issued or outstanding pro forma and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 as 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40,688</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$0.001 par value; no shares authorized, issued or outstanding, actual;</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99"/>
              </w:rPr>
              <w:t>10,000,000 shares authorized, no shares issued or outstanding, pro forma and pro forma as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2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84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Common stock, $0.001 par value; 120,500,000 shares authorized, 18,470,723 shares issued</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40"/>
              <w:spacing w:after="0"/>
              <w:rPr>
                <w:sz w:val="20"/>
                <w:szCs w:val="20"/>
                <w:color w:val="auto"/>
              </w:rPr>
            </w:pPr>
            <w:r>
              <w:rPr>
                <w:rFonts w:ascii="Arial" w:cs="Arial" w:eastAsia="Arial" w:hAnsi="Arial"/>
                <w:sz w:val="18"/>
                <w:szCs w:val="18"/>
                <w:color w:val="auto"/>
                <w:w w:val="95"/>
              </w:rPr>
              <w:t>and outstanding, actual; 500,000,000 shares authorized,</w:t>
            </w:r>
          </w:p>
        </w:tc>
        <w:tc>
          <w:tcPr>
            <w:tcW w:w="2980" w:type="dxa"/>
            <w:vAlign w:val="bottom"/>
            <w:gridSpan w:val="2"/>
          </w:tcPr>
          <w:p>
            <w:pPr>
              <w:jc w:val="right"/>
              <w:ind w:right="1325"/>
              <w:spacing w:after="0"/>
              <w:rPr>
                <w:sz w:val="20"/>
                <w:szCs w:val="20"/>
                <w:color w:val="auto"/>
              </w:rPr>
            </w:pPr>
            <w:r>
              <w:rPr>
                <w:rFonts w:ascii="Arial" w:cs="Arial" w:eastAsia="Arial" w:hAnsi="Arial"/>
                <w:sz w:val="18"/>
                <w:szCs w:val="18"/>
                <w:color w:val="auto"/>
              </w:rPr>
              <w:t>shares issued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540"/>
              <w:spacing w:after="0"/>
              <w:rPr>
                <w:sz w:val="20"/>
                <w:szCs w:val="20"/>
                <w:color w:val="auto"/>
              </w:rPr>
            </w:pPr>
            <w:r>
              <w:rPr>
                <w:rFonts w:ascii="Arial" w:cs="Arial" w:eastAsia="Arial" w:hAnsi="Arial"/>
                <w:sz w:val="18"/>
                <w:szCs w:val="18"/>
                <w:color w:val="auto"/>
                <w:w w:val="96"/>
              </w:rPr>
              <w:t>outstanding, pro forma; 500,000,000 shares authorized,</w:t>
            </w:r>
          </w:p>
        </w:tc>
        <w:tc>
          <w:tcPr>
            <w:tcW w:w="2980" w:type="dxa"/>
            <w:vAlign w:val="bottom"/>
            <w:gridSpan w:val="2"/>
          </w:tcPr>
          <w:p>
            <w:pPr>
              <w:jc w:val="right"/>
              <w:ind w:right="1345"/>
              <w:spacing w:after="0"/>
              <w:rPr>
                <w:sz w:val="20"/>
                <w:szCs w:val="20"/>
                <w:color w:val="auto"/>
              </w:rPr>
            </w:pPr>
            <w:r>
              <w:rPr>
                <w:rFonts w:ascii="Arial" w:cs="Arial" w:eastAsia="Arial" w:hAnsi="Arial"/>
                <w:sz w:val="18"/>
                <w:szCs w:val="18"/>
                <w:color w:val="auto"/>
              </w:rPr>
              <w:t>shares issued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540"/>
              <w:spacing w:after="0"/>
              <w:rPr>
                <w:sz w:val="20"/>
                <w:szCs w:val="20"/>
                <w:color w:val="auto"/>
              </w:rPr>
            </w:pPr>
            <w:r>
              <w:rPr>
                <w:rFonts w:ascii="Arial" w:cs="Arial" w:eastAsia="Arial" w:hAnsi="Arial"/>
                <w:sz w:val="18"/>
                <w:szCs w:val="18"/>
                <w:color w:val="auto"/>
              </w:rPr>
              <w:t>outstanding, pro forma as adjusted</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 in capital</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16,354</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(50,345)</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(33,973)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2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48,150</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80" w:type="dxa"/>
            <w:vAlign w:val="bottom"/>
            <w:vMerge w:val="restart"/>
          </w:tcPr>
          <w:p>
            <w:pPr>
              <w:jc w:val="right"/>
              <w:ind w:right="185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right="180" w:hanging="459"/>
        <w:spacing w:after="0" w:line="288" w:lineRule="auto"/>
        <w:tabs>
          <w:tab w:leader="none" w:pos="440" w:val="left"/>
        </w:tabs>
        <w:rPr>
          <w:sz w:val="20"/>
          <w:szCs w:val="20"/>
          <w:color w:val="auto"/>
        </w:rPr>
      </w:pPr>
      <w:r>
        <w:rPr>
          <w:rFonts w:ascii="Arial" w:cs="Arial" w:eastAsia="Arial" w:hAnsi="Arial"/>
          <w:sz w:val="16"/>
          <w:szCs w:val="16"/>
          <w:color w:val="auto"/>
        </w:rPr>
        <w:t>(1)</w:t>
        <w:tab/>
        <w:t>Each $1.00 increase (decrease) in the assumed initial public offering price of $ per share, the midpoint of the price range set forth on the cover page of this prospectus, would increase (decrease) each of our pro forma as adjusted cash and cash equivalents, additional paid-in capital, total stockholders’ equity (deficit) and total capitalization by approximately $ million, assuming that the number of shares offered by us remains the</w:t>
      </w:r>
    </w:p>
    <w:p>
      <w:pPr>
        <w:ind w:left="460" w:right="60"/>
        <w:spacing w:after="0" w:line="421" w:lineRule="auto"/>
        <w:rPr>
          <w:sz w:val="20"/>
          <w:szCs w:val="20"/>
          <w:color w:val="auto"/>
        </w:rPr>
      </w:pPr>
      <w:r>
        <w:rPr>
          <w:rFonts w:ascii="Arial" w:cs="Arial" w:eastAsia="Arial" w:hAnsi="Arial"/>
          <w:sz w:val="16"/>
          <w:szCs w:val="16"/>
          <w:color w:val="auto"/>
        </w:rPr>
        <w:t>same and after deducting estimated underwriting discounts and commissions. Similarly, each increase (decrease) of one million shares in the number of shares offered by us would increase (decrease) each of our pro forma as adjusted cash and cash equivalents, additional paid-in capital,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stockholders’ equity (deficit) and total capitalization by approximately $ million, assuming the assumed initial public offering price remains the same and after deducting estimated underwriting discounts and commissions.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99,115,774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excludes:</w:t>
      </w:r>
    </w:p>
    <w:p>
      <w:pPr>
        <w:spacing w:after="0" w:line="116" w:lineRule="exact"/>
        <w:rPr>
          <w:sz w:val="20"/>
          <w:szCs w:val="20"/>
          <w:color w:val="auto"/>
        </w:rPr>
      </w:pPr>
    </w:p>
    <w:p>
      <w:pPr>
        <w:ind w:left="900" w:right="6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12,997,698 shares of common stock issuable upon the exercise of options outstanding as of September 30, 2016, with a weighted-average exercise price of $0.59 per share;</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362,000 shares of common stock issuable upon the exercise of options granted after September 30, 2016, with an exercise price of $1.60 per share;</w:t>
      </w:r>
    </w:p>
    <w:p>
      <w:pPr>
        <w:spacing w:after="0" w:line="75" w:lineRule="exact"/>
        <w:rPr>
          <w:rFonts w:ascii="Arial" w:cs="Arial" w:eastAsia="Arial" w:hAnsi="Arial"/>
          <w:sz w:val="18"/>
          <w:szCs w:val="18"/>
          <w:color w:val="auto"/>
        </w:rPr>
      </w:pPr>
    </w:p>
    <w:p>
      <w:pPr>
        <w:ind w:left="1440" w:hanging="865"/>
        <w:spacing w:after="0"/>
        <w:tabs>
          <w:tab w:leader="none" w:pos="1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3,593,212 shares of</w:t>
      </w:r>
    </w:p>
    <w:p>
      <w:pPr>
        <w:spacing w:after="0" w:line="46" w:lineRule="exact"/>
        <w:rPr>
          <w:sz w:val="20"/>
          <w:szCs w:val="20"/>
          <w:color w:val="auto"/>
        </w:rPr>
      </w:pPr>
    </w:p>
    <w:p>
      <w:pPr>
        <w:ind w:left="900" w:right="16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September 30, 2016, (b) shares of common stock reserved for future issuance under our 2016 Equity Incentive Plan, which will become effective on the date immediately prior to the date of this</w:t>
      </w:r>
    </w:p>
    <w:p>
      <w:pPr>
        <w:spacing w:after="0" w:line="1" w:lineRule="exact"/>
        <w:rPr>
          <w:sz w:val="20"/>
          <w:szCs w:val="20"/>
          <w:color w:val="auto"/>
        </w:rPr>
      </w:pPr>
    </w:p>
    <w:p>
      <w:pPr>
        <w:ind w:left="900"/>
        <w:spacing w:after="0" w:line="252" w:lineRule="auto"/>
        <w:rPr>
          <w:sz w:val="20"/>
          <w:szCs w:val="20"/>
          <w:color w:val="auto"/>
        </w:rPr>
      </w:pPr>
      <w:r>
        <w:rPr>
          <w:rFonts w:ascii="Arial" w:cs="Arial" w:eastAsia="Arial" w:hAnsi="Arial"/>
          <w:sz w:val="18"/>
          <w:szCs w:val="18"/>
          <w:color w:val="auto"/>
        </w:rPr>
        <w:t>prospectus 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900" w:right="28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September 30, 2016, with an exercise price of $0.65 per share, that do not expire upon the closing of this offering.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of September 30, 2016, our pro forma net tangible book value was approximately $41.8 million, or $0.42 per share of common stock. Our pro forma net tangible book value per share represents the amount of our total tangible assets reduced by the amount of our total liabilities and divided by the total number of shares of our common stock outstanding as of September 30, 2016, assuming (i) the automatic conversion of all outstanding shares of our convertible preferred stock as of September 30, 2016 into 80,645,051 shares of common stock as of immediately prior to the closing of this offering and</w:t>
      </w:r>
    </w:p>
    <w:p>
      <w:pPr>
        <w:spacing w:after="0" w:line="2" w:lineRule="exact"/>
        <w:rPr>
          <w:sz w:val="20"/>
          <w:szCs w:val="20"/>
          <w:color w:val="auto"/>
        </w:rPr>
      </w:pPr>
    </w:p>
    <w:p>
      <w:pPr>
        <w:ind w:right="520" w:firstLine="8"/>
        <w:spacing w:after="0" w:line="261" w:lineRule="auto"/>
        <w:tabs>
          <w:tab w:leader="none" w:pos="2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conversion of the preferred stock warrants into common stock warrants and the related reclassification of the preferred stock warrant liability to additional paid-in capital.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3820" w:type="dxa"/>
            <w:vAlign w:val="bottom"/>
            <w:gridSpan w:val="3"/>
          </w:tcPr>
          <w:p>
            <w:pPr>
              <w:ind w:left="80"/>
              <w:spacing w:after="0"/>
              <w:rPr>
                <w:sz w:val="20"/>
                <w:szCs w:val="20"/>
                <w:color w:val="auto"/>
              </w:rPr>
            </w:pPr>
            <w:r>
              <w:rPr>
                <w:rFonts w:ascii="Arial" w:cs="Arial" w:eastAsia="Arial" w:hAnsi="Arial"/>
                <w:sz w:val="18"/>
                <w:szCs w:val="18"/>
                <w:color w:val="auto"/>
              </w:rPr>
              <w:t>After giving effect to our sale in this offering of</w:t>
            </w:r>
          </w:p>
        </w:tc>
        <w:tc>
          <w:tcPr>
            <w:tcW w:w="6120" w:type="dxa"/>
            <w:vAlign w:val="bottom"/>
            <w:gridSpan w:val="8"/>
          </w:tcPr>
          <w:p>
            <w:pPr>
              <w:ind w:left="280"/>
              <w:spacing w:after="0"/>
              <w:rPr>
                <w:sz w:val="20"/>
                <w:szCs w:val="20"/>
                <w:color w:val="auto"/>
              </w:rPr>
            </w:pPr>
            <w:r>
              <w:rPr>
                <w:rFonts w:ascii="Arial" w:cs="Arial" w:eastAsia="Arial" w:hAnsi="Arial"/>
                <w:sz w:val="18"/>
                <w:szCs w:val="18"/>
                <w:color w:val="auto"/>
                <w:w w:val="98"/>
              </w:rPr>
              <w:t>shares of our common stock at an assumed initial public offering price of $</w:t>
            </w:r>
          </w:p>
        </w:tc>
        <w:tc>
          <w:tcPr>
            <w:tcW w:w="1080" w:type="dxa"/>
            <w:vAlign w:val="bottom"/>
          </w:tcPr>
          <w:p>
            <w:pPr>
              <w:ind w:left="100"/>
              <w:spacing w:after="0"/>
              <w:rPr>
                <w:sz w:val="20"/>
                <w:szCs w:val="20"/>
                <w:color w:val="auto"/>
              </w:rPr>
            </w:pPr>
            <w:r>
              <w:rPr>
                <w:rFonts w:ascii="Arial" w:cs="Arial" w:eastAsia="Arial" w:hAnsi="Arial"/>
                <w:sz w:val="18"/>
                <w:szCs w:val="18"/>
                <w:color w:val="auto"/>
                <w:w w:val="86"/>
              </w:rPr>
              <w:t>per share, the</w:t>
            </w:r>
          </w:p>
        </w:tc>
        <w:tc>
          <w:tcPr>
            <w:tcW w:w="0" w:type="dxa"/>
            <w:vAlign w:val="bottom"/>
          </w:tcPr>
          <w:p>
            <w:pPr>
              <w:spacing w:after="0"/>
              <w:rPr>
                <w:sz w:val="1"/>
                <w:szCs w:val="1"/>
                <w:color w:val="auto"/>
              </w:rPr>
            </w:pPr>
          </w:p>
        </w:tc>
      </w:tr>
      <w:tr>
        <w:trPr>
          <w:trHeight w:val="216"/>
        </w:trPr>
        <w:tc>
          <w:tcPr>
            <w:tcW w:w="11400" w:type="dxa"/>
            <w:vAlign w:val="bottom"/>
            <w:gridSpan w:val="13"/>
          </w:tcPr>
          <w:p>
            <w:pPr>
              <w:spacing w:after="0"/>
              <w:rPr>
                <w:sz w:val="20"/>
                <w:szCs w:val="20"/>
                <w:color w:val="auto"/>
              </w:rPr>
            </w:pPr>
            <w:r>
              <w:rPr>
                <w:rFonts w:ascii="Arial" w:cs="Arial" w:eastAsia="Arial" w:hAnsi="Arial"/>
                <w:sz w:val="18"/>
                <w:szCs w:val="18"/>
                <w:color w:val="auto"/>
                <w:w w:val="95"/>
              </w:rPr>
              <w:t>midpoint of the price range set forth on the cover page of this prospectus, and after deducting estimated underwriting discounts and commissions and</w:t>
            </w:r>
          </w:p>
        </w:tc>
        <w:tc>
          <w:tcPr>
            <w:tcW w:w="0" w:type="dxa"/>
            <w:vAlign w:val="bottom"/>
          </w:tcPr>
          <w:p>
            <w:pPr>
              <w:spacing w:after="0"/>
              <w:rPr>
                <w:sz w:val="1"/>
                <w:szCs w:val="1"/>
                <w:color w:val="auto"/>
              </w:rPr>
            </w:pPr>
          </w:p>
        </w:tc>
      </w:tr>
      <w:tr>
        <w:trPr>
          <w:trHeight w:val="216"/>
        </w:trPr>
        <w:tc>
          <w:tcPr>
            <w:tcW w:w="10320" w:type="dxa"/>
            <w:vAlign w:val="bottom"/>
            <w:gridSpan w:val="12"/>
          </w:tcPr>
          <w:p>
            <w:pPr>
              <w:spacing w:after="0"/>
              <w:rPr>
                <w:sz w:val="20"/>
                <w:szCs w:val="20"/>
                <w:color w:val="auto"/>
              </w:rPr>
            </w:pPr>
            <w:r>
              <w:rPr>
                <w:rFonts w:ascii="Arial" w:cs="Arial" w:eastAsia="Arial" w:hAnsi="Arial"/>
                <w:sz w:val="18"/>
                <w:szCs w:val="18"/>
                <w:color w:val="auto"/>
                <w:w w:val="90"/>
              </w:rPr>
              <w:t>estimated offering expenses payable by us, our pro forma net tangible book value as of September 30, 2016 would have been approximately $</w:t>
            </w:r>
          </w:p>
        </w:tc>
        <w:tc>
          <w:tcPr>
            <w:tcW w:w="1080" w:type="dxa"/>
            <w:vAlign w:val="bottom"/>
          </w:tcPr>
          <w:p>
            <w:pPr>
              <w:ind w:left="460"/>
              <w:spacing w:after="0"/>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or $</w:t>
            </w:r>
          </w:p>
        </w:tc>
        <w:tc>
          <w:tcPr>
            <w:tcW w:w="8740" w:type="dxa"/>
            <w:vAlign w:val="bottom"/>
            <w:gridSpan w:val="7"/>
          </w:tcPr>
          <w:p>
            <w:pPr>
              <w:ind w:left="460"/>
              <w:spacing w:after="0"/>
              <w:rPr>
                <w:sz w:val="20"/>
                <w:szCs w:val="20"/>
                <w:color w:val="auto"/>
              </w:rPr>
            </w:pPr>
            <w:r>
              <w:rPr>
                <w:rFonts w:ascii="Arial" w:cs="Arial" w:eastAsia="Arial" w:hAnsi="Arial"/>
                <w:sz w:val="18"/>
                <w:szCs w:val="18"/>
                <w:color w:val="auto"/>
                <w:w w:val="92"/>
              </w:rPr>
              <w:t>per share of our common stock. This represents an immediate increase in pro forma net tangible book value of $</w:t>
            </w:r>
          </w:p>
        </w:tc>
        <w:tc>
          <w:tcPr>
            <w:tcW w:w="200" w:type="dxa"/>
            <w:vAlign w:val="bottom"/>
          </w:tcPr>
          <w:p>
            <w:pPr>
              <w:spacing w:after="0"/>
              <w:rPr>
                <w:sz w:val="18"/>
                <w:szCs w:val="18"/>
                <w:color w:val="auto"/>
              </w:rPr>
            </w:pPr>
          </w:p>
        </w:tc>
        <w:tc>
          <w:tcPr>
            <w:tcW w:w="2080" w:type="dxa"/>
            <w:vAlign w:val="bottom"/>
            <w:gridSpan w:val="4"/>
          </w:tcPr>
          <w:p>
            <w:pPr>
              <w:ind w:left="140"/>
              <w:spacing w:after="0"/>
              <w:rPr>
                <w:sz w:val="20"/>
                <w:szCs w:val="20"/>
                <w:color w:val="auto"/>
              </w:rPr>
            </w:pPr>
            <w:r>
              <w:rPr>
                <w:rFonts w:ascii="Arial" w:cs="Arial" w:eastAsia="Arial" w:hAnsi="Arial"/>
                <w:sz w:val="18"/>
                <w:szCs w:val="18"/>
                <w:color w:val="auto"/>
                <w:w w:val="99"/>
              </w:rPr>
              <w:t>per share to our existing</w:t>
            </w:r>
          </w:p>
        </w:tc>
        <w:tc>
          <w:tcPr>
            <w:tcW w:w="0" w:type="dxa"/>
            <w:vAlign w:val="bottom"/>
          </w:tcPr>
          <w:p>
            <w:pPr>
              <w:spacing w:after="0"/>
              <w:rPr>
                <w:sz w:val="1"/>
                <w:szCs w:val="1"/>
                <w:color w:val="auto"/>
              </w:rPr>
            </w:pP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w w:val="98"/>
              </w:rPr>
              <w:t>stockholders and an immediate dilution of $</w:t>
            </w:r>
          </w:p>
        </w:tc>
        <w:tc>
          <w:tcPr>
            <w:tcW w:w="5680" w:type="dxa"/>
            <w:vAlign w:val="bottom"/>
            <w:gridSpan w:val="5"/>
          </w:tcPr>
          <w:p>
            <w:pPr>
              <w:ind w:left="280"/>
              <w:spacing w:after="0"/>
              <w:rPr>
                <w:sz w:val="20"/>
                <w:szCs w:val="20"/>
                <w:color w:val="auto"/>
              </w:rPr>
            </w:pPr>
            <w:r>
              <w:rPr>
                <w:rFonts w:ascii="Arial" w:cs="Arial" w:eastAsia="Arial" w:hAnsi="Arial"/>
                <w:sz w:val="18"/>
                <w:szCs w:val="18"/>
                <w:color w:val="auto"/>
              </w:rPr>
              <w:t>per share to investors purchasing shares in this offering, as follows:</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1000" w:type="dxa"/>
            <w:vAlign w:val="bottom"/>
            <w:vMerge w:val="restart"/>
          </w:tcPr>
          <w:p>
            <w:pPr>
              <w:spacing w:after="0"/>
              <w:rPr>
                <w:sz w:val="21"/>
                <w:szCs w:val="21"/>
                <w:color w:val="auto"/>
              </w:rPr>
            </w:pPr>
          </w:p>
        </w:tc>
        <w:tc>
          <w:tcPr>
            <w:tcW w:w="6720" w:type="dxa"/>
            <w:vAlign w:val="bottom"/>
            <w:gridSpan w:val="3"/>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 per share as of September 30, 2016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4"/>
              </w:rPr>
              <w:t>Increase in pro forma net tangible book value per share attributable to new investors</w:t>
            </w:r>
          </w:p>
        </w:tc>
        <w:tc>
          <w:tcPr>
            <w:tcW w:w="3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720" w:type="dxa"/>
            <w:vAlign w:val="bottom"/>
            <w:gridSpan w:val="4"/>
          </w:tcPr>
          <w:p>
            <w:pPr>
              <w:ind w:left="1000"/>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Dilution per share to investors in this offering</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 $1.00 increase (decrease) in the assumed initial public offering price of $ per share, the midpoint of the price range set forth on the cover page of this prospectus, would increase (decrease) our pro forma net tangible book value, as adjusted to give effect to this offering, by $ per share, the increase (decrease) attributable to this offering by $ per share, and the dilution in pro forma as adjusted net tangible book value per share to new investors in this offering by $ per share, assuming the number of shares offered by us, as set forth on the cover page of this prospectus, remains the</w:t>
      </w:r>
    </w:p>
    <w:p>
      <w:pPr>
        <w:spacing w:after="0" w:line="2" w:lineRule="exact"/>
        <w:rPr>
          <w:sz w:val="20"/>
          <w:szCs w:val="20"/>
          <w:color w:val="auto"/>
        </w:rPr>
      </w:pPr>
    </w:p>
    <w:p>
      <w:pPr>
        <w:ind w:right="80"/>
        <w:spacing w:after="0" w:line="562" w:lineRule="auto"/>
        <w:rPr>
          <w:sz w:val="20"/>
          <w:szCs w:val="20"/>
          <w:color w:val="auto"/>
        </w:rPr>
      </w:pPr>
      <w:r>
        <w:rPr>
          <w:rFonts w:ascii="Arial" w:cs="Arial" w:eastAsia="Arial" w:hAnsi="Arial"/>
          <w:sz w:val="16"/>
          <w:szCs w:val="16"/>
          <w:color w:val="auto"/>
        </w:rPr>
        <w:t>same, and after 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dilution per share to investors in this offering, by $ per share. Each decrease of one million shares in the number of shares offered by us would decrease our pro forma as adjusted net tangible book value per share, and increase the dilution per share to investors in this offering, by $ per share.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in full to purchase additional shares, the pro forma net tangible book value per share of our common stock after</w:t>
      </w:r>
    </w:p>
    <w:p>
      <w:pPr>
        <w:spacing w:after="0" w:line="46"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giving effect to this offering would be $</w:t>
      </w:r>
      <w:r>
        <w:rPr>
          <w:sz w:val="20"/>
          <w:szCs w:val="20"/>
          <w:color w:val="auto"/>
        </w:rPr>
        <w:tab/>
      </w:r>
      <w:r>
        <w:rPr>
          <w:rFonts w:ascii="Arial" w:cs="Arial" w:eastAsia="Arial" w:hAnsi="Arial"/>
          <w:sz w:val="16"/>
          <w:szCs w:val="16"/>
          <w:color w:val="auto"/>
        </w:rPr>
        <w:t>per share, and the dilution in net tangible book value per share to investors in this offering would be</w:t>
      </w:r>
    </w:p>
    <w:p>
      <w:pPr>
        <w:spacing w:after="0" w:line="9" w:lineRule="exact"/>
        <w:rPr>
          <w:sz w:val="20"/>
          <w:szCs w:val="20"/>
          <w:color w:val="auto"/>
        </w:rPr>
      </w:pPr>
    </w:p>
    <w:p>
      <w:pPr>
        <w:ind w:left="640" w:hanging="632"/>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 share.</w:t>
      </w:r>
    </w:p>
    <w:p>
      <w:pPr>
        <w:spacing w:after="0" w:line="211"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following table summarizes, on a pro forma as adjusted basis as of September 30, 2016 after giving effect to (i) the automatic conversion of all outstanding shares of our convertible preferred stock into 80,645,051 shares of common stock as of immediately prior to the closing of this offering and</w:t>
      </w:r>
    </w:p>
    <w:p>
      <w:pPr>
        <w:spacing w:after="0"/>
        <w:tabs>
          <w:tab w:leader="none" w:pos="1860" w:val="left"/>
          <w:tab w:leader="none" w:pos="8620" w:val="left"/>
        </w:tabs>
        <w:rPr>
          <w:sz w:val="20"/>
          <w:szCs w:val="20"/>
          <w:color w:val="auto"/>
        </w:rPr>
      </w:pPr>
      <w:r>
        <w:rPr>
          <w:rFonts w:ascii="Arial" w:cs="Arial" w:eastAsia="Arial" w:hAnsi="Arial"/>
          <w:sz w:val="18"/>
          <w:szCs w:val="18"/>
          <w:color w:val="auto"/>
        </w:rPr>
        <w:t>(ii) the issuance of</w:t>
      </w:r>
      <w:r>
        <w:rPr>
          <w:sz w:val="20"/>
          <w:szCs w:val="20"/>
          <w:color w:val="auto"/>
        </w:rPr>
        <w:tab/>
      </w:r>
      <w:r>
        <w:rPr>
          <w:rFonts w:ascii="Arial" w:cs="Arial" w:eastAsia="Arial" w:hAnsi="Arial"/>
          <w:sz w:val="18"/>
          <w:szCs w:val="18"/>
          <w:color w:val="auto"/>
        </w:rPr>
        <w:t>shares of common stock in this offering at an assumed initial public offering price of $</w:t>
      </w:r>
      <w:r>
        <w:rPr>
          <w:sz w:val="20"/>
          <w:szCs w:val="20"/>
          <w:color w:val="auto"/>
        </w:rPr>
        <w:tab/>
      </w:r>
      <w:r>
        <w:rPr>
          <w:rFonts w:ascii="Arial" w:cs="Arial" w:eastAsia="Arial" w:hAnsi="Arial"/>
          <w:sz w:val="15"/>
          <w:szCs w:val="15"/>
          <w:color w:val="auto"/>
        </w:rPr>
        <w:t>per share,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midpoint of the price range set forth on the cover page of this prospectus,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Shares Purchased</w:t>
            </w:r>
          </w:p>
        </w:tc>
        <w:tc>
          <w:tcPr>
            <w:tcW w:w="34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82"/>
        </w:trPr>
        <w:tc>
          <w:tcPr>
            <w:tcW w:w="6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52"/>
        </w:trPr>
        <w:tc>
          <w:tcPr>
            <w:tcW w:w="6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4"/>
                <w:szCs w:val="4"/>
                <w:color w:val="auto"/>
              </w:rPr>
            </w:pPr>
          </w:p>
        </w:tc>
        <w:tc>
          <w:tcPr>
            <w:tcW w:w="82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460" w:type="dxa"/>
            <w:vAlign w:val="bottom"/>
          </w:tcPr>
          <w:p>
            <w:pPr>
              <w:spacing w:after="0"/>
              <w:rPr>
                <w:sz w:val="4"/>
                <w:szCs w:val="4"/>
                <w:color w:val="auto"/>
              </w:rPr>
            </w:pPr>
          </w:p>
        </w:tc>
        <w:tc>
          <w:tcPr>
            <w:tcW w:w="840" w:type="dxa"/>
            <w:vAlign w:val="bottom"/>
            <w:gridSpan w:val="2"/>
            <w:vMerge w:val="restart"/>
          </w:tcPr>
          <w:p>
            <w:pPr>
              <w:jc w:val="right"/>
              <w:ind w:right="270"/>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New public investors</w:t>
            </w:r>
          </w:p>
        </w:tc>
        <w:tc>
          <w:tcPr>
            <w:tcW w:w="6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367"/>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60" w:type="dxa"/>
            <w:vAlign w:val="bottom"/>
          </w:tcPr>
          <w:p>
            <w:pPr>
              <w:ind w:left="460"/>
              <w:spacing w:after="0"/>
              <w:rPr>
                <w:sz w:val="20"/>
                <w:szCs w:val="20"/>
                <w:color w:val="auto"/>
              </w:rPr>
            </w:pPr>
            <w:r>
              <w:rPr>
                <w:rFonts w:ascii="Arial" w:cs="Arial" w:eastAsia="Arial" w:hAnsi="Arial"/>
                <w:sz w:val="18"/>
                <w:szCs w:val="18"/>
                <w:color w:val="auto"/>
                <w:w w:val="95"/>
              </w:rPr>
              <w:t>A $1.00 increase (decrease) in the assumed initial public offering price of $</w:t>
            </w:r>
          </w:p>
        </w:tc>
        <w:tc>
          <w:tcPr>
            <w:tcW w:w="5260" w:type="dxa"/>
            <w:vAlign w:val="bottom"/>
            <w:gridSpan w:val="13"/>
          </w:tcPr>
          <w:p>
            <w:pPr>
              <w:ind w:left="280"/>
              <w:spacing w:after="0"/>
              <w:rPr>
                <w:sz w:val="20"/>
                <w:szCs w:val="20"/>
                <w:color w:val="auto"/>
              </w:rPr>
            </w:pPr>
            <w:r>
              <w:rPr>
                <w:rFonts w:ascii="Arial" w:cs="Arial" w:eastAsia="Arial" w:hAnsi="Arial"/>
                <w:sz w:val="18"/>
                <w:szCs w:val="18"/>
                <w:color w:val="auto"/>
                <w:w w:val="90"/>
              </w:rPr>
              <w:t>per share, the midpoint of the price range set forth on the cover page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of this prospectus, would increase (decrease) total consideration paid by new investors and total consideration paid by all stockholders by approximately</w:t>
      </w:r>
    </w:p>
    <w:p>
      <w:pPr>
        <w:spacing w:after="0" w:line="32" w:lineRule="exact"/>
        <w:rPr>
          <w:sz w:val="20"/>
          <w:szCs w:val="20"/>
          <w:color w:val="auto"/>
        </w:rPr>
      </w:pPr>
    </w:p>
    <w:p>
      <w:pPr>
        <w:ind w:right="300" w:firstLine="8"/>
        <w:spacing w:after="0" w:line="261" w:lineRule="auto"/>
        <w:tabs>
          <w:tab w:leader="none" w:pos="63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are exercised, investors will experience further dilution.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Except as otherwise indicated, the above discussion and tables assume no exercise of the underwriters’ option to purchase additional shares. If the</w:t>
      </w:r>
    </w:p>
    <w:p>
      <w:pPr>
        <w:spacing w:after="0" w:line="35" w:lineRule="exact"/>
        <w:rPr>
          <w:sz w:val="20"/>
          <w:szCs w:val="20"/>
          <w:color w:val="auto"/>
        </w:rPr>
      </w:pPr>
    </w:p>
    <w:p>
      <w:pPr>
        <w:ind w:left="540" w:right="420" w:hanging="539"/>
        <w:spacing w:after="0" w:line="261" w:lineRule="auto"/>
        <w:rPr>
          <w:sz w:val="20"/>
          <w:szCs w:val="20"/>
          <w:color w:val="auto"/>
        </w:rPr>
      </w:pPr>
      <w:r>
        <w:rPr>
          <w:rFonts w:ascii="Arial" w:cs="Arial" w:eastAsia="Arial" w:hAnsi="Arial"/>
          <w:sz w:val="18"/>
          <w:szCs w:val="18"/>
          <w:color w:val="auto"/>
        </w:rPr>
        <w:t>underwriters exercise their option to purchase additional shares in full, our existing stockholders would own</w:t>
      </w:r>
      <w:r>
        <w:rPr>
          <w:sz w:val="20"/>
          <w:szCs w:val="20"/>
          <w:color w:val="auto"/>
        </w:rPr>
        <w:t xml:space="preserve"> </w:t>
      </w:r>
      <w:r>
        <w:rPr>
          <w:rFonts w:ascii="Arial" w:cs="Arial" w:eastAsia="Arial" w:hAnsi="Arial"/>
          <w:sz w:val="18"/>
          <w:szCs w:val="18"/>
          <w:color w:val="auto"/>
        </w:rPr>
        <w:t>% and our new investors would own % of the total number of shares of our common stock outstanding upon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99,115,774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2016, and excludes:</w:t>
      </w:r>
    </w:p>
    <w:p>
      <w:pPr>
        <w:spacing w:after="0" w:line="116" w:lineRule="exact"/>
        <w:rPr>
          <w:sz w:val="20"/>
          <w:szCs w:val="20"/>
          <w:color w:val="auto"/>
        </w:rPr>
      </w:pPr>
    </w:p>
    <w:p>
      <w:pPr>
        <w:ind w:left="900" w:right="6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12,997,698 shares of common stock issuable upon the exercise of options outstanding as of September 30, 2016, with a weighted-average exercise price of $0.59 per share;</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362,000 shares of common stock issuable upon the exercise of options granted after September 30, 2016, with an exercise price of $1.60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3,593,212 shares of common</w:t>
      </w:r>
    </w:p>
    <w:p>
      <w:pPr>
        <w:spacing w:after="0" w:line="46" w:lineRule="exact"/>
        <w:rPr>
          <w:sz w:val="20"/>
          <w:szCs w:val="20"/>
          <w:color w:val="auto"/>
        </w:rPr>
      </w:pPr>
    </w:p>
    <w:p>
      <w:pPr>
        <w:ind w:left="900" w:right="20"/>
        <w:spacing w:after="0" w:line="281" w:lineRule="auto"/>
        <w:rPr>
          <w:sz w:val="20"/>
          <w:szCs w:val="20"/>
          <w:color w:val="auto"/>
        </w:rPr>
      </w:pPr>
      <w:r>
        <w:rPr>
          <w:rFonts w:ascii="Arial" w:cs="Arial" w:eastAsia="Arial" w:hAnsi="Arial"/>
          <w:sz w:val="16"/>
          <w:szCs w:val="16"/>
          <w:color w:val="auto"/>
        </w:rPr>
        <w:t>stock reserved for future issuance under our 2006 Equity Incentive Plan as of September 30, 2016, (b) shares of common stock reserved for future issuance under our 2016 Equity Incentive Plan, which will become effective on the date immediately prior to the date of this prospectus</w:t>
      </w:r>
    </w:p>
    <w:p>
      <w:pPr>
        <w:spacing w:after="0" w:line="1" w:lineRule="exact"/>
        <w:rPr>
          <w:sz w:val="20"/>
          <w:szCs w:val="20"/>
          <w:color w:val="auto"/>
        </w:rPr>
      </w:pPr>
    </w:p>
    <w:p>
      <w:pPr>
        <w:ind w:left="900"/>
        <w:spacing w:after="0" w:line="292" w:lineRule="auto"/>
        <w:rPr>
          <w:sz w:val="20"/>
          <w:szCs w:val="20"/>
          <w:color w:val="auto"/>
        </w:rPr>
      </w:pPr>
      <w:r>
        <w:rPr>
          <w:rFonts w:ascii="Arial" w:cs="Arial" w:eastAsia="Arial" w:hAnsi="Arial"/>
          <w:sz w:val="16"/>
          <w:szCs w:val="16"/>
          <w:color w:val="auto"/>
        </w:rPr>
        <w:t>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68" w:lineRule="exact"/>
        <w:rPr>
          <w:sz w:val="20"/>
          <w:szCs w:val="20"/>
          <w:color w:val="auto"/>
        </w:rPr>
      </w:pPr>
    </w:p>
    <w:p>
      <w:pPr>
        <w:ind w:left="900" w:right="28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September 30, 2016, with an exercise price of $0.65 per share, that do not expire upon the closing of this offering.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selected statements of operations data for the years ended December 31, 2014 and 2015 and the balance sheet data as of December 31, 2014 and 2015 are derived from our audited financial statements included elsewhere in this prospectus. The selected consolidated statements of operations data for the nine months ended September 30, 2015 and 2016 and the consolidated balance sheet data as of September 30, 2016 have been derived from our unaudited consolidated financial statements included elsewhere in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summary statements of operations data presented below for the year ended December 31, 2013 are derived from our audited financial statements not included in this prospectus.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prospectus.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7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7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Collaboration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5,483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15,838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17,571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13,517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8,820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17,304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10,732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gridSpan w:val="2"/>
          </w:tcPr>
          <w:p>
            <w:pPr>
              <w:ind w:left="106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13,247</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(3,322)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(1,281)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(1,528)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80" w:type="dxa"/>
            <w:vAlign w:val="bottom"/>
          </w:tcPr>
          <w:p>
            <w:pPr>
              <w:ind w:left="280"/>
              <w:spacing w:after="0"/>
              <w:rPr>
                <w:sz w:val="20"/>
                <w:szCs w:val="20"/>
                <w:color w:val="auto"/>
              </w:rPr>
            </w:pPr>
            <w:r>
              <w:rPr>
                <w:rFonts w:ascii="Arial" w:cs="Arial" w:eastAsia="Arial" w:hAnsi="Arial"/>
                <w:sz w:val="18"/>
                <w:szCs w:val="18"/>
                <w:color w:val="auto"/>
              </w:rPr>
              <w:t>Total other income (expense), net</w:t>
            </w: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(2,113)</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(5,266)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(1,843)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ind w:left="1060"/>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(1,893)</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Net income attributed to participating securities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(5,545)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(5,405)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(1,893)</w:t>
            </w: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Net income (loss) per common share: </w:t>
            </w:r>
            <w:r>
              <w:rPr>
                <w:rFonts w:ascii="Arial" w:cs="Arial" w:eastAsia="Arial" w:hAnsi="Arial"/>
                <w:sz w:val="15"/>
                <w:szCs w:val="15"/>
                <w:color w:val="auto"/>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4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Weighted-average number of shares outstanding: </w:t>
            </w:r>
            <w:r>
              <w:rPr>
                <w:rFonts w:ascii="Arial" w:cs="Arial" w:eastAsia="Arial" w:hAnsi="Arial"/>
                <w:sz w:val="15"/>
                <w:szCs w:val="15"/>
                <w:color w:val="auto"/>
              </w:rPr>
              <w:t>(1)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17,368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17,857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17,694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gridSpan w:val="2"/>
            <w:vMerge w:val="restart"/>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17,857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17,694</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Pro forma net income (loss) per common share (unaudited):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Basic and diluted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Pro forma weighted-average number of shares outstanding (unaudited): </w:t>
            </w:r>
            <w:r>
              <w:rPr>
                <w:rFonts w:ascii="Arial" w:cs="Arial" w:eastAsia="Arial" w:hAnsi="Arial"/>
                <w:sz w:val="15"/>
                <w:szCs w:val="15"/>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77,926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77,926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8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Note 2 to our annual consolidated financial statements for an explanation of the method used to calculate basic and diluted net income (loss) per common share, unaudited pro forma basic and diluted net loss per common share and the weighted-average number of shares used in the computation of the per share amounts.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7"/>
              </w:rPr>
              <w:t>As of</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4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9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1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4160" w:type="dxa"/>
            <w:vAlign w:val="bottom"/>
          </w:tcPr>
          <w:p>
            <w:pPr>
              <w:spacing w:after="0"/>
              <w:rPr>
                <w:sz w:val="12"/>
                <w:szCs w:val="12"/>
                <w:color w:val="auto"/>
              </w:rPr>
            </w:pPr>
          </w:p>
        </w:tc>
        <w:tc>
          <w:tcPr>
            <w:tcW w:w="6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0" w:type="dxa"/>
            <w:vAlign w:val="bottom"/>
            <w:gridSpan w:val="3"/>
          </w:tcPr>
          <w:p>
            <w:pPr>
              <w:jc w:val="right"/>
              <w:ind w:right="308"/>
              <w:spacing w:after="0"/>
              <w:rPr>
                <w:sz w:val="20"/>
                <w:szCs w:val="20"/>
                <w:color w:val="auto"/>
              </w:rPr>
            </w:pPr>
            <w:r>
              <w:rPr>
                <w:rFonts w:ascii="Arial" w:cs="Arial" w:eastAsia="Arial" w:hAnsi="Arial"/>
                <w:sz w:val="18"/>
                <w:szCs w:val="18"/>
                <w:color w:val="auto"/>
              </w:rPr>
              <w:t>$ 22,188</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6"/>
              </w:rPr>
              <w:t>$ 51,684</w:t>
            </w: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47,134</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25,065</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56,280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55,837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5200" w:type="dxa"/>
            <w:vAlign w:val="bottom"/>
            <w:gridSpan w:val="3"/>
          </w:tcPr>
          <w:p>
            <w:pPr>
              <w:jc w:val="right"/>
              <w:ind w:right="308"/>
              <w:spacing w:after="0"/>
              <w:rPr>
                <w:sz w:val="20"/>
                <w:szCs w:val="20"/>
                <w:color w:val="auto"/>
              </w:rPr>
            </w:pPr>
            <w:r>
              <w:rPr>
                <w:rFonts w:ascii="Arial" w:cs="Arial" w:eastAsia="Arial" w:hAnsi="Arial"/>
                <w:sz w:val="18"/>
                <w:szCs w:val="18"/>
                <w:color w:val="auto"/>
              </w:rPr>
              <w:t>4,793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5200" w:type="dxa"/>
            <w:vAlign w:val="bottom"/>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569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1,214</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5200" w:type="dxa"/>
            <w:vAlign w:val="bottom"/>
            <w:gridSpan w:val="3"/>
          </w:tcPr>
          <w:p>
            <w:pPr>
              <w:jc w:val="right"/>
              <w:ind w:right="308"/>
              <w:spacing w:after="0"/>
              <w:rPr>
                <w:sz w:val="20"/>
                <w:szCs w:val="20"/>
                <w:color w:val="auto"/>
              </w:rPr>
            </w:pPr>
            <w:r>
              <w:rPr>
                <w:rFonts w:ascii="Arial" w:cs="Arial" w:eastAsia="Arial" w:hAnsi="Arial"/>
                <w:sz w:val="18"/>
                <w:szCs w:val="18"/>
                <w:color w:val="auto"/>
              </w:rPr>
              <w:t>36,828</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77,516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77,516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520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(30,835)</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(35,179)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(33,973)</w:t>
            </w:r>
          </w:p>
        </w:tc>
      </w:tr>
      <w:tr>
        <w:trPr>
          <w:trHeight w:val="365"/>
        </w:trPr>
        <w:tc>
          <w:tcPr>
            <w:tcW w:w="4120" w:type="dxa"/>
            <w:vAlign w:val="bottom"/>
          </w:tcPr>
          <w:p>
            <w:pPr>
              <w:spacing w:after="0"/>
              <w:rPr>
                <w:sz w:val="24"/>
                <w:szCs w:val="24"/>
                <w:color w:val="auto"/>
              </w:rPr>
            </w:pPr>
          </w:p>
        </w:tc>
        <w:tc>
          <w:tcPr>
            <w:tcW w:w="4160" w:type="dxa"/>
            <w:vAlign w:val="bottom"/>
          </w:tcPr>
          <w:p>
            <w:pPr>
              <w:jc w:val="right"/>
              <w:ind w:right="239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have completed a Phase 1 trial of 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cleared an Investigational New Drug application, or IND, with the U.S. Food and Drug Administration, or FDA, and a Clinical Trial Authorisation, or CTA, to the U.K. Medicines and Healthcare Products Regulatory Agency, or MHRA, to initiate Phase 2a trials of ANB020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ANB019 inhibits the interleukin-36, or IL-36R, receptor for the treatment of rare inflammatory diseases including generalized pustular psoriasis, or GPP, and palmo-plantar pustular psoriasis, or PPP. In November 2016, we submitted a CTN for ANB019 and, if cleared, we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which have demonstrated efficacy in an animal model of graft-versus-host disease.</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Under our TESARO collaboration, a Phase 1 clinical trial was initiated during the first quarter of 2016 to study an AnaptysBio-generated anti-PD-1 antagonist antibody (TSR-042) in patients under an IND cleared by the U.S. FDA. We anticipate initiation of a registration program for TSR-042 by TESARO during the first half of 2017. A second Phase 1 trial was initiated during the third quarter of 2016 to study an AnaptysBio-generated anti-TIM-3 antagonist antibody (TSR-022) in patients under a separate IND cleared by the FDA. We anticipate initiation of a combination trial of TSR-022 with an anti-PD-1 antibody by TESARO during the first half of 2017. Under our Celgene collaboration,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or GLPs, for an AnaptysBio-generated antibody was completed during the second quarter of 2016, and a U.S. IND was cleared by the FDA and a Phase 1 trial was initiated in December 2016. Including the aforementioned programs, we expect that our collaborators will advance four AnaptysBio-generated antibodies to the clinic by the end of the first half of 2017. Through the date of this prospectus, we have received $65.4 million in non-dilutive funding from our collaborators.</w:t>
      </w:r>
    </w:p>
    <w:p>
      <w:pPr>
        <w:spacing w:after="0" w:line="197" w:lineRule="exact"/>
        <w:rPr>
          <w:sz w:val="20"/>
          <w:szCs w:val="20"/>
          <w:color w:val="auto"/>
        </w:rPr>
      </w:pPr>
    </w:p>
    <w:p>
      <w:pPr>
        <w:jc w:val="both"/>
        <w:ind w:right="600"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November 30, 2016, we have raised $94.3 million from investors, including Biotechnology Value Fund, Cormorant Asset Management, Frazier Healthcare, HBM Partners, Longwood Capital Partners and Novo A/S.</w:t>
      </w:r>
    </w:p>
    <w:p>
      <w:pPr>
        <w:spacing w:after="0" w:line="181"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have generated multiple antibodies by using our SHM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September 30, 2016, we had an accumulated deficit of $50.3 million primarily as a result of losses incurred since our inception in 2005. Although we reported net income of $3.5 million during the year ended December 31, 2014 and $0.3 million during the nine months ended September 30, 2016, we expect to continue to incur net operating losses for at least the next several years as we advance our products</w:t>
      </w:r>
    </w:p>
    <w:p>
      <w:pPr>
        <w:sectPr>
          <w:pgSz w:w="11900" w:h="16838" w:orient="portrait"/>
          <w:cols w:equalWidth="0" w:num="1">
            <w:col w:w="11400"/>
          </w:cols>
          <w:pgMar w:left="240" w:top="459" w:right="259" w:bottom="1135"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00"/>
          </w:cols>
          <w:pgMar w:left="240" w:top="459" w:right="259" w:bottom="1135"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900" w:firstLine="456"/>
        <w:spacing w:after="0" w:line="308"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Exclusive License Agreement with TESARO</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In March 2014, we entered into an exclusive worldwide license and collaboration agreement with TESARO for the development and commercialization of therapeutic monospecific and bispecific antibodies that antagonize PD-1, TIM-3, LAG-3 and/or a fourth undisclosed checkpoint receptor.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over the same period that our research and development services, for which we are reimbursed, are performed, which was extended through December 31, 2016 by amendment of the agreement in February 2016. From inception of the agreement through September 30, 2016, we have recognized $42.5 million in total revenue from TESARO.</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w:t>
      </w:r>
    </w:p>
    <w:p>
      <w:pPr>
        <w:spacing w:after="0" w:line="18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June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anti-PD-1 antagonist antibody (TSR-042) resulting in us receiving a $1.0 million milestone in July 2015. In October 2015,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anti-TIM-3 antagonist antibody (TSR-022) resulting in us receiving a $1.0 million milestone in November 2015. In January 2016, TESARO received clearance of their IND from the FDA for an AnaptysBio-generated anti-PD-1 antagonist antibody (TSR-042) resulting in us receiving a $4.0 million milestone payment in February 2016. In June 2016, TESARO received clearance of their IND from the FDA for an AnaptysBio-generated anti-TIM-3 antagonist antibody (TSR-022) resulting in us receiving a $4.0 million milestone payment in June 2016. In September 2016, TESARO initiated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using GLPs for an AnaptysBio-generated anti-LAG-3 antagonist antibody (TSR-033) resulting in us receiving a $1.0 million milestone in September 2016. We expect to receive an additional aggregate of $4.0 million in IND-related milestone payments by the end of the first half of 2017.</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Antibody Generation Agreement with Celgene Corporation</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September 30, 2016, we have recognized $9.0 million in total revenue from Celgene.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receiving a $0.5 million milestone payment in June 2016. In December 2016, Celgene cleared a U.S. IND with the FDA and initiated a Phase 1 trial for one of the two programs being advanced by Celgene, resulting in us earning an additional $1.0 million Phase 1 trial initiation milestone payment, which we expect to receive during the first quarter of 2017.</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Collaborative Agreements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are party to other collaboration agreements for which we recognized $1.7 million and $3.7 million in collaboration revenue during the years ended December 31, 2013 and 2014, respectively. We completed our obligations under these agreements in 2014 and did not recognize any additional revenue from them subsequent to the year ended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76" w:lineRule="exact"/>
        <w:rPr>
          <w:sz w:val="20"/>
          <w:szCs w:val="20"/>
          <w:color w:val="auto"/>
        </w:rPr>
      </w:pPr>
    </w:p>
    <w:p>
      <w:pPr>
        <w:ind w:left="900" w:right="62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recognize the Australian Research and Development Tax Incentive, or the Tax Incentive, as a reduction of research and development expense. The amounts are determined on a cost reimbursement basis based on our eligible research and development expenditures and are non-refundable, provided that in order to qualify for the Australian benefits we must have revenue of less than AUD $20.0 million during the reimbursable period and cannot be controlled by income tax exempt entities. The Tax Incentive is recognized when there is reasonable assurance that the Tax Incentive will be received, the relevant expenditure has been incurred, and the amount can be reliably measured.</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conducting initial clinical trials for ANB020 and plan to conduct initial clinical trials for ANB019 in Australia to rapidly enter into first-in-human studies and benefit from research and development-related financial incentives related to the development of ANB020 and ANB019. Taking into account any financial incentives, we expect our research and development expenses to be higher in the fourth quarter of 2016 and in 2017 as we advance our product candidates into clinical development.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Interest expense consists of stated interest and amortization of discounts on our outstanding notes payable relating to our Loan and Security Agreement with Oxford Finance LLC and Silicon Valley Bank, as amended, which we refer to as the Loan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 convert into warrants to purchase shares of common stock, the preferred stock warrant liabilities will be reclassified to additional paid-in capital and periodic fair value adjustments will no longer be recorded.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Research and Development Tax Credit Carryforwards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our inception through December 31, 2013, we accumulated net operating losses, or NOLs. We generated taxable income in the United States for the years ended December 31, 2014 and 2015 as a result of our collaboration agreement with TESARO as well as expenses incurred by our Australian subsidiary which are not deductible for U.S. income tax purposes. While we utilized NOLs in 2014 and 2015, we continue to have a valuation allowance against our net deferred tax assets due to the uncertainty of the realization of such assets.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December 31, 2015, we had federal and state NOL carryforwards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 forward indefinitely.</w:t>
      </w:r>
    </w:p>
    <w:p>
      <w:pPr>
        <w:spacing w:after="0" w:line="18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NOL carryforward and the research tax credit carryforwards may be subject to an annual limitation under Section 382 and 383 of the Internal Revenue Code of 1986, as amended, or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of the Code, results from transactions increasing ownership of certain stockholders or public groups in the stock of the corporation by more than 50 percentage points over a three-year period. In September 2015, we completed an IRC Section 382/383 ownership change analysis through December 31, 2014 and determined that there was an ownership change in 2007 that may limit the utilization of approximately $5.3 million and $5.4 million in Federal and state NOLs, respectively, and $0.2 million in both Federal and state research tax credits. In October 2016, we extended the analysis period of the study through December 31, 2015, noting no ownership changes during fiscal 2015. If a change in ownership occurs as a result of this offering, additional NOL and tax credits carryforwards could be eliminated or restricted. Limitations on our ability to use NOL carryforwards and research and development tax credits to offset future taxable income could require us to pay U.S. federal income tax earlier than would be required if such limitations were not in effect. Similar rules and limitations may apply for state income tax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6" w:lineRule="exact"/>
        <w:rPr>
          <w:sz w:val="20"/>
          <w:szCs w:val="20"/>
          <w:color w:val="auto"/>
        </w:rPr>
      </w:pPr>
    </w:p>
    <w:p>
      <w:pPr>
        <w:ind w:left="900" w:right="120" w:hanging="325"/>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93" w:lineRule="exact"/>
        <w:rPr>
          <w:rFonts w:ascii="Arial" w:cs="Arial" w:eastAsia="Arial" w:hAnsi="Arial"/>
          <w:sz w:val="18"/>
          <w:szCs w:val="18"/>
          <w:color w:val="auto"/>
        </w:rPr>
      </w:pPr>
    </w:p>
    <w:p>
      <w:pPr>
        <w:ind w:left="900" w:right="100" w:hanging="325"/>
        <w:spacing w:after="0" w:line="297"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900" w:hanging="325"/>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7" w:lineRule="exact"/>
        <w:rPr>
          <w:sz w:val="20"/>
          <w:szCs w:val="20"/>
          <w:color w:val="auto"/>
        </w:rPr>
      </w:pPr>
    </w:p>
    <w:p>
      <w:pPr>
        <w:ind w:left="900" w:right="260" w:hanging="325"/>
        <w:spacing w:after="0" w:line="342"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fair value of the underlying common shares</w:t>
      </w:r>
      <w:r>
        <w:rPr>
          <w:rFonts w:ascii="Arial" w:cs="Arial" w:eastAsia="Arial" w:hAnsi="Arial"/>
          <w:sz w:val="16"/>
          <w:szCs w:val="16"/>
          <w:color w:val="auto"/>
        </w:rPr>
        <w:t>, as approved by our board of directors, which was determined using the option-pricing method, or</w:t>
      </w:r>
      <w:r>
        <w:rPr>
          <w:rFonts w:ascii="Arial" w:cs="Arial" w:eastAsia="Arial" w:hAnsi="Arial"/>
          <w:sz w:val="16"/>
          <w:szCs w:val="16"/>
          <w:i w:val="1"/>
          <w:iCs w:val="1"/>
          <w:color w:val="auto"/>
        </w:rPr>
        <w:t xml:space="preserve"> </w:t>
      </w:r>
      <w:r>
        <w:rPr>
          <w:rFonts w:ascii="Arial" w:cs="Arial" w:eastAsia="Arial" w:hAnsi="Arial"/>
          <w:sz w:val="16"/>
          <w:szCs w:val="16"/>
          <w:color w:val="auto"/>
        </w:rPr>
        <w:t>OPM, in periods through December 31, 2014, and the probability-weighted expected return method, or PWERM, beginning March 31, 2015;</w:t>
      </w:r>
    </w:p>
    <w:p>
      <w:pPr>
        <w:spacing w:after="0" w:line="29"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which historical information is available. Because we are privately held as of the date of these financial statements, we do not have relevant historical data to support our expected volatility;</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vesting period for all option tranches, as we have insufficient historical information regarding our stock options to provide a basis for an estimate.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computed the fair value of stock options at the date of grant using the following weighted average assumptions:</w:t>
      </w:r>
    </w:p>
    <w:p>
      <w:pPr>
        <w:spacing w:after="0" w:line="244" w:lineRule="exact"/>
        <w:rPr>
          <w:sz w:val="20"/>
          <w:szCs w:val="20"/>
          <w:color w:val="auto"/>
        </w:rPr>
      </w:pPr>
    </w:p>
    <w:p>
      <w:pPr>
        <w:jc w:val="center"/>
        <w:ind w:left="7560"/>
        <w:spacing w:after="0"/>
        <w:rPr>
          <w:sz w:val="20"/>
          <w:szCs w:val="20"/>
          <w:color w:val="auto"/>
        </w:rPr>
      </w:pPr>
      <w:r>
        <w:rPr>
          <w:rFonts w:ascii="Arial" w:cs="Arial" w:eastAsia="Arial" w:hAnsi="Arial"/>
          <w:sz w:val="14"/>
          <w:szCs w:val="14"/>
          <w:b w:val="1"/>
          <w:bCs w:val="1"/>
          <w:color w:val="auto"/>
        </w:rPr>
        <w:t>Nine Months Ended</w:t>
      </w:r>
    </w:p>
    <w:p>
      <w:pPr>
        <w:jc w:val="center"/>
        <w:ind w:left="75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77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Expected volatility</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69.2%</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6.10</w:t>
            </w: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6.25</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1"/>
              </w:rPr>
              <w:t>$ 0.61</w:t>
            </w:r>
          </w:p>
        </w:tc>
        <w:tc>
          <w:tcPr>
            <w:tcW w:w="9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$ 0.52</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6,029,814 and 1,952,425 stock options granted during the nine months ended September 30, 2015 and 2016, respectively.</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Stock-based compensation expense related to unvested stock option grants not yet recognized as of September 30, 2016 was $2.8 million and the weighted average period over which these grants are expected to vest is 2.8 years. We expect to continue to grant stock options in the future, and to the extent we do, our actual stock-based compensation expense recognized in future periods will likely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9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 guidelines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66"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67" w:lineRule="exact"/>
        <w:rPr>
          <w:sz w:val="20"/>
          <w:szCs w:val="20"/>
          <w:color w:val="auto"/>
        </w:rPr>
      </w:pPr>
    </w:p>
    <w:p>
      <w:pPr>
        <w:ind w:left="900" w:right="80" w:hanging="325"/>
        <w:spacing w:after="0" w:line="256"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Guideline Public Company Method. </w:t>
      </w:r>
      <w:r>
        <w:rPr>
          <w:rFonts w:ascii="Arial" w:cs="Arial" w:eastAsia="Arial" w:hAnsi="Arial"/>
          <w:sz w:val="18"/>
          <w:szCs w:val="18"/>
          <w:color w:val="auto"/>
        </w:rPr>
        <w:t>The guideline public company method, or GPC method, compares the subject company with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40" w:hanging="325"/>
        <w:spacing w:after="0" w:line="281"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 xml:space="preserve">Similar Transaction Method. </w:t>
      </w:r>
      <w:r>
        <w:rPr>
          <w:rFonts w:ascii="Arial" w:cs="Arial" w:eastAsia="Arial" w:hAnsi="Arial"/>
          <w:sz w:val="17"/>
          <w:szCs w:val="17"/>
          <w:color w:val="auto"/>
        </w:rPr>
        <w:t>The similar transaction method, or ST method, relies on data of actual transactions, such as mergers and</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acquisitions or completed initial public offerings, that have occurred in 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6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Methods Used to Allocate Our Enterprise Value to Classes of Securities</w:t>
      </w:r>
      <w:r>
        <w:rPr>
          <w:rFonts w:ascii="Arial" w:cs="Arial" w:eastAsia="Arial" w:hAnsi="Arial"/>
          <w:sz w:val="18"/>
          <w:szCs w:val="18"/>
          <w:color w:val="auto"/>
        </w:rPr>
        <w:t>. In accordance with the Practice Aid, we considered the various methods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83" w:lineRule="exact"/>
        <w:rPr>
          <w:sz w:val="20"/>
          <w:szCs w:val="20"/>
          <w:color w:val="auto"/>
        </w:rPr>
      </w:pPr>
    </w:p>
    <w:p>
      <w:pPr>
        <w:ind w:left="900" w:right="320" w:hanging="325"/>
        <w:spacing w:after="0" w:line="347"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preferences and conversion terms of each equity class. The values of the preferred and common stock are inferred by analyzing these options.</w:t>
      </w:r>
    </w:p>
    <w:p>
      <w:pPr>
        <w:spacing w:after="0" w:line="21" w:lineRule="exact"/>
        <w:rPr>
          <w:rFonts w:ascii="Arial" w:cs="Arial" w:eastAsia="Arial" w:hAnsi="Arial"/>
          <w:sz w:val="16"/>
          <w:szCs w:val="16"/>
          <w:color w:val="auto"/>
        </w:rPr>
      </w:pPr>
    </w:p>
    <w:p>
      <w:pPr>
        <w:ind w:left="90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PWERM is a scenario based analysis that estimates the value per share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probability-weighted present value of expected future investment returns, considering each of the possible outcomes available to us, as well as the economic and control rights of each share class.</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the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eight specific cash flows issues for which it provides specific guidance on treatment within the cash flow statement, with the intent of reducing diversity in practice. As permitted by this ASU, we elected to early adopt the standard beginning with our quarterly reporting period ended September 30, 2016, with retrospective application of the amended guidance. Upon adoption, there was no effect to our consolidated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which outlines a single comprehensive model for entities to use in accounting for revenue from contracts with customers and supersedes most current revenue recognition guidance in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which is intended to simplify the accounting for share-based payments including forfeiture rates, expected option terms, intrinsic value,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54"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29" w:lineRule="exact"/>
        <w:rPr>
          <w:sz w:val="20"/>
          <w:szCs w:val="20"/>
          <w:color w:val="auto"/>
        </w:rPr>
      </w:pPr>
    </w:p>
    <w:p>
      <w:pPr>
        <w:ind w:left="900" w:right="2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2015 and 2016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Collaboration revenue was $13.5 million and $13.9 million during the nine months ended September 30, 2015 and 2016, respectively. A comparison of revenue by collaborator is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32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6"/>
          </w:tcPr>
          <w:p>
            <w:pPr>
              <w:ind w:left="60"/>
              <w:spacing w:after="0"/>
              <w:rPr>
                <w:sz w:val="20"/>
                <w:szCs w:val="20"/>
                <w:color w:val="auto"/>
              </w:rPr>
            </w:pPr>
            <w:r>
              <w:rPr>
                <w:rFonts w:ascii="Arial" w:cs="Arial" w:eastAsia="Arial" w:hAnsi="Arial"/>
                <w:sz w:val="14"/>
                <w:szCs w:val="14"/>
                <w:b w:val="1"/>
                <w:bCs w:val="1"/>
                <w:color w:val="auto"/>
              </w:rPr>
              <w:t>Ended September 30,</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74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5,267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3,017</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(2,250)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TESARO-milestone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8,437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7,687</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Celgene-milestone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13,517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13,930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r>
      <w:tr>
        <w:trPr>
          <w:trHeight w:val="20"/>
        </w:trPr>
        <w:tc>
          <w:tcPr>
            <w:tcW w:w="6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During the first and fourth quarter of 2014 we received $17.0 million and $2.0 million, respectively, in upfront fees under our collaboration and exclusive license agreement with TESARO. For the nine months ended September 30, 2015 and 2016, we recognized the amortized portion of these upfront fees in the amounts of $7.5 million and $2.0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$5.3 million and $3.0 million during the nine months ended September 30, 2015 and 2016, respectively, for research and development services performed under the agreement.</w:t>
      </w:r>
    </w:p>
    <w:p>
      <w:pPr>
        <w:spacing w:after="0" w:line="17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 xml:space="preserve">In June 2015, TESARO initiated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studies using GLPs for an AnaptysBio-generated anti-PD-1 antagonist antibody (TSR-042) resulting in us earning a $1.0 million milestone. We recognized revenue of $0.8 million and $0.1 million during the nine months ended September 30, 2015 and 2016, respectively. The remaining milestone is being recognized ratably through December 2016, and was received in July 2015.</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February 2016.</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June 2016.</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GLPs for an AnaptysBio-generated antibody resulting in us earning a $0.5 million milestone payment in June 2016. We recognized the $0.5 million milestone payment as revenue during the nine months ended September 30, 2016. The $0.5 million milestone payment was received in June 2016.</w:t>
      </w:r>
    </w:p>
    <w:p>
      <w:pPr>
        <w:spacing w:after="0" w:line="18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December 2016, Celgene cleared a U.S. IND with the FDA and initiated a Phase 1 trial, resulting in us earning a $1.0 million milestone payment, which we expect to receive during the first quarter of 2017.</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of approximately $0.9 million. The remaining unrecognized milestone payments of $0.1 million at September 30, 2016 will be recognized ratably through December 31, 2016. The $1.0 million milestone payment was received in September 2016.</w:t>
      </w:r>
    </w:p>
    <w:p>
      <w:pPr>
        <w:spacing w:after="0" w:line="18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ectPr>
          <w:pgSz w:w="11900" w:h="16838" w:orient="portrait"/>
          <w:cols w:equalWidth="0" w:num="1">
            <w:col w:w="11380"/>
          </w:cols>
          <w:pgMar w:left="240" w:top="459" w:right="2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Research and development expenses were $10.7 million and $10.4 million during the nine months ended September 30, 2015 and 2016, respectively, for a decrease of $0.3 million. The decrease was due primarily to the recognition of a tax incentive, which reduced our expenses by $6.2 million during the nine months ended September 30, 2016, upon our determination that the tax incentive was collectible. No tax incentive was recorded during the nine months ended September 30, 2015. The decrease was offset by a $3.4 million increase in outside service for preclinical trial work, a $1.7 million increase in clinical trial work, as well as a $1.0 million increase in salaries and related expenses including recruiting and relocation expense, resulting primarily from an increase in research and development personnel.</w:t>
      </w:r>
    </w:p>
    <w:p>
      <w:pPr>
        <w:spacing w:after="0" w:line="19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expect our research and development expenses to increase as we advance our development programs further and, in particular, as we enter into clinical trials.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General and administrative expenses were $2.5 million and $3.4 million during the nine months ended September 30, 2015 and 2016, respectively, for an increase of $0.9 million. The increase was due primarily to a $0.7 million increase in salaries and related expenses for new senior level positions, and a $0.2 million increase in intellectual property related legal expenses, primarily those related to prosecuting and maintaining patent applications.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Interest expense was $0.3 million during each of the nine months ended September 30, 2015 and 2016. The interest expense represents effective interest of 9.25% and 9.29% during the nine months ended September 30, 2015 and 2016, respectively, on our outstanding Term A Loans, which had an outstanding principal balance of $5.0 million as of September 30, 2015 and 2016.</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5" w:right="2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$1.5 million and income of $0.3 million during the nine months ended September 30, 2015 and 2016, respectively, due to changes in the valuation of our Series C convertible preferred stock which impacts the estimated fair value of the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income (expense) was ($0.2) million during the nine months ended September 30, 2015 and primarily consisted of a foreign exchange loss of ($0.3) million related to our Australian subsidiary, which was established in March 2015. Other income (expense) was $0.2 million during the nine months ended September 30, 2016 and primarily consisted of interest income from our money market fund, as well as foreign exchange gains related to our Australian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Collaboration revenue was $15.8 million and $17.6 million during the years ended December 31, 2014 and 2015, respectively. A comparison of revenue by collaborator is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105"/>
              <w:spacing w:after="0"/>
              <w:rPr>
                <w:sz w:val="20"/>
                <w:szCs w:val="20"/>
                <w:color w:val="auto"/>
              </w:rPr>
            </w:pPr>
            <w:r>
              <w:rPr>
                <w:rFonts w:ascii="Arial" w:cs="Arial" w:eastAsia="Arial" w:hAnsi="Arial"/>
                <w:sz w:val="14"/>
                <w:szCs w:val="14"/>
                <w:b w:val="1"/>
                <w:bCs w:val="1"/>
                <w:color w:val="auto"/>
                <w:w w:val="98"/>
              </w:rPr>
              <w:t>Year</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Increase</w:t>
            </w:r>
          </w:p>
        </w:tc>
        <w:tc>
          <w:tcPr>
            <w:tcW w:w="0" w:type="dxa"/>
            <w:vAlign w:val="bottom"/>
          </w:tcPr>
          <w:p>
            <w:pPr>
              <w:spacing w:after="0"/>
              <w:rPr>
                <w:sz w:val="1"/>
                <w:szCs w:val="1"/>
                <w:color w:val="auto"/>
              </w:rPr>
            </w:pPr>
          </w:p>
        </w:tc>
      </w:tr>
      <w:tr>
        <w:trPr>
          <w:trHeight w:val="171"/>
        </w:trPr>
        <w:tc>
          <w:tcPr>
            <w:tcW w:w="5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ind w:left="80"/>
              <w:spacing w:after="0"/>
              <w:rPr>
                <w:sz w:val="20"/>
                <w:szCs w:val="20"/>
                <w:color w:val="auto"/>
              </w:rPr>
            </w:pPr>
            <w:r>
              <w:rPr>
                <w:rFonts w:ascii="Arial" w:cs="Arial" w:eastAsia="Arial" w:hAnsi="Arial"/>
                <w:sz w:val="14"/>
                <w:szCs w:val="14"/>
                <w:b w:val="1"/>
                <w:bCs w:val="1"/>
                <w:color w:val="auto"/>
              </w:rPr>
              <w:t>Ended December 31,</w:t>
            </w:r>
          </w:p>
        </w:tc>
        <w:tc>
          <w:tcPr>
            <w:tcW w:w="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100" w:type="dxa"/>
            <w:vAlign w:val="bottom"/>
            <w:tcBorders>
              <w:bottom w:val="single" w:sz="8" w:color="CCEEFF"/>
            </w:tcBorders>
            <w:vMerge w:val="continue"/>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4,568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6,480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TESARO-milestone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Momenta</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3,100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(3,100)</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Celgene Corporation</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598</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15,838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17,571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During the first and fourth quarter of 2014 we received $17.0 million and $2.0 million, respectively, in upfront fees under our collaboration and exclusive license agreement with TESARO. For the years ended December 31, 2014 and 2015, we recognized the amortized portion of these upfront fees in the amounts of $7.0 million and $9.4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$4.6 million and $6.5 million during the years ended December 31, 2014 and 2015, respectively, for research and development services performed under the agreement. 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under the principles of good laboratory practice, using the AnaptysBio-generated anti-PD-1 antagonist antibody (TSR-042) and the AnaptysBio-generated anti-TIM-3 antagonist antibody (TSR-</w:t>
      </w:r>
    </w:p>
    <w:p>
      <w:pPr>
        <w:spacing w:after="0" w:line="1"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022), each being advanced by TESARO. The remaining unrecognized milestone payments of $0.3 million at December 31, 2015 will be recognized ratably through December 2016.</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year ended December 31, 2014, we recognized revenue of $0.6 million, which relates to $0.5 million for a success fee and $92,000 for research and development services performed under this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 party to other collaboration agreements for which in the year ended December 31, 2014 we recognized $0.6 million in collaboration revenue. We completed our obligations under these agreements in 2014 and do not anticipate any additional revenue from them beyond 2014, and we did not recognize any additional revenue from them during the year ended December 31,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Research and development expenses were $8.6 million and $17.3 million during the years ended December 31, 2014 and 2015, respectively, for an increase of $8.7 million. The increase is due primarily to a $6.6 million increase in outside services for preclinical trial work performed primarily in Australia, as well as a $1.7 million increase in salaries and related expenses resulting primarily from an increase in research and development personnel.</w:t>
      </w:r>
    </w:p>
    <w:p>
      <w:pPr>
        <w:sectPr>
          <w:pgSz w:w="11900" w:h="16838" w:orient="portrait"/>
          <w:cols w:equalWidth="0" w:num="1">
            <w:col w:w="11400"/>
          </w:cols>
          <w:pgMar w:left="240" w:top="459" w:right="25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00"/>
          </w:cols>
          <w:pgMar w:left="240" w:top="459" w:right="259" w:bottom="1440" w:gutter="0" w:footer="0" w:header="0"/>
          <w:type w:val="continuous"/>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General and administrative expenses were $2.4 million and $3.6 million during the years ended December 31, 2014 and 2015, respectively, for an increase of $1.2 million. The increase is due primarily to a $0.7 million increase in salaries and related expenses for new senior level positions, and a $0.4 million increase in audit and tax fees for additional quarterly and annual services required in preparation for our initial public offering.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Interest expense was $1.3 million and $0.5 million during the years ended December 31, 2014 and 2015, respectively, for a decrease of $0.8 million. The interest expense for the year ended December 31, 2014 represents stated interest of 10.0% on our convertible promissory notes principal of $2.0 million, as well as the write-off of the remaining discount on our convertible promissory notes upon conversion of the notes into shares of Series C-1 preferred stock. The interest expense for the year ended December 31, 2015 represents effective interest of 9.25% on our outstanding Term A Loans, which had an outstanding principal balance of $5.0 million as of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and $1.3 million during the years ended December 31, 2014 and 2015, respectively, due to an increase in the valuation of our Series C convertible preferred stock which had the effect of increasing the estimated fair value of the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Other income (expense) was ($0.2) million during the year ended December 31, 2015 and primarily consisted of a foreign exchange loss of ($0.2) million related to our Australian subsidiary, which was established in March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recorded a provision for income taxes of $0.1 million during the year ended December 31, 2015 related to alternative minimum taxes, which we were not subject to during the year ended December 31, 2014.</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9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TESARO-</w:t>
            </w: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8"/>
              </w:rPr>
              <w:t>6,980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8"/>
              </w:rPr>
              <w:t>4,568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Momenta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3,100</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3,746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(3,154)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(1,139)</w:t>
            </w:r>
          </w:p>
        </w:tc>
        <w:tc>
          <w:tcPr>
            <w:tcW w:w="0" w:type="dxa"/>
            <w:vAlign w:val="bottom"/>
          </w:tcPr>
          <w:p>
            <w:pPr>
              <w:spacing w:after="0"/>
              <w:rPr>
                <w:sz w:val="1"/>
                <w:szCs w:val="1"/>
                <w:color w:val="auto"/>
              </w:rPr>
            </w:pPr>
          </w:p>
        </w:tc>
      </w:tr>
      <w:tr>
        <w:trPr>
          <w:trHeight w:val="223"/>
        </w:trPr>
        <w:tc>
          <w:tcPr>
            <w:tcW w:w="68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5,483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September 2014, we successfully completed our collaboration with Momenta for which we earned a success fee. During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we recognized revenue from Momenta of $3.1 million, which relates to a $2.0 million success fee and $1.1 million in amortization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upfront fee.</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our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2013 and 2014, we recognized revenues aggregating $1.7 million and $0.6 million, respectively from other collaborative agreements for which our obligations were completed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Stock Warrants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From our inception through September 30, 2016, we have received an aggregate of $158.8 million to fund our operations which included $84.9 million from the sale of equity securities, $64.5 million from our collaboration agreements and $9.4 million from venture debt. As of September 30, 2016, we had $47.1 million in cash and cash equivalents.</w:t>
      </w:r>
    </w:p>
    <w:p>
      <w:pPr>
        <w:spacing w:after="0" w:line="18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73"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Under the Loan Agreement, we may borrow up to $15.0 million in three separate draws of $5.0 million each, of which, at September 30, 2016, $5.0 million of the Term A Loans were outstanding and $5.0 million of the Term B Loans and $5.0 million of the Term C Loans were undrawn.</w:t>
      </w:r>
    </w:p>
    <w:p>
      <w:pPr>
        <w:spacing w:after="0" w:line="12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January 2016, we amended the Loan Agreement to combine Term B Loans and Term C Loans for a total of $10.0 million available for draw and delay the principal repayments for our Term A Loans from February 1, 2016 until February 1, 2017. The Term B Loans and Term C Loans became available for draw on July 1, 2016, which was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occurred in the first quarter of 2016) and (ii) July 1, 2016. The draw period will end upon the earlier of (i) an event of default as defined in the Loan Agreement and (ii) December 31, 2016. If the Term B Loans and Term C Loans are issued, they will bear interest at the greater of 6.95% or the 3-month LIBOR plus 6.72%, with principal payments beginning February 1, 2017 and with final maturity in January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Our primary uses of capital are, and we expect will continue to be, third-party clinical and preclinical research and development services, including manufacturing, laboratory and related supplies, compensation and related expenses, legal, patent and other regulatory expenses and general overhead costs. We believe our use of CROs and CMOs provides us with flexibility in managing our spending and limits our cost commitments at any point in time.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Net cash used in operating activities during the nine months ended September 30, 2015 of $7.0 million was primarily due to cash operating expenses of $13.2 million offset by cash received from our collaboration agreement with TESARO of $5.8 million. Net cash used in operating activities during the nine months ended September 30, 2016 of $3.5 million was primarily due to cash operating expenses of $16.4 million, offset by cash received from our collaboration agreement with TESARO of $12.4 million and cash received from our collaboration agreement with Celgene of $0.5 million.</w:t>
      </w:r>
    </w:p>
    <w:p>
      <w:pPr>
        <w:spacing w:after="0" w:line="15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Net cash used in operating activities during the year ended December 31, 2013 of $5.8 million was primarily due to cash operating expenses for the period. Net cash provided by operating activities during the year ended December 31, 2014 of $14.6 million was primarily due to cash received pursuant to our collaboration agreement with TESARO. Net cash used in operating activities during the year ended December 31, 2015 of $9.7 million was primarily due to cash operating expenses of $18.4 million, offset by cash received from our collaboration agreement with TESARO of $8.7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Cash used in investing activities during the nine months ended September 30, 2015 and 2016 and the years ended December 31, 2013, 2014 and 2015 was primarily due to our purchases of property and equipment. As of this time, we plan to focus on our growth strategies and do not plan on using a significant amount of our cash resources in investing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provided by financing activities during the nine months ended September 30, 2015 was $40.3 million. The cash proceeds primarily relate to the issuance of Series D Convertible Preferred Stock for net proceeds of $40.7 million in July 2015 offset by $0.5 million in payments related to deferred offering costs. The cash used in financing activities during the nine months ended September 30, 2016 was $1.0 million and was primarily related to payments made for our deferred offering costs.</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 The cash provided by financing activities during the year ended December 31, 2015 was $39.4 million and was primarily related to the issuance of Series D Convertible Preferred Stock for net proceeds of $40.7 million in July 2015, partially offset by $1.4 million in payments related to deferred offering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 xml:space="preserve">Total </w:t>
            </w:r>
            <w:r>
              <w:rPr>
                <w:rFonts w:ascii="Arial" w:cs="Arial" w:eastAsia="Arial" w:hAnsi="Arial"/>
                <w:sz w:val="12"/>
                <w:szCs w:val="12"/>
                <w:b w:val="1"/>
                <w:bCs w:val="1"/>
                <w:color w:val="auto"/>
                <w:w w:val="92"/>
              </w:rPr>
              <w:t>(1)</w:t>
            </w:r>
          </w:p>
        </w:tc>
        <w:tc>
          <w:tcPr>
            <w:tcW w:w="40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00" w:type="dxa"/>
            <w:vAlign w:val="bottom"/>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1-3</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3-5</w:t>
            </w:r>
          </w:p>
        </w:tc>
        <w:tc>
          <w:tcPr>
            <w:tcW w:w="3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Notes payable, including interest and final payment fee </w:t>
            </w:r>
            <w:r>
              <w:rPr>
                <w:rFonts w:ascii="Arial" w:cs="Arial" w:eastAsia="Arial" w:hAnsi="Arial"/>
                <w:sz w:val="15"/>
                <w:szCs w:val="15"/>
                <w:color w:val="auto"/>
              </w:rPr>
              <w:t>(2)</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$5,999</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349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$5,176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 xml:space="preserve">Operating lease obligation </w:t>
            </w:r>
            <w:r>
              <w:rPr>
                <w:rFonts w:ascii="Arial" w:cs="Arial" w:eastAsia="Arial" w:hAnsi="Arial"/>
                <w:sz w:val="15"/>
                <w:szCs w:val="15"/>
                <w:color w:val="auto"/>
              </w:rPr>
              <w:t>(3)</w:t>
            </w:r>
          </w:p>
        </w:tc>
        <w:tc>
          <w:tcPr>
            <w:tcW w:w="500" w:type="dxa"/>
            <w:vAlign w:val="bottom"/>
          </w:tcPr>
          <w:p>
            <w:pPr>
              <w:jc w:val="right"/>
              <w:spacing w:after="0"/>
              <w:rPr>
                <w:sz w:val="20"/>
                <w:szCs w:val="20"/>
                <w:color w:val="auto"/>
              </w:rPr>
            </w:pPr>
            <w:r>
              <w:rPr>
                <w:rFonts w:ascii="Arial" w:cs="Arial" w:eastAsia="Arial" w:hAnsi="Arial"/>
                <w:sz w:val="18"/>
                <w:szCs w:val="18"/>
                <w:color w:val="auto"/>
              </w:rPr>
              <w:t>3,152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512</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1,158</w:t>
            </w: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7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9,151</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861</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1,632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right="10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 minimum annual obligations for license payments under all collaborative in-license agreements at December 31, 2015 were $0.2 million. These obligations are excluded from the table above as the annual minimum payments are payable through ten years from the first commercial sale, if any, or expiration of the last patent to expire, the dates of which are not determinable at this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hanging="452"/>
        <w:spacing w:after="0" w:line="25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January 2016, we amended the Loan Agreement, which deferred principal repayments on our Term A Loans from February 1, 2016 to February 1, 2017 as described in “Liquidity and Capital Resources” above.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Operating lease obligation includes future rent payments under an office lease, which was amended in October 2015, and expires on August 31, 2021.</w:t>
      </w:r>
    </w:p>
    <w:p>
      <w:pPr>
        <w:spacing w:after="0" w:line="23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bear interest at fixed rates and, therefore, have no exposure to changes in interest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$84,000 during the nine months ended September 30, 2016. We do not expect the effects of changes in exchange rates to have a material impact on our financial statements.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strategy is to advance the development of our proprietary product candidates, and for certain programs, establish partnerships with leading biopharmaceutical companies where we retain certain development and commercialization rights.</w:t>
      </w:r>
    </w:p>
    <w:p>
      <w:pPr>
        <w:spacing w:after="0" w:line="173"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 xml:space="preserve">Our most advanced wholly-owned antibody programs, ANB020 and ANB019, neutralize therapeutic targets that are genetically associated with severe inflammatory disorders in humans. ANB020 inhibits the activity of the interleukin-33, or IL-33, cytokine for the treatment of moderate-to-severe adult atopic dermatitis, severe adult peanut allergy and severe adult eosinophilic asthma. We have completed a Phase 1 trial of ANB020 in healthy volunteers in Australia under an approved Clinical Trial Notification, or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cleared an Investigational New Drug application, or IND, with the U.S. Food and Drug Administration, or FDA, and a Clinical Trial Authorisation, or CTA, to the U.K. Medicines and Healthcare Products Regulatory Agency, or MHRA, to initiate Phase 2a trials of ANB020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ANB019 inhibits the interleukin-36, or IL-36R, receptor for the treatment of rare inflammatory diseases including generalized pustular psoriasis, or GPP, and palmo-plantar pustular psoriasis, or PPP. In November 2016, we submitted a CTN for ANB019 and, if cleared, we plan to commence a Phase 1 clinical trial in the first half of 2017, and anticipate announcing top-line data from this trial during the second half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73"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and an inflammation-focused collaboration with Celgene.</w:t>
      </w:r>
    </w:p>
    <w:p>
      <w:pPr>
        <w:spacing w:after="0" w:line="18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Under our TESARO collaboration a Phase 1 clinical trial was initiated during the first quarter of 2016 to study an AnaptysBio-generated anti-PD-1 antagonist antibody (TSR-042) in patients under an IND cleared by the U.S. FDA. We anticipate initiation of a registration program for TSR-042 by TESARO during the first half of 2017. A second Phase 1 trial was initiated during the third quarter of 2016 to study an AnaptysBio-generated anti-TIM-3 antagonist antibody (TSR-022) in patients under a separate IND cleared by the FDA. We anticipate initiation of a combination trial of TSR-022 with an anti-PD-1 antibody by TESARO during the first half of 2017. Under our Celgene collaboration,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or GLPs, for an AnaptysBio-generated antibody was completed during the second quarter of 2016, and a U.S. IND was cleared by the FDA and a Phase 1 trial was initiated in December 2016. Including the aforementioned programs, we expect that our collaborators will advance four AnaptysBio-generated antibodies to the clinic by the end of the first half of 2017. Through the date of this prospectus, we have received $65.4 million in significant, non-dilutive funding from our collaborators.</w:t>
      </w:r>
    </w:p>
    <w:p>
      <w:pPr>
        <w:spacing w:after="0" w:line="19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November 30, 2016, we have raised approximately $94.3 million from investors, including Biotechnology Value Fund, Cormorant Asset Management, Frazier Healthcare, HBM Partners, Longwood Capital Partners and Novo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104775</wp:posOffset>
            </wp:positionV>
            <wp:extent cx="5900420" cy="30270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90042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900" w:right="20" w:hanging="325"/>
        <w:spacing w:after="0" w:line="284"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is 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under an approved CTN.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a cleared U.S. IND and a U.K. CTA to initiate Phase 2a trials of ANB020 for the treatment of severe adult peanut allergy and moderate-to-severe adult atopic dermatitis, respectively, each of which are anticipated to be initiated during the first quarter of 2017. We anticipate top-line data from these trials to be announced in the second half of 2017. In addition, we plan to seek regulatory clearance during the first half of 2017 to initiate a Phase 2a trial in patients with severe adult eosinophilic asthma. We anticipate top-line data from this trial to be announced during the first half of 2018. Based on our analysis of publicly available data sources and interviews with physicians and key opinion leaders in the field of atopic dermatitis, we estimate approximately 1.4 million adults are affected by atopic dermatitis, of which approximately 280,000 are diagnosed with a moderate-to-severe form of this disease, of which 98,000 are believed to be suitable for treatment with systemic biological therapies in the United States.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3.6 million have severe, persistent occurrence of this respiratory disease in the United States.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80" w:hanging="325"/>
        <w:spacing w:after="0" w:line="287"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IL-36R, which we are initially developing as a potential first-in-class therapy for GPP and</w:t>
      </w:r>
      <w:r>
        <w:rPr>
          <w:rFonts w:ascii="Arial" w:cs="Arial" w:eastAsia="Arial" w:hAnsi="Arial"/>
          <w:sz w:val="16"/>
          <w:szCs w:val="16"/>
          <w:b w:val="1"/>
          <w:bCs w:val="1"/>
          <w:color w:val="auto"/>
        </w:rPr>
        <w:t xml:space="preserve"> </w:t>
      </w:r>
      <w:r>
        <w:rPr>
          <w:rFonts w:ascii="Arial" w:cs="Arial" w:eastAsia="Arial" w:hAnsi="Arial"/>
          <w:sz w:val="16"/>
          <w:szCs w:val="16"/>
          <w:color w:val="auto"/>
        </w:rPr>
        <w:t>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 signaling pathway. PPP is a non-fatal form of pustular psoriasis that we estimate affects approximately 150,000 patients in the United States alone. PPP is believed to be caused by increased systemic levels of IL-36 cytokines, resulting in inflammatory pustules on the hands and feet of patients that cause significant inability to stand, walk or do manual work, which we believe can be addressed by treatment with ANB019. We believe ANB019 is the most advanced therapeutic antibody targeting the IL-36R in development. We have submitted an Australian CTN for ANB019 and, if cleared, we plan to initiate Phase 1 trials in Australia in the first half of 2017, and anticipate announcing top-line data from this trial during the second half of 2017. We subsequently plan to seek regulatory clearance to initiate Phase 2 studies of ANB019 in GPP and PPP patients during 2018 and plan to seek FDA Orphan Drug Designation for the treatment of GPP and PPP. The FDA may grant Orphan Drug Designation to a drug intended to treat a disease or condition that generally affects fewer than 200,000 individuals in the United States.</w:t>
      </w:r>
    </w:p>
    <w:p>
      <w:pPr>
        <w:spacing w:after="0" w:line="70" w:lineRule="exact"/>
        <w:rPr>
          <w:rFonts w:ascii="Arial" w:cs="Arial" w:eastAsia="Arial" w:hAnsi="Arial"/>
          <w:sz w:val="16"/>
          <w:szCs w:val="16"/>
          <w:color w:val="auto"/>
        </w:rPr>
      </w:pPr>
    </w:p>
    <w:p>
      <w:pPr>
        <w:ind w:left="900" w:right="20" w:hanging="325"/>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Checkpoint receptor agonist </w:t>
      </w:r>
      <w:r>
        <w:rPr>
          <w:rFonts w:ascii="Arial" w:cs="Arial" w:eastAsia="Arial" w:hAnsi="Arial"/>
          <w:sz w:val="18"/>
          <w:szCs w:val="18"/>
          <w:color w:val="auto"/>
        </w:rPr>
        <w:t>antibodies are being developed by AnaptysBio to multiple different immune checkpoint receptors for the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SHM Platform</w:t>
      </w:r>
    </w:p>
    <w:p>
      <w:pPr>
        <w:spacing w:after="0" w:line="12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 is designed to replicate the natural process of SHM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74" w:lineRule="exact"/>
        <w:rPr>
          <w:sz w:val="20"/>
          <w:szCs w:val="20"/>
          <w:color w:val="auto"/>
        </w:rPr>
      </w:pPr>
    </w:p>
    <w:p>
      <w:pPr>
        <w:ind w:left="900" w:right="500" w:hanging="325"/>
        <w:spacing w:after="0" w:line="26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900" w:right="100" w:hanging="325"/>
        <w:spacing w:after="0" w:line="313"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20" w:hanging="325"/>
        <w:spacing w:after="0" w:line="314"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Speed. </w:t>
      </w:r>
      <w:r>
        <w:rPr>
          <w:rFonts w:ascii="Arial" w:cs="Arial" w:eastAsia="Arial" w:hAnsi="Arial"/>
          <w:sz w:val="16"/>
          <w:szCs w:val="16"/>
          <w:color w:val="auto"/>
        </w:rPr>
        <w:t>Our platform technology has enabled us to generate therapeutic-grade antibodies and subsequently advance preclinical manufacturing and</w:t>
      </w:r>
      <w:r>
        <w:rPr>
          <w:rFonts w:ascii="Arial" w:cs="Arial" w:eastAsia="Arial" w:hAnsi="Arial"/>
          <w:sz w:val="16"/>
          <w:szCs w:val="16"/>
          <w:b w:val="1"/>
          <w:bCs w:val="1"/>
          <w:color w:val="auto"/>
        </w:rPr>
        <w:t xml:space="preserve"> </w:t>
      </w:r>
      <w:r>
        <w:rPr>
          <w:rFonts w:ascii="Arial" w:cs="Arial" w:eastAsia="Arial" w:hAnsi="Arial"/>
          <w:sz w:val="16"/>
          <w:szCs w:val="16"/>
          <w:color w:val="auto"/>
        </w:rPr>
        <w:t>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47" w:lineRule="exact"/>
        <w:rPr>
          <w:rFonts w:ascii="Arial" w:cs="Arial" w:eastAsia="Arial" w:hAnsi="Arial"/>
          <w:sz w:val="16"/>
          <w:szCs w:val="16"/>
          <w:color w:val="auto"/>
        </w:rPr>
      </w:pPr>
    </w:p>
    <w:p>
      <w:pPr>
        <w:ind w:left="900" w:right="160" w:hanging="325"/>
        <w:spacing w:after="0" w:line="282"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antibody expression, formulation and stability during the antibody generation process.</w:t>
      </w:r>
    </w:p>
    <w:p>
      <w:pPr>
        <w:spacing w:after="0" w:line="67"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A bispecific antibody is a single therapeutic molecule designed to bind two different targets. Bispecific antibodies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0"/>
        <w:spacing w:after="0" w:line="286" w:lineRule="auto"/>
        <w:rPr>
          <w:sz w:val="20"/>
          <w:szCs w:val="20"/>
          <w:color w:val="auto"/>
        </w:rPr>
      </w:pPr>
      <w:r>
        <w:rPr>
          <w:rFonts w:ascii="Arial" w:cs="Arial" w:eastAsia="Arial" w:hAnsi="Arial"/>
          <w:sz w:val="17"/>
          <w:szCs w:val="17"/>
          <w:color w:val="auto"/>
        </w:rPr>
        <w:t>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w:t>
      </w:r>
    </w:p>
    <w:p>
      <w:pPr>
        <w:spacing w:after="0" w:line="72" w:lineRule="exact"/>
        <w:rPr>
          <w:sz w:val="20"/>
          <w:szCs w:val="20"/>
          <w:color w:val="auto"/>
        </w:rPr>
      </w:pPr>
    </w:p>
    <w:p>
      <w:pPr>
        <w:ind w:left="900" w:right="20" w:hanging="325"/>
        <w:spacing w:after="0" w:line="285"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wholly-owned lead product candidates to clinical milestones. </w:t>
      </w:r>
      <w:r>
        <w:rPr>
          <w:rFonts w:ascii="Arial" w:cs="Arial" w:eastAsia="Arial" w:hAnsi="Arial"/>
          <w:sz w:val="16"/>
          <w:szCs w:val="16"/>
          <w:color w:val="auto"/>
        </w:rPr>
        <w:t>We are working to demonstrate the safety and efficacy of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wholly-owned pipeline programs, and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plan to disclose detailed data from this Phase 1 trial at two medical conferences during the first quarter of 2017. We have a cleared U.S. IND and U.K. CTA to initiate Phase 2a trials in patients with severe adult peanut allergy and moderate-to-severe adult atopic dermatitis, respectively, each of which are anticipated to be initiated during the first quarter of 2017. We anticipate top-line data from these trials to be announced during the second half of 2017. In addition, we plan to seek regulatory clearance during the first half of 2017 to initiate a Phase 2a trial in patients with severe adult eosinophilic asthma. We anticipate top-line data from this trial to be announced during the first half of 2018. We have also submitted an Australian CTN and, if cleared, we plan to initiate a Phase 1 healthy volunteer trial for ANB019 in the first half of 2017, and anticipate announcing top-line data from this trial during the second half of 2017. We subsequently plan to seek regulatory clearance to initiate Phase 2 studies of ANB019 in GPP and PPP patients during 2018. For both ANB020 and ANB019, we are conducting, or plan to conduct, our initial clinical trials in Australia, and we plan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80" w:lineRule="exact"/>
        <w:rPr>
          <w:rFonts w:ascii="Arial" w:cs="Arial" w:eastAsia="Arial" w:hAnsi="Arial"/>
          <w:sz w:val="16"/>
          <w:szCs w:val="16"/>
          <w:color w:val="auto"/>
        </w:rPr>
      </w:pPr>
    </w:p>
    <w:p>
      <w:pPr>
        <w:ind w:left="900" w:hanging="325"/>
        <w:spacing w:after="0" w:line="314"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47"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900" w:right="100" w:hanging="325"/>
        <w:spacing w:after="0" w:line="281"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Retaining rights to strategic products in key commercial markets. </w:t>
      </w:r>
      <w:r>
        <w:rPr>
          <w:rFonts w:ascii="Arial" w:cs="Arial" w:eastAsia="Arial" w:hAnsi="Arial"/>
          <w:sz w:val="17"/>
          <w:szCs w:val="17"/>
          <w:color w:val="auto"/>
        </w:rPr>
        <w:t>We intend to retain ownership and control of our pipeline programs to key</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and clinical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ectPr>
          <w:pgSz w:w="11900" w:h="16838" w:orient="portrait"/>
          <w:cols w:equalWidth="0" w:num="1">
            <w:col w:w="11420"/>
          </w:cols>
          <w:pgMar w:left="240" w:top="45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Milestones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chart describes key milestones we have achieved since July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29210</wp:posOffset>
            </wp:positionV>
            <wp:extent cx="5213985" cy="4013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13985" cy="401320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color w:val="auto"/>
        </w:rPr>
        <w:t>The following chart describes milestones anticipated during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5008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205730"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$65.4 million in payments through November 30, 2016. Multiple antibodies, generated by us prior to or during a strategic collaboration, are currently being advanced through development by our collaborators. Our collaborations with TESARO and Celgene are described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900" w:right="260" w:hanging="325"/>
        <w:spacing w:after="0" w:line="308"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Anti-PD-1 Monospecific Antagonist Antibody (TSR-042)</w:t>
      </w:r>
      <w:r>
        <w:rPr>
          <w:rFonts w:ascii="Arial" w:cs="Arial" w:eastAsia="Arial" w:hAnsi="Arial"/>
          <w:sz w:val="17"/>
          <w:szCs w:val="17"/>
          <w:color w:val="auto"/>
        </w:rPr>
        <w:t>: Phase 1 clinical trial dosing initiated in the first quarter of 2016 subsequent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acceptance of a U.S. FDA IND, finalize registration strategy and initiate a registration program in the first half of 2017;</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125"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Anti-TIM-3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TSR-022</w:t>
      </w:r>
      <w:r>
        <w:rPr>
          <w:rFonts w:ascii="Arial" w:cs="Arial" w:eastAsia="Arial" w:hAnsi="Arial"/>
          <w:sz w:val="18"/>
          <w:szCs w:val="18"/>
          <w:color w:val="auto"/>
        </w:rPr>
        <w:t>): Phase 1 clinical trial dosing initiated in the third quarter of 2016 subsequent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 of a U.S. FDA IND, expect initiation of an anti-PD-1 combination trial in the first half of 2017;</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Anti-LAG-3 Monospecific Antagonist Antibody </w:t>
      </w:r>
      <w:r>
        <w:rPr>
          <w:rFonts w:ascii="Arial" w:cs="Arial" w:eastAsia="Arial" w:hAnsi="Arial"/>
          <w:sz w:val="18"/>
          <w:szCs w:val="18"/>
          <w:color w:val="auto"/>
        </w:rPr>
        <w:t>(</w:t>
      </w:r>
      <w:r>
        <w:rPr>
          <w:rFonts w:ascii="Arial" w:cs="Arial" w:eastAsia="Arial" w:hAnsi="Arial"/>
          <w:sz w:val="18"/>
          <w:szCs w:val="18"/>
          <w:i w:val="1"/>
          <w:iCs w:val="1"/>
          <w:color w:val="auto"/>
        </w:rPr>
        <w:t>TSR-033</w:t>
      </w:r>
      <w:r>
        <w:rPr>
          <w:rFonts w:ascii="Arial" w:cs="Arial" w:eastAsia="Arial" w:hAnsi="Arial"/>
          <w:sz w:val="18"/>
          <w:szCs w:val="18"/>
          <w:color w:val="auto"/>
        </w:rPr>
        <w:t>): currently in preclinical development, expect the initiation of a Phase 1 trial in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2017;</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Anti-PD-1/LAG-3 Bispecific Antagonist Antibody</w:t>
      </w:r>
      <w:r>
        <w:rPr>
          <w:rFonts w:ascii="Arial" w:cs="Arial" w:eastAsia="Arial" w:hAnsi="Arial"/>
          <w:sz w:val="18"/>
          <w:szCs w:val="18"/>
          <w:color w:val="auto"/>
        </w:rPr>
        <w:t>: currently in lead selection process;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 xml:space="preserve">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and has completed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toxicology study under GLP, cleared a U.S. IND with the FDA and initiated a Phase 1 trial for one of these two antibodies.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Wholly-Owned 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Anti-IL-33 Antibody</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ANB020 is a potentially first-in-class antibody that inhibits the activity of IL-33 and is being developed to treat atopic diseases, including moderate-to-severe adult atopic dermatitis, severe adult peanut allergy and severe adult eosinophilic asthma.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are currently conducting a Phase 1 trial of ANB020 in healthy volunteers in Australia under an approved CTN.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IL-33 Target Biology</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atopic dermatitis, food allergies, asthma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which are associated with atopic diseases. IL-33 also acts on T helper 2, or Th2, effector cells and Innate Lymphoid Cell Type 2, or ILC2, two types of white blood cells that initiate and orchestrate atopic responses.</w:t>
      </w:r>
    </w:p>
    <w:p>
      <w:pPr>
        <w:spacing w:after="0" w:line="18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2692400</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2243455</wp:posOffset>
            </wp:positionH>
            <wp:positionV relativeFrom="paragraph">
              <wp:posOffset>205740</wp:posOffset>
            </wp:positionV>
            <wp:extent cx="2769870" cy="2246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69870" cy="2246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14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2671445</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141605</wp:posOffset>
            </wp:positionV>
            <wp:extent cx="2058035" cy="22898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05803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8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Description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ANB020, which is a potential first-in-class therapeutic antibody, is our wholly-owned anti-IL-33 antibody product candidate generated using our SHM technology platform.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 D , and half-maximal inhibitory concentration values, or IC 50 . ANB020 demonstrated highly potent K D values of approximately 1 pM and 37 pM for human and cynomolgus monkey IL-33, respectively. ANB020 inhibits secretion of IL-5 from primary basophils purified from peripheral blood of healthy subjects with an IC 50 of approximately 1.5 nM, which is approximately 15-fold greater than that of the soluble ST2 antagonist, as shown in Figure 3 below. Lower K D and IC 50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2343785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2003425</wp:posOffset>
            </wp:positionH>
            <wp:positionV relativeFrom="paragraph">
              <wp:posOffset>139700</wp:posOffset>
            </wp:positionV>
            <wp:extent cx="3258820" cy="19640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58820"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Figure 3.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assay indicates that ANB020 has approximately 15-fold greater potency than soluble ST2 in inhibiting IL-5 release.</w:t>
      </w:r>
    </w:p>
    <w:p>
      <w:pPr>
        <w:spacing w:after="0" w:line="229"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Using peripheral blood mononuclear cells, or PBMC, ANB020 inhibited human and cynomolgus monkey interferon-gamma release with an IC 50 of approximately 1.1 nM and approximately 20.4 nM, respectively as shown in Figure 4 below. We have developed a whole blood version of the PBMC assay, which we are utilizing in our Phase 1 trial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2052320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131445</wp:posOffset>
            </wp:positionV>
            <wp:extent cx="5093970" cy="1680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93970"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Figure 4. ANB020 inhibits the activity of human and cynomolgus IL-33 as measured by interferongamma release from PBMCs treated overnight with 100 mg/ml IL-12, challenged with ten (human) or five (cynomolgus) nM IL-33 for 48 hours.</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80"/>
          </w:cols>
          <w:pgMar w:left="240" w:top="459" w:right="3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proved to be fully active in cynomolgus monkey sera two weeks after dosing. We have conducted preclinical toxicology studies under GLPs for ANB020. In addition, we have conducted manufacturing under good manufacturing practice to produce ANB020 in quantities for initial clinical use.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We have completed a Phase 1 trial of ANB020 in healthy volunteers in Australia under an approved CTN. Our Phase 1 trial assesed, in single ascending doses, or SAD, and multiple ascending doses, or MAD, safety, tolerability and pharmacokinetic characteristics of ANB020. The SAD cohorts of this Phase 1 trial have been completed and, subsequent to review of the clinical data generated under the SAD, the Australian regulatory authority approved the initiation of MAD cohorts, which have also been completed. In the double-blind, placebo-controlled Phase 1 trial, 96 healthy volunteer subjects were dosed with either a single subcutaneous or intravenous dose of ANB020 ranging between 10 mg and 750 mg, or four multiple doses of ANB020 ranging between 40 mg and 300 mg over a period of four consecutive weeks. There were no adverse events that were determined to be drug-related, and no dose-limiting toxicities were observed at any dose level. We have concurrently utilized a whole blood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 to evaluate pharmacodynamics, and we believe the results of this assay suggest that the pharmacodynamic activity of ANB020 can, at certain dose levels, extend to three months subsequent to a single administration.</w:t>
      </w:r>
    </w:p>
    <w:p>
      <w:pPr>
        <w:spacing w:after="0" w:line="19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a cleared U.S. IND and U.K. CTA to initiate Phase 2a trials for ANB020 in patients with severe adult peanut allergy and moderate-to-severe adult atopic dermatitis, respectively, each of which are anticipated to be initiated during the first quarter of 2017. We anticipate announcing top-line data from both of these trials during the second half of 2017. In addition, we plan to seek regulatory clearance during the first half of 2017 to initiate a Phase 2a trial in patients with severe adult eosinophilic asthma, and announce top-line data from the trial during the first half of 2018. Our planned Phase 2a trial in the U.K. in moderate-to-severe atopic dermatitis patients will assess the efficacy and safety of ANB020, as measured by clinical disease remission and mechanistic inflammatory cells and cytokines within lesions, among 12-20 moderate-to-severe adult atopic dermatitis patients treated with a single dose of ANB020. Our planned Phase 2a trial in severe adult peanut allergy in the United States will assess the efficacy and safety of ANB020, as measured by oral food challenge, among 20 severe adult peanut allergy patients treated with either a single dose of ANB020 or placebo. Our planned Phase 2a trial in severe adult eosinophilic asthma is intended to assess the efficacy and safety of ANB020 among 20 severe adult eosinophilic asthma patients treated with one or more doses of ANB020. Each of the aforementioned clinical trials are subject to regulatory review by the respective regulatory authority applicable to the jurisdiction of the trial.</w:t>
      </w:r>
    </w:p>
    <w:p>
      <w:pPr>
        <w:spacing w:after="0" w:line="18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Upon demonstrating initial efficacy in Phase 2a trials, we intend to conduct subsequent Phase 2 trials and Phase 3 registration trials for ANB020 in one or more of the aforementioned clinical indications. These later-stage trials may be conducted through collaboration with a leading pharmaceutical company with strong commercial infrastructure in respiratory and allergic therapeutic areas.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285865" cy="34131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85865"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5. Anticipated ANB020 clinical development strategy.</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Market Opportunity</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three indications: severe adult eosinophilic asthma, severe adult peanut allergy and moderate-to-severe adult atopic dermatitis.</w:t>
      </w:r>
    </w:p>
    <w:p>
      <w:pPr>
        <w:spacing w:after="0" w:line="15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 asthma</w:t>
      </w:r>
      <w:r>
        <w:rPr>
          <w:rFonts w:ascii="Arial" w:cs="Arial" w:eastAsia="Arial" w:hAnsi="Arial"/>
          <w:sz w:val="18"/>
          <w:szCs w:val="18"/>
          <w:i w:val="1"/>
          <w:iCs w:val="1"/>
          <w:color w:val="auto"/>
        </w:rPr>
        <w:t xml:space="preserve"> </w:t>
      </w:r>
      <w:r>
        <w:rPr>
          <w:rFonts w:ascii="Arial" w:cs="Arial" w:eastAsia="Arial" w:hAnsi="Arial"/>
          <w:sz w:val="18"/>
          <w:szCs w:val="18"/>
          <w:color w:val="auto"/>
        </w:rPr>
        <w:t>affects approximately 7.7% of the adult U.S. population, or 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9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and Nucala, which the FDA recently approved for the add-on maintenance treatment in patients aged 12 years or older with severe eosinophilic asthma. Other emerging therapies currently in development, such as lebrikizumab, benralizumab, tralokinumab, anrukinzumab, dupilumab, AMG 317 and CNTO 7160, have yet to be approved by the FDA for treatment of asthma, while the FDA’s Pulmonary-Allergy Drugs Advisory Committee recommended that the FDA approve reslizumab in adult patients aged 18 years and older for the treatment of inadequately controlled asthma in patients with elevated eosinophils, despite an inhaled corticosteroids treatment regimen. Xolair is a difficult drug to prescribe due to complex dosing algorithms, frequent administration and risk of anaphylaxis, and we expect the indications for Nucala, reslizumab and lebrikizumab will be limited to asthma patients defined by biomarkers. We believe that ANB020 may have therapeutic benefit across a broad range of ICS-refractory severe adult eosinophilic asthma patients, and plan to utilize biomarkers during development to differentiate ANB020 relative to competitors.</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Peanut Allergy. </w:t>
      </w:r>
      <w:r>
        <w:rPr>
          <w:rFonts w:ascii="Arial" w:cs="Arial" w:eastAsia="Arial" w:hAnsi="Arial"/>
          <w:sz w:val="18"/>
          <w:szCs w:val="18"/>
          <w:color w:val="auto"/>
        </w:rPr>
        <w:t>Peanuts are the most common cause of food-induced allergy in the United States. We estimate, based on our analysis of publicly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8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increasing quantities of peanut antigens over time. If patients are able to overcome the toxicities of this allergen-based approach, therapeutic benefit, on an allergen-specific basis, may be observed after 12 to 24 months of oral or skin patch based delivery of peanut allergens. The long-term safety and efficacy of immunotherapy is still uncertain, and these desensitization treatments have not yet been approved by the FDA.</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86"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16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Atopic Dermatitis. </w:t>
      </w:r>
      <w:r>
        <w:rPr>
          <w:rFonts w:ascii="Arial" w:cs="Arial" w:eastAsia="Arial" w:hAnsi="Arial"/>
          <w:sz w:val="17"/>
          <w:szCs w:val="17"/>
          <w:color w:val="auto"/>
        </w:rPr>
        <w:t>Atopic dermatitis is a chronic inflammatory skin disease that affects approximately 1.4 million adults in the United States. Human studies</w:t>
      </w:r>
      <w:r>
        <w:rPr>
          <w:rFonts w:ascii="Arial" w:cs="Arial" w:eastAsia="Arial" w:hAnsi="Arial"/>
          <w:sz w:val="17"/>
          <w:szCs w:val="17"/>
          <w:i w:val="1"/>
          <w:iCs w:val="1"/>
          <w:color w:val="auto"/>
        </w:rPr>
        <w:t xml:space="preserve"> </w:t>
      </w:r>
      <w:r>
        <w:rPr>
          <w:rFonts w:ascii="Arial" w:cs="Arial" w:eastAsia="Arial" w:hAnsi="Arial"/>
          <w:sz w:val="17"/>
          <w:szCs w:val="17"/>
          <w:color w:val="auto"/>
        </w:rPr>
        <w:t>have demonstrated that IL-33 is highly expressed in atopic dermatitis lesions and leads to the recruitment of downstream cytokines (IL-4, IL-5 and IL-13) and eosinophils to the disease site in patients. By inhibiting IL-33 function in patients, we believe ANB020 will suppress the production of the aforementioned downstream cytokines and lead to therapeutic benefit in moderate to severe adult atopic dermatitis.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Current therapies for atopic dermatitis are generally focused on the topical use of non-biologic small molecules. Dupilumab is currently in development for the treatment of atopic dermatitis, and has shown some benefit in disease remission, but requires the administration of a significantly large antibody dose (300 mg) every week or every other week, which we believe may not be convenient for atopic dermatitis patients.</w:t>
      </w:r>
    </w:p>
    <w:p>
      <w:pPr>
        <w:spacing w:after="0" w:line="166"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Based upon public data analyses and discussions with physicians and key opinion leaders in the field, we believe approximately 280,000 atopic dermatitis patients in the United States are diagnosed with a moderate-to-severe form of this disease that significantly impairs their daily professional and social lifestyle. Existing therapies include topical steroids and related therapies, however such approaches have not demonstrated significant benefit for moderate-to-severe patients. We estimate that 98,000 atopic dermatitis patients would be eligible for treatment with a systemic biologic therapy such as ANB020.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ANB019 is an antibody that inhibits the function of IL-36R, which we are initially developing as a potential first-in-class therapy for GPP and PPP patients. GPP is a life-threatening, rare systemic inflammatory disorder reported to affect approximately 3,000 patients in the United States alone, with no currently approved therapies. Studies have shown that GPP can be associated with mutations in the gene encoding the IL-36R antagonist, or IL-36RA, or can be caused by excessive IL-36 cytokine levels, that lead to abnormally high signaling through the IL-36R and thereby cause the systemic inflammatory condition, GPP. We believe ANB019 is the most advanced antibody targeting the IL-36R in development.</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submitted an Australian CTN for ANB019 in November 2016 and, if cleared, we plan to initiate a Phase 1 trial in Australia in the first half of 2017. We anticipate announcing top-line data from this trial in the second half of 2017.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IL-36R Target Biology</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three cytokines, IL-36 alpha, IL-36 beta and IL-36 gamma, each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565775" cy="31730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65775" cy="317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Figure 6. IL-36 Receptor Signaling. Signaling is maintained in balance by the receptor antagonist. Mutations render the receptor antagonist dysfunctional and/or increased cytokine levels lead to uncontrolled signaling causing GPP. PPP is caused by excess cytokine signaling that overcomes a normal receptor antagonist.</w:t>
      </w:r>
    </w:p>
    <w:p>
      <w:pPr>
        <w:spacing w:after="0" w:line="18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ectPr>
          <w:pgSz w:w="11900" w:h="16838" w:orient="portrait"/>
          <w:cols w:equalWidth="0" w:num="1">
            <w:col w:w="11420"/>
          </w:cols>
          <w:pgMar w:left="240" w:top="459" w:right="239" w:bottom="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459" w:right="239" w:bottom="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Recent human studies have demonstrated that mutations in the IL-36RA lead to the occurrence of GPP by rendering it non-functional and unable to dampen IL-36R signaling</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translational studies conducted by AnaptysBio have also demonstrated that a significant number of GPP patients do not have mutations in the IL-36RA but are likely to have excessive levels of IL-36 cytokines leading to the same disease as patients with mutations. These findings support our hypothesis that IL-36 signaling plays a significant role in GPP.</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 and PPP.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Description</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ANB019 was generated using our SHM technology platform and has demonstrated high functional potency in blocking human and cynomolgus monkey IL-36 signaling in preclinical studies.</w:t>
      </w:r>
    </w:p>
    <w:p>
      <w:pPr>
        <w:spacing w:after="0" w:line="17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to determine K D, and IC 50 values. ANB019 has demonstrated potent K D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human systems, which is measured as the IC 50 of inhibition of interleukin-8, or IL-8, release from human keratinocytes. ANB019 functional activity has been demonstrated through inhibition of IL-8 secretion from human primary keratinocytes when stimulated by IL-36 gamma of approximately 0.15 nM and 1.2 nM, respectively. Lower K D and IC 50 values indicate higher potency and functional activity, respectively. Similar IC 50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2345690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141605</wp:posOffset>
            </wp:positionV>
            <wp:extent cx="3653155" cy="19640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5315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Figure 7. ANB019 demonstrated functional inhibition in our preclinical studies and inhibited functional activity of IL-36 cytokines with at least 100-fold greater potency than IL-36RA.</w:t>
      </w:r>
    </w:p>
    <w:p>
      <w:pPr>
        <w:spacing w:after="0" w:line="166"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 xml:space="preserve">In November 2016, we submitted a CTN for ANB019 and, if cleared, we plan to commence a Phase 1 clinical trial in the first half of 2017. We anticipate announcing top-line data from this trial during the second half of 2017. This Phase 1 clinical trial will test single and multiple ascending doses of ANB019 in healthy volunteers, while also utilizing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assays to determine ANB019’s pharmacodynamic activity range. Following completion of this initial Phase 1 trial, we plan to submit a U.S. IND and/or a U.K. CTA to support further clinical testing of ANB019 in patients.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Our initial patient testing of ANB019 will focus primarily on GPP and PPP patients. We currently plan to conduct GPP efficacy testing of ANB019 in the United States and/or the United Kingdom using a Phase 2 clinical trial expected to be initiated in 2018 that enrolls GPP patients irrespective of mutation status. We believe a small trial, potentially with fewer than 100 patients, may be sufficient to demonstrate substantial evidence of efficacy and safety of ANB019 in GPP. We intend to obtain input from FDA on clinical trial design before conducting a pivotal clinical trial in patients with GPP.</w:t>
      </w:r>
    </w:p>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intend to develop ANB019 for PPP. We anticipate initiating a Phase 2 trial for PPP within the United States and/or United Kingdom during 2018,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8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6182995" cy="3207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82995" cy="320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8. Anticipated ANB019 clinical development strategy.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In addition,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GCP where the FDA is able to validate data through onsite inspection, if the FDA deems such inspection necessary. We expect that our Phase 1 clinical trials for ANB019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Market Opportunity</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Generalized Pustular Psoriasis. </w:t>
      </w:r>
      <w:r>
        <w:rPr>
          <w:rFonts w:ascii="Arial" w:cs="Arial" w:eastAsia="Arial" w:hAnsi="Arial"/>
          <w:sz w:val="16"/>
          <w:szCs w:val="16"/>
          <w:color w:val="auto"/>
        </w:rPr>
        <w:t>GPP is a chronic, life-threatening, rare disease with no currently approved therapies. GPP is a systemic inflammatory disease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translational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Refractory Psoriasis Vulgaris. </w:t>
      </w:r>
      <w:r>
        <w:rPr>
          <w:rFonts w:ascii="Arial" w:cs="Arial" w:eastAsia="Arial" w:hAnsi="Arial"/>
          <w:sz w:val="17"/>
          <w:szCs w:val="17"/>
          <w:color w:val="auto"/>
        </w:rPr>
        <w:t>Refractory psoriasis vulgaris is another potential market opportunity for the development of ANB019. While the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Checkpoint Receptor Agonist Programs</w:t>
      </w:r>
    </w:p>
    <w:p>
      <w:pPr>
        <w:spacing w:after="0" w:line="121"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Our strategy includes the discovery and development of therapeutic antibodies targeting emerging opportunities in inflammation. Checkpoint receptor agonist antibodies are being developed by AnaptysBio, to multiple different immune checkpoint receptors, for the treatment of certain autoimmune diseases where we believe checkpoint receptor function is insufficiently activated. Known human immune checkpoint receptors include CTLA-4, PD-1, LAG-3, BTLA and TIGIT. Certain checkpoint receptor agonist antibodies developed by AnaptysBio have demonstrated efficacy in a rodent model of graft-versus-host disease. We anticipate that, subsequent to regulatory clearance, one of our checkpoint receptor antibodies will initiate human testing during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 Antibody Discovery Platform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Overview</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1649095</wp:posOffset>
            </wp:positionV>
            <wp:extent cx="7289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148590</wp:posOffset>
            </wp:positionV>
            <wp:extent cx="1431925" cy="12604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31925"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3" w:lineRule="exact"/>
        <w:rPr>
          <w:sz w:val="20"/>
          <w:szCs w:val="20"/>
          <w:color w:val="auto"/>
        </w:rPr>
      </w:pPr>
    </w:p>
    <w:p>
      <w:pPr>
        <w:ind w:left="900" w:right="18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81" w:lineRule="exact"/>
        <w:rPr>
          <w:rFonts w:ascii="Arial" w:cs="Arial" w:eastAsia="Arial" w:hAnsi="Arial"/>
          <w:sz w:val="18"/>
          <w:szCs w:val="18"/>
          <w:color w:val="auto"/>
        </w:rPr>
      </w:pPr>
    </w:p>
    <w:p>
      <w:pPr>
        <w:ind w:left="900" w:right="100" w:hanging="325"/>
        <w:spacing w:after="0" w:line="266"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w:t>
      </w:r>
      <w:r>
        <w:rPr>
          <w:rFonts w:ascii="Arial" w:cs="Arial" w:eastAsia="Arial" w:hAnsi="Arial"/>
          <w:sz w:val="18"/>
          <w:szCs w:val="18"/>
          <w:b w:val="1"/>
          <w:bCs w:val="1"/>
          <w:color w:val="auto"/>
        </w:rPr>
        <w:t xml:space="preserve"> </w:t>
      </w:r>
      <w:r>
        <w:rPr>
          <w:rFonts w:ascii="Arial" w:cs="Arial" w:eastAsia="Arial" w:hAnsi="Arial"/>
          <w:sz w:val="18"/>
          <w:szCs w:val="18"/>
          <w:color w:val="auto"/>
        </w:rPr>
        <w:t>Full length antibodies tend to exhibit serum half-lives of seven to 24 days in humans, leading to bi-weekly or monthly dosing as typical practice for therapeutic antibodies.</w:t>
      </w:r>
    </w:p>
    <w:p>
      <w:pPr>
        <w:spacing w:after="0" w:line="81" w:lineRule="exact"/>
        <w:rPr>
          <w:rFonts w:ascii="Arial" w:cs="Arial" w:eastAsia="Arial" w:hAnsi="Arial"/>
          <w:sz w:val="18"/>
          <w:szCs w:val="18"/>
          <w:color w:val="auto"/>
        </w:rPr>
      </w:pPr>
    </w:p>
    <w:p>
      <w:pPr>
        <w:ind w:left="900" w:hanging="325"/>
        <w:spacing w:after="0" w:line="347" w:lineRule="auto"/>
        <w:tabs>
          <w:tab w:leader="none" w:pos="900" w:val="left"/>
        </w:tabs>
        <w:numPr>
          <w:ilvl w:val="0"/>
          <w:numId w:val="70"/>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Competing Antibody Technologies</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73" w:lineRule="exact"/>
        <w:rPr>
          <w:sz w:val="20"/>
          <w:szCs w:val="20"/>
          <w:color w:val="auto"/>
        </w:rPr>
      </w:pPr>
    </w:p>
    <w:p>
      <w:pPr>
        <w:ind w:left="900" w:right="60" w:hanging="325"/>
        <w:spacing w:after="0" w:line="289"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63" w:lineRule="exact"/>
        <w:rPr>
          <w:rFonts w:ascii="Arial" w:cs="Arial" w:eastAsia="Arial" w:hAnsi="Arial"/>
          <w:sz w:val="17"/>
          <w:szCs w:val="17"/>
          <w:color w:val="auto"/>
        </w:rPr>
      </w:pPr>
    </w:p>
    <w:p>
      <w:pPr>
        <w:ind w:left="900" w:right="36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81"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81" w:lineRule="exact"/>
        <w:rPr>
          <w:rFonts w:ascii="Arial" w:cs="Arial" w:eastAsia="Arial" w:hAnsi="Arial"/>
          <w:sz w:val="18"/>
          <w:szCs w:val="18"/>
          <w:color w:val="auto"/>
        </w:rPr>
      </w:pPr>
    </w:p>
    <w:p>
      <w:pPr>
        <w:ind w:left="900" w:right="42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static library diversity displayed on a bacterial or yeast microbial cell surface. The static nature of these libraries limits the range of antibody specificities to 10 9 or 10 10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 human</w:t>
      </w:r>
      <w:r>
        <w:rPr>
          <w:rFonts w:ascii="Arial" w:cs="Arial" w:eastAsia="Arial" w:hAnsi="Arial"/>
          <w:sz w:val="18"/>
          <w:szCs w:val="18"/>
          <w:i w:val="1"/>
          <w:iCs w:val="1"/>
          <w:color w:val="auto"/>
        </w:rPr>
        <w:t xml:space="preserve"> </w:t>
      </w:r>
      <w:r>
        <w:rPr>
          <w:rFonts w:ascii="Arial" w:cs="Arial" w:eastAsia="Arial" w:hAnsi="Arial"/>
          <w:sz w:val="18"/>
          <w:szCs w:val="18"/>
          <w:color w:val="auto"/>
        </w:rPr>
        <w:t>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Solution</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2056765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135890</wp:posOffset>
            </wp:positionV>
            <wp:extent cx="3232785" cy="1680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2785" cy="168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2160905</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1986280</wp:posOffset>
            </wp:positionH>
            <wp:positionV relativeFrom="paragraph">
              <wp:posOffset>146050</wp:posOffset>
            </wp:positionV>
            <wp:extent cx="3293110" cy="17754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93110"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Figure 11. SHM Antibody Generation Process. Our platform initiates antibody selection from starting libraries of human and non-human diversity, which is further optimized through iterative rounds of SHM and selection.</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900" w:right="300" w:hanging="325"/>
        <w:spacing w:after="0" w:line="26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00" w:hanging="325"/>
        <w:spacing w:after="0" w:line="313"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jc w:val="both"/>
        <w:ind w:left="900" w:right="260" w:hanging="325"/>
        <w:spacing w:after="0" w:line="26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has enabled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(TSR-022), LAG-3 (TSR-033)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terms of this agreement, TESARO made up-front, non-creditable and non-refundable cash payments aggregating $19.0 million to us during 2014. TESARO is also required to reimburse us on a quarterly 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up to an additional $90.0 million of milestone payments if certain U.S. and non-U.S. regulatory submissions and approvals occur in initial and subsequent indications, and up to an additional $165.0 million upon the achievement of specified levels of annual worldwide net sales. TESARO will also be required to pay us tiered single-digit royalties, on a product-by-product basis, on worldwide annual net sales, and additional commercial milestone payments if specified levels of annual net sales of a product are attained.</w:t>
      </w:r>
    </w:p>
    <w:p>
      <w:pPr>
        <w:spacing w:after="0" w:line="16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anti-inflammatory antibodies to the clinic.</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MRC</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19 patents and three pending patent applications worldwide.</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Millipore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45.0%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 During the nine months ended September 30, 2016, we received and recognized as a reduction in research and development expense $3.0 million in refundable tax credits related to fiscal 2015 eligible expenditures. In September 2016, we determined that we would meet the criteria for eligibility for fiscal 2016, therefore we recognized a reduction to research and development expense of $3.2 million equal to 45% of our eligible expenditures for the nine-month period ended September 30, 2016, as collectability was considered reasonably assured. We recorded $3.3 million as a receivable as of September 30, 2016.</w:t>
      </w:r>
    </w:p>
    <w:p>
      <w:pPr>
        <w:spacing w:after="0" w:line="18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MRC and patents licensed from Kyoto University, consisted of 38 issued patents and 43 pending patent applications as of November 30, 2016.</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w:t>
      </w:r>
    </w:p>
    <w:p>
      <w:pPr>
        <w:spacing w:after="0" w:line="11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As of November 30, 2016, we owned 15 patent applications in various countries directed to the antibody sequence of ANB020 and its variants, epitopes, methods of use and related matters. We intend to prosecute the pending applications and pursue patent issuance and protection in key commercial markets where significant product sales may occur. Patents that may issue from these pending applications would provide protection until January 2037.</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November 30, 2016, we owned one international patent application, filed under the PCT, which is directed to the antibody sequence of ANB019 and its variants, epitopes, methods of use and related matters. We intend to prosecute the pending international application, and pursue patent issuance and protection in key commercial markets where significant product sales may occur. Patents that may issue from the expected international application would provide protection until April 2036.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wholly-owned portfolio, currently under prosecution in various jurisdictions.</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wholly-owned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4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manufactured products for other companies in compliance with cGMP and have been previously inspected by regulatory authorities for compliance with cGMP standards. Similarly, our personnel have had experience with cGMP at previous positions.</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and an ST2-binding antibody which Roche has in-licensed from Amgen (previously known as AMG 282) and plans to advance into Phase 2 clinical trials.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gevokizumab (Xoma 052) which binds IL-1 beta and BI-655130 (Boehringer Ingelheim).</w:t>
      </w:r>
    </w:p>
    <w:p>
      <w:pPr>
        <w:spacing w:after="0" w:line="188"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atopic dermatitis, our competitors include dupilumab (Regeneron, Sanofi), which has recently been filed for approval by the FDA, crisaborole (Anacor, Pfizer) which has recently been filed for approval by the FDA and VTP-38543 (Vitae) which is currently in a Phase 2 trial.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w:t>
      </w:r>
    </w:p>
    <w:p>
      <w:pPr>
        <w:spacing w:after="0" w:line="2" w:lineRule="exact"/>
        <w:rPr>
          <w:sz w:val="20"/>
          <w:szCs w:val="20"/>
          <w:color w:val="auto"/>
        </w:rPr>
      </w:pPr>
    </w:p>
    <w:p>
      <w:pPr>
        <w:jc w:val="both"/>
        <w:ind w:right="60" w:firstLine="8"/>
        <w:spacing w:after="0" w:line="254" w:lineRule="auto"/>
        <w:tabs>
          <w:tab w:leader="none" w:pos="26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9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clinical studies to support an IND</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52"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controls for biologics</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handful of biosimilar products and no interchangeable products have been approved under the BPCIA. Complexities associated with the larger, and often more complex, structures of biological products, as well as the process by which such products are manufactured, pose significant hurdles to implementation, which is still being evaluated by the FDA.</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If use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7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76" w:lineRule="exact"/>
        <w:rPr>
          <w:sz w:val="20"/>
          <w:szCs w:val="20"/>
          <w:color w:val="auto"/>
        </w:rPr>
      </w:pPr>
    </w:p>
    <w:p>
      <w:pPr>
        <w:ind w:left="900" w:right="680" w:hanging="325"/>
        <w:spacing w:after="0" w:line="342"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2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and other countries in the EU, for example, a clinical trial authorisation must be submitted to each country’s national health authority and an independent ethics committee, much like the FDA and IRB, respectively. Once the clinical trial authorisation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6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CTN process broadly involves:</w:t>
      </w:r>
    </w:p>
    <w:p>
      <w:pPr>
        <w:spacing w:after="0" w:line="13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CTX process:</w:t>
      </w:r>
    </w:p>
    <w:p>
      <w:pPr>
        <w:spacing w:after="0" w:line="13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it is required that:</w:t>
      </w:r>
    </w:p>
    <w:p>
      <w:pPr>
        <w:spacing w:after="0" w:line="13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evidence is compiled which demonstrates that the manufacture of the therapeutic drug product complies with the principles of cGMP;</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November 30, 2016, we had 49 full-time employees. Of these employees, 41 were primarily engaged in research and development activities and 14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00"/>
          </w:cols>
          <w:pgMar w:left="240" w:top="459" w:right="3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November 30,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340" w:type="dxa"/>
            <w:vAlign w:val="bottom"/>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6"/>
                <w:szCs w:val="16"/>
                <w:color w:val="auto"/>
              </w:rPr>
            </w:pPr>
          </w:p>
        </w:tc>
        <w:tc>
          <w:tcPr>
            <w:tcW w:w="514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182"/>
        </w:trPr>
        <w:tc>
          <w:tcPr>
            <w:tcW w:w="57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40" w:type="dxa"/>
            <w:vAlign w:val="bottom"/>
          </w:tcPr>
          <w:p>
            <w:pPr>
              <w:spacing w:after="0"/>
              <w:rPr>
                <w:sz w:val="15"/>
                <w:szCs w:val="15"/>
                <w:color w:val="auto"/>
              </w:rPr>
            </w:pP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Hamza Suria</w:t>
            </w: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Marco Londei, M.D.</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Chief Medical Officer</w:t>
            </w:r>
          </w:p>
        </w:tc>
      </w:tr>
      <w:tr>
        <w:trPr>
          <w:trHeight w:val="212"/>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Matthew Moyle, Ph.D.</w:t>
            </w:r>
          </w:p>
        </w:tc>
        <w:tc>
          <w:tcPr>
            <w:tcW w:w="240" w:type="dxa"/>
            <w:vAlign w:val="bottom"/>
          </w:tcPr>
          <w:p>
            <w:pPr>
              <w:jc w:val="right"/>
              <w:spacing w:after="0"/>
              <w:rPr>
                <w:sz w:val="20"/>
                <w:szCs w:val="20"/>
                <w:color w:val="auto"/>
              </w:rPr>
            </w:pPr>
            <w:r>
              <w:rPr>
                <w:rFonts w:ascii="Arial" w:cs="Arial" w:eastAsia="Arial" w:hAnsi="Arial"/>
                <w:sz w:val="18"/>
                <w:szCs w:val="18"/>
                <w:color w:val="auto"/>
              </w:rPr>
              <w:t>55</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Chief Scientific Officer</w:t>
            </w:r>
          </w:p>
        </w:tc>
      </w:tr>
      <w:tr>
        <w:trPr>
          <w:trHeight w:val="220"/>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Tiba Aynechi, Ph.D.*</w:t>
            </w:r>
          </w:p>
        </w:tc>
        <w:tc>
          <w:tcPr>
            <w:tcW w:w="240" w:type="dxa"/>
            <w:vAlign w:val="bottom"/>
          </w:tcPr>
          <w:p>
            <w:pPr>
              <w:jc w:val="right"/>
              <w:spacing w:after="0"/>
              <w:rPr>
                <w:sz w:val="20"/>
                <w:szCs w:val="20"/>
                <w:color w:val="auto"/>
              </w:rPr>
            </w:pPr>
            <w:r>
              <w:rPr>
                <w:rFonts w:ascii="Arial" w:cs="Arial" w:eastAsia="Arial" w:hAnsi="Arial"/>
                <w:sz w:val="18"/>
                <w:szCs w:val="18"/>
                <w:color w:val="auto"/>
              </w:rPr>
              <w:t>41</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Carol G. Gallagher, Pharm.D. </w:t>
            </w:r>
            <w:r>
              <w:rPr>
                <w:rFonts w:ascii="Arial" w:cs="Arial" w:eastAsia="Arial" w:hAnsi="Arial"/>
                <w:sz w:val="15"/>
                <w:szCs w:val="15"/>
                <w:color w:val="auto"/>
              </w:rPr>
              <w:t>(1)(2)(3)</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Nicholas B. Lydon, Ph.D., FRS </w:t>
            </w:r>
            <w:r>
              <w:rPr>
                <w:rFonts w:ascii="Arial" w:cs="Arial" w:eastAsia="Arial" w:hAnsi="Arial"/>
                <w:sz w:val="15"/>
                <w:szCs w:val="15"/>
                <w:color w:val="auto"/>
              </w:rPr>
              <w:t>(2)</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Hollings Renton </w:t>
            </w:r>
            <w:r>
              <w:rPr>
                <w:rFonts w:ascii="Arial" w:cs="Arial" w:eastAsia="Arial" w:hAnsi="Arial"/>
                <w:sz w:val="15"/>
                <w:szCs w:val="15"/>
                <w:color w:val="auto"/>
              </w:rPr>
              <w:t>(3)(4)</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John P. Schmid </w:t>
            </w:r>
            <w:r>
              <w:rPr>
                <w:rFonts w:ascii="Arial" w:cs="Arial" w:eastAsia="Arial" w:hAnsi="Arial"/>
                <w:sz w:val="15"/>
                <w:szCs w:val="15"/>
                <w:color w:val="auto"/>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James A. Schoeneck </w:t>
            </w:r>
            <w:r>
              <w:rPr>
                <w:rFonts w:ascii="Arial" w:cs="Arial" w:eastAsia="Arial" w:hAnsi="Arial"/>
                <w:sz w:val="15"/>
                <w:szCs w:val="15"/>
                <w:color w:val="auto"/>
              </w:rPr>
              <w:t>(1)(2)</w:t>
            </w:r>
          </w:p>
        </w:tc>
        <w:tc>
          <w:tcPr>
            <w:tcW w:w="240" w:type="dxa"/>
            <w:vAlign w:val="bottom"/>
          </w:tcPr>
          <w:p>
            <w:pPr>
              <w:jc w:val="right"/>
              <w:spacing w:after="0"/>
              <w:rPr>
                <w:sz w:val="20"/>
                <w:szCs w:val="20"/>
                <w:color w:val="auto"/>
              </w:rPr>
            </w:pPr>
            <w:r>
              <w:rPr>
                <w:rFonts w:ascii="Arial" w:cs="Arial" w:eastAsia="Arial" w:hAnsi="Arial"/>
                <w:sz w:val="18"/>
                <w:szCs w:val="18"/>
                <w:color w:val="auto"/>
              </w:rPr>
              <w:t>59</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5720" w:type="dxa"/>
            <w:vAlign w:val="bottom"/>
            <w:gridSpan w:val="2"/>
          </w:tcPr>
          <w:p>
            <w:pPr>
              <w:ind w:left="360"/>
              <w:spacing w:after="0"/>
              <w:rPr>
                <w:sz w:val="20"/>
                <w:szCs w:val="20"/>
                <w:color w:val="auto"/>
              </w:rPr>
            </w:pPr>
            <w:r>
              <w:rPr>
                <w:rFonts w:ascii="Arial" w:cs="Arial" w:eastAsia="Arial" w:hAnsi="Arial"/>
                <w:sz w:val="18"/>
                <w:szCs w:val="18"/>
                <w:color w:val="auto"/>
              </w:rPr>
              <w:t xml:space="preserve">James N. Topper, M.D., Ph.D. </w:t>
            </w:r>
            <w:r>
              <w:rPr>
                <w:rFonts w:ascii="Arial" w:cs="Arial" w:eastAsia="Arial" w:hAnsi="Arial"/>
                <w:sz w:val="15"/>
                <w:szCs w:val="15"/>
                <w:color w:val="auto"/>
              </w:rPr>
              <w:t>(3)(5)</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5460" w:type="dxa"/>
            <w:vAlign w:val="bottom"/>
            <w:gridSpan w:val="2"/>
          </w:tcPr>
          <w:p>
            <w:pPr>
              <w:ind w:left="32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8"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Dr. Aynechi has notified us that she will resign from our board of directors contingent upon and effective immediately prior to the effectiveness of the registration statement of which this prospectus forms a part.</w:t>
      </w:r>
    </w:p>
    <w:p>
      <w:pPr>
        <w:spacing w:after="0" w:line="1"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Hamza Suria </w:t>
      </w:r>
      <w:r>
        <w:rPr>
          <w:rFonts w:ascii="Arial" w:cs="Arial" w:eastAsia="Arial" w:hAnsi="Arial"/>
          <w:sz w:val="17"/>
          <w:szCs w:val="17"/>
          <w:color w:val="auto"/>
        </w:rPr>
        <w:t>has served as our President and Chief Executive Officer and a member of our board of directors since July 2011. From January 2009 to</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7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i w:val="1"/>
          <w:iCs w:val="1"/>
          <w:color w:val="auto"/>
        </w:rPr>
        <w:t xml:space="preserve">Marco Londei, M.D. </w:t>
      </w:r>
      <w:r>
        <w:rPr>
          <w:rFonts w:ascii="Arial" w:cs="Arial" w:eastAsia="Arial" w:hAnsi="Arial"/>
          <w:sz w:val="17"/>
          <w:szCs w:val="17"/>
          <w:color w:val="auto"/>
        </w:rPr>
        <w:t>has served as our Chief Medical Officer since October 2016. Prior to that, Dr. Londei served as our Chief Development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since October 2014. Before joining our company, Dr. Londei worked as Therapeutic 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Matthew Moyle, Ph.D. </w:t>
      </w:r>
      <w:r>
        <w:rPr>
          <w:rFonts w:ascii="Arial" w:cs="Arial" w:eastAsia="Arial" w:hAnsi="Arial"/>
          <w:sz w:val="16"/>
          <w:szCs w:val="16"/>
          <w:color w:val="auto"/>
        </w:rPr>
        <w:t>commenced serving as our Chief Scientific Officer in May 2016. Dr. Moyle has more than 25 years of industry experience in</w:t>
      </w:r>
      <w:r>
        <w:rPr>
          <w:rFonts w:ascii="Arial" w:cs="Arial" w:eastAsia="Arial" w:hAnsi="Arial"/>
          <w:sz w:val="16"/>
          <w:szCs w:val="16"/>
          <w:i w:val="1"/>
          <w:iCs w:val="1"/>
          <w:color w:val="auto"/>
        </w:rPr>
        <w:t xml:space="preserve"> </w:t>
      </w:r>
      <w:r>
        <w:rPr>
          <w:rFonts w:ascii="Arial" w:cs="Arial" w:eastAsia="Arial" w:hAnsi="Arial"/>
          <w:sz w:val="16"/>
          <w:szCs w:val="16"/>
          <w:color w:val="auto"/>
        </w:rPr>
        <w:t>drug discovery and development of biologics. Before joining us, from October 2010 to August 2015, Dr. Moyle served as Vice President of Biotherapeutics at Boehringer Ingelheim GmbH, a German pharmaceutical company, where he chaired Boehringer Ingelheim’s International Biologics Council. Prior to that, Dr. Moyle held positions as Senior Vice President of Research and Development and Chief Scientific Officer at Theraclone Sciences, Inc., a private biotechnology company, from May 2007 to October 2010, and as Vice President of Research and Corporate Officer at Tanox, Inc., a public biotechnology company that was acquired in 2006 by Genentech, Inc., from January 2001 to August 2005, where his research organizations designed and developed several monoclonal antibody therapeutic candidates, including three that are currently in mid- to late-stage clinical trials and clinical development at leading pharmaceutical companies. Before Tanox, Dr. Moyle served in various positions at Amgen Inc. from 1995 to 2001, including heading a research department with responsibility for building and running the company’s high-throughput expression-profiling facility. Before that, Dr. Moyle was a Group Leader at Corvas, International, Inc., from 1991 to 1995, where he co-discovered two novel natural product biologics that subsequently advanced to pivotal clinical trials. Dr. Moyle was a postdoctoral scientist at Genentech Inc. from 1989 to 1991, where he was part of the company’s first program in small molecule therapeutics. Dr. Moyle earned a Ph.D. and B.Sc. in Biochemistry at the University of Toronto.</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i w:val="1"/>
          <w:iCs w:val="1"/>
          <w:color w:val="auto"/>
        </w:rPr>
        <w:t xml:space="preserve">Tiba Aynechi, Ph.D. </w:t>
      </w:r>
      <w:r>
        <w:rPr>
          <w:rFonts w:ascii="Arial" w:cs="Arial" w:eastAsia="Arial" w:hAnsi="Arial"/>
          <w:sz w:val="18"/>
          <w:szCs w:val="18"/>
          <w:color w:val="auto"/>
        </w:rPr>
        <w:t>has served as a member of our board of directors since April 2015. Dr. Aynechi is employed as a Partner at Novo Ventures (US)</w:t>
      </w:r>
      <w:r>
        <w:rPr>
          <w:rFonts w:ascii="Arial" w:cs="Arial" w:eastAsia="Arial" w:hAnsi="Arial"/>
          <w:sz w:val="18"/>
          <w:szCs w:val="18"/>
          <w:i w:val="1"/>
          <w:iCs w:val="1"/>
          <w:color w:val="auto"/>
        </w:rPr>
        <w:t xml:space="preserve"> </w:t>
      </w:r>
      <w:r>
        <w:rPr>
          <w:rFonts w:ascii="Arial" w:cs="Arial" w:eastAsia="Arial" w:hAnsi="Arial"/>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director at iRhythm Technologies, Inc., a public digital healthcare company, since May 2014. Dr. Aynechi has also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9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that Dr. Aynechi’s extensive experience in the biotechnology and pharmaceutical industries, makes her qualified to serve on our own board of directors.</w:t>
      </w:r>
    </w:p>
    <w:p>
      <w:pPr>
        <w:spacing w:after="0" w:line="170" w:lineRule="exact"/>
        <w:rPr>
          <w:sz w:val="20"/>
          <w:szCs w:val="20"/>
          <w:color w:val="auto"/>
        </w:rPr>
      </w:pPr>
    </w:p>
    <w:p>
      <w:pPr>
        <w:ind w:right="320" w:firstLine="456"/>
        <w:spacing w:after="0" w:line="285" w:lineRule="auto"/>
        <w:rPr>
          <w:sz w:val="20"/>
          <w:szCs w:val="20"/>
          <w:color w:val="auto"/>
        </w:rPr>
      </w:pPr>
      <w:r>
        <w:rPr>
          <w:rFonts w:ascii="Arial" w:cs="Arial" w:eastAsia="Arial" w:hAnsi="Arial"/>
          <w:sz w:val="16"/>
          <w:szCs w:val="16"/>
          <w:i w:val="1"/>
          <w:iCs w:val="1"/>
          <w:color w:val="auto"/>
        </w:rPr>
        <w:t xml:space="preserve">Carol G. Gallagher, Pharm.D. </w:t>
      </w:r>
      <w:r>
        <w:rPr>
          <w:rFonts w:ascii="Arial" w:cs="Arial" w:eastAsia="Arial" w:hAnsi="Arial"/>
          <w:sz w:val="16"/>
          <w:szCs w:val="16"/>
          <w:color w:val="auto"/>
        </w:rPr>
        <w:t>has served as a member of our board of directors since October 2011. Dr. Gallagher has been a partner at New</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currently serves as a member of the board of directors of Cleave Biosciences, a private biopharmaceutical company. Dr. Gallagher attended Vanderbilt University and received her B.S. and Pharm.D. degrees from the University of Kentucky.</w:t>
      </w:r>
    </w:p>
    <w:p>
      <w:pPr>
        <w:spacing w:after="0" w:line="1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w:t>
      </w:r>
    </w:p>
    <w:p>
      <w:pPr>
        <w:spacing w:after="0" w:line="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Amgen in 2000. Prior to joining Kinetix, Dr. Lydon worked at CIBA-GEIGY, AG (Novartis) in Basel, Switzerland from 1985 to 1997, where he was responsible for the protein kinase inhibitor program, including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i w:val="1"/>
          <w:iCs w:val="1"/>
          <w:color w:val="auto"/>
        </w:rPr>
        <w:t xml:space="preserve">Hollings Renton </w:t>
      </w:r>
      <w:r>
        <w:rPr>
          <w:rFonts w:ascii="Arial" w:cs="Arial" w:eastAsia="Arial" w:hAnsi="Arial"/>
          <w:sz w:val="16"/>
          <w:szCs w:val="16"/>
          <w:color w:val="auto"/>
        </w:rPr>
        <w:t>has served as a member of our board of directors since June 2015. Mr. Renton previously served as the Chief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of 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as chairperson of the board of directors of Portola Pharmaceuticals, Inc. He previously served on the boards of directors of Cepheid, Inc., Kythera Biopharmaceuticals, Inc.,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66"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7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John P. Schmid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James A. Schoeneck </w:t>
      </w:r>
      <w:r>
        <w:rPr>
          <w:rFonts w:ascii="Arial" w:cs="Arial" w:eastAsia="Arial" w:hAnsi="Arial"/>
          <w:sz w:val="18"/>
          <w:szCs w:val="18"/>
          <w:color w:val="auto"/>
        </w:rPr>
        <w:t>has served as a member of our board of directors since November 2015. Mr. Schoeneck has served as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Depomed, Inc. since April 2011 and as a director of Depomed since December 2007. Before joining Depomed, Mr. Schoeneck served as Chief Executive Officer of BrainCells Inc., a private biopharmaceutical company in San Diego, from September 2005 to April 2011. Mr. Schoeneck has served as a director of FibroGen, Inc., a public biopharmaceutical company since June 2010. Mr. Schoeneck received his B.S. in Education from Jacksonville State University.</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believe that Mr. Schoeneck’s extensive industry and leadership experience provide him with the qualifications and skills to serve on our board of directors.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 xml:space="preserve">James N. Topper, M.D., Ph.D. </w:t>
      </w:r>
      <w:r>
        <w:rPr>
          <w:rFonts w:ascii="Arial" w:cs="Arial" w:eastAsia="Arial" w:hAnsi="Arial"/>
          <w:sz w:val="18"/>
          <w:szCs w:val="18"/>
          <w:color w:val="auto"/>
        </w:rPr>
        <w:t>has served as a member of our board of directors since November 2007. Dr. Topper has been a partner with Frazier</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since August 2003, serving as General Partner since 2005.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as a director at ProNai Therapeutics, Inc., a public drug development company, since April 2014.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93"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Our board of directors has adopted a code of business conduct and ethics that applies to all of our employees, officers and directors, including our Chief Executive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eight members. Our current certificate of incorporation and a voting agreement by and among us and certain of our investors provide for up to eight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7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214" w:lineRule="exact"/>
        <w:rPr>
          <w:sz w:val="20"/>
          <w:szCs w:val="20"/>
          <w:color w:val="auto"/>
        </w:rPr>
      </w:pPr>
    </w:p>
    <w:p>
      <w:pPr>
        <w:ind w:left="5580" w:right="320" w:hanging="5126"/>
        <w:spacing w:after="0" w:line="449" w:lineRule="auto"/>
        <w:tabs>
          <w:tab w:leader="none" w:pos="89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Class I directors will be Dr. Gallagher and Dr. Topper and their terms will expire at the annual meeting of stockholders to be held in 2018; 118</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Class II directors will be Mr. Suria and Dr. Lydon and their terms will expire at the annual meeting of stockholders to be held in 2019; and</w:t>
      </w:r>
    </w:p>
    <w:p>
      <w:pPr>
        <w:spacing w:after="0" w:line="153"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Class III directors will be Mr. Renton, Mr. Schmid and Mr. Schoeneck and their terms will expire at the annual meeting of stockholders to be held in 2020.</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connection with this offering, our common stock has been approved for listing on the Nasdaq Global Select Market. Under the rules of the Nasdaq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audit committee is comprised of Dr. Gallagher, Mr. Schoeneck and Mr. Schmid, with Mr. Schmid as the chairman of our audit committee. The composition of our audit committee meets the requirements for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80"/>
          </w:cols>
          <w:pgMar w:left="240" w:top="459" w:right="2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92"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considering the adequacy of our internal controls;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compensation committee is comprised of Dr. Gallagher, Dr. Lydon and Mr. Schoeneck, with Dr. Gallagher as the chairperson of our compensation committee. Each member of this committee is a non-employee director, as defined by Rule 16b-3 promulgated under the Exchange Act, and an outside director, as defined pursuant to Section 162(m) of the Code and meets the requirements for independence under the current Nasdaq listing standards and SEC rules and regulations. Our compensation committee is responsible for, among other things:</w:t>
      </w:r>
    </w:p>
    <w:p>
      <w:pPr>
        <w:spacing w:after="0" w:line="77"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nominating and governance committee is comprised of Dr. Gallagher, Mr. Renton and Dr. Topper, with Mr. Renton as the chairman of our nominating and governance committee. Each member of the Committee meets the requirements for independence under the current Nasdaq listing standards. Our nominating and governance committee is responsible for, among other things:</w:t>
      </w:r>
    </w:p>
    <w:p>
      <w:pPr>
        <w:spacing w:after="0" w:line="8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30" w:lineRule="exact"/>
        <w:rPr>
          <w:rFonts w:ascii="Arial" w:cs="Arial" w:eastAsia="Arial" w:hAnsi="Arial"/>
          <w:sz w:val="18"/>
          <w:szCs w:val="18"/>
          <w:color w:val="auto"/>
        </w:rPr>
      </w:pPr>
    </w:p>
    <w:p>
      <w:pPr>
        <w:ind w:left="5580" w:right="4660" w:hanging="5126"/>
        <w:spacing w:after="0" w:line="44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 120</w:t>
      </w:r>
    </w:p>
    <w:p>
      <w:pPr>
        <w:sectPr>
          <w:pgSz w:w="11900" w:h="16838" w:orient="portrait"/>
          <w:cols w:equalWidth="0" w:num="1">
            <w:col w:w="11340"/>
          </w:cols>
          <w:pgMar w:left="240" w:top="459" w:right="3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evaluating, and overseeing the process of evaluating, the performance of our board of directors and individual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2016.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following table presents the total compensation expected to be earned or paid in the year ended December 31, 2016 for each member of our board of directors, except for our President and Chief Executive Officer, Mr. Suria, who receives no additional compensation for his service as a director. Other than as described below, none of our non-employee directors are expected to receive any fees or reimbursement of any expenses (other than customary expenses in connection with the attendance of meetings of our board of directors) or any equity or non-equity awards in the year ended December 31, 2016.</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Fees Earned</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600" w:type="dxa"/>
            <w:vAlign w:val="bottom"/>
          </w:tcPr>
          <w:p>
            <w:pPr>
              <w:spacing w:after="0"/>
              <w:rPr>
                <w:sz w:val="12"/>
                <w:szCs w:val="12"/>
                <w:color w:val="auto"/>
              </w:rPr>
            </w:pPr>
          </w:p>
        </w:tc>
        <w:tc>
          <w:tcPr>
            <w:tcW w:w="13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or Paid in</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2"/>
                <w:szCs w:val="12"/>
                <w:b w:val="1"/>
                <w:bCs w:val="1"/>
                <w:color w:val="auto"/>
              </w:rPr>
              <w:t>(2)</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2600" w:type="dxa"/>
            <w:vAlign w:val="bottom"/>
          </w:tcPr>
          <w:p>
            <w:pPr>
              <w:spacing w:after="0"/>
              <w:rPr>
                <w:sz w:val="14"/>
                <w:szCs w:val="14"/>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 xml:space="preserve">Cash </w:t>
            </w:r>
            <w:r>
              <w:rPr>
                <w:rFonts w:ascii="Arial" w:cs="Arial" w:eastAsia="Arial" w:hAnsi="Arial"/>
                <w:sz w:val="12"/>
                <w:szCs w:val="12"/>
                <w:b w:val="1"/>
                <w:bCs w:val="1"/>
                <w:color w:val="auto"/>
                <w:w w:val="94"/>
              </w:rPr>
              <w:t>(1)</w:t>
            </w:r>
            <w:r>
              <w:rPr>
                <w:rFonts w:ascii="Arial" w:cs="Arial" w:eastAsia="Arial" w:hAnsi="Arial"/>
                <w:sz w:val="14"/>
                <w:szCs w:val="14"/>
                <w:b w:val="1"/>
                <w:bCs w:val="1"/>
                <w:color w:val="auto"/>
                <w:w w:val="94"/>
              </w:rPr>
              <w:t xml:space="preserv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Carol</w:t>
            </w:r>
          </w:p>
        </w:tc>
        <w:tc>
          <w:tcPr>
            <w:tcW w:w="44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 Gallagher, Pharm.D.</w:t>
            </w:r>
          </w:p>
        </w:tc>
        <w:tc>
          <w:tcPr>
            <w:tcW w:w="2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278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p>
        </w:tc>
        <w:tc>
          <w:tcPr>
            <w:tcW w:w="27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John P. Schmid</w:t>
            </w:r>
          </w:p>
        </w:tc>
        <w:tc>
          <w:tcPr>
            <w:tcW w:w="2780" w:type="dxa"/>
            <w:vAlign w:val="bottom"/>
            <w:gridSpan w:val="2"/>
          </w:tcPr>
          <w:p>
            <w:pPr>
              <w:ind w:left="2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Schoeneck</w:t>
            </w:r>
          </w:p>
        </w:tc>
        <w:tc>
          <w:tcPr>
            <w:tcW w:w="2780" w:type="dxa"/>
            <w:vAlign w:val="bottom"/>
            <w:gridSpan w:val="2"/>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52,500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20" w:hanging="452"/>
        <w:spacing w:after="0" w:line="254"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Gallagher, Dr. Lydon and Mr. Renton were each paid a $50,000 annual retainer fee in connection with their service on our board of directors. Mr. Schmid was paid an annual retainer fee of $35,000 and $5,000 in connection with his service on our board of directors and audit committee, respectively. Mr. Schoeneck was paid an annual retainer fee of $40,000, $7,500 and $5,000 in connection with his service on our board of directors, audit committee and compensation committee, respectively.</w:t>
      </w:r>
    </w:p>
    <w:p>
      <w:pPr>
        <w:spacing w:after="0" w:line="2"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following table sets forth the expected aggregate number of shares of our common stock subject to outstanding stock options held by our non-employee directors as of December 31, 2016:</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Options Held as</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Director Name</w:t>
            </w:r>
          </w:p>
        </w:tc>
        <w:tc>
          <w:tcPr>
            <w:tcW w:w="2320" w:type="dxa"/>
            <w:vAlign w:val="bottom"/>
            <w:vMerge w:val="restart"/>
          </w:tcPr>
          <w:p>
            <w:pPr>
              <w:spacing w:after="0"/>
              <w:rPr>
                <w:sz w:val="12"/>
                <w:szCs w:val="12"/>
                <w:color w:val="auto"/>
              </w:rPr>
            </w:pPr>
          </w:p>
        </w:tc>
        <w:tc>
          <w:tcPr>
            <w:tcW w:w="42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0" w:type="dxa"/>
            <w:vAlign w:val="bottom"/>
          </w:tcPr>
          <w:p>
            <w:pPr>
              <w:spacing w:after="0"/>
              <w:rPr>
                <w:sz w:val="1"/>
                <w:szCs w:val="1"/>
                <w:color w:val="auto"/>
              </w:rPr>
            </w:pPr>
          </w:p>
        </w:tc>
      </w:tr>
      <w:tr>
        <w:trPr>
          <w:trHeight w:val="178"/>
        </w:trPr>
        <w:tc>
          <w:tcPr>
            <w:tcW w:w="920" w:type="dxa"/>
            <w:vAlign w:val="bottom"/>
            <w:tcBorders>
              <w:bottom w:val="single" w:sz="8" w:color="auto"/>
            </w:tcBorders>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5340" w:type="dxa"/>
            <w:vAlign w:val="bottom"/>
            <w:gridSpan w:val="2"/>
          </w:tcPr>
          <w:p>
            <w:pPr>
              <w:jc w:val="center"/>
              <w:ind w:left="4135"/>
              <w:spacing w:after="0" w:line="158"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Carol G. Gallagher, Pharm.D.</w:t>
            </w:r>
          </w:p>
        </w:tc>
        <w:tc>
          <w:tcPr>
            <w:tcW w:w="4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684,057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217,088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John P. Schmid</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296,370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Schoeneck</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220" w:type="dxa"/>
            <w:vAlign w:val="bottom"/>
          </w:tcPr>
          <w:p>
            <w:pPr>
              <w:jc w:val="right"/>
              <w:ind w:right="2915"/>
              <w:spacing w:after="0"/>
              <w:rPr>
                <w:sz w:val="20"/>
                <w:szCs w:val="20"/>
                <w:color w:val="auto"/>
              </w:rPr>
            </w:pPr>
            <w:r>
              <w:rPr>
                <w:rFonts w:ascii="Arial" w:cs="Arial" w:eastAsia="Arial" w:hAnsi="Arial"/>
                <w:sz w:val="18"/>
                <w:szCs w:val="18"/>
                <w:color w:val="auto"/>
              </w:rPr>
              <w:t>121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September 2015, our board of directors approved a non-employee director compensation policy, which will take effect following the completion of this offering. Pursuant to this policy, each of our non-employee directors will receive an annual retainer of $40,000. Additionally, a lead independent director will receive an additional annual payment of $20,000; the chairperson of our board of directors will receive an additional annual payment of $15,000 when a lead independent director is also serving and $30,000 when no lead independent director is serving; the chairpersons of our audit, compensation and nominating and corporate governance committees will receive an additional annual payment of $15,000, $10,000 and $7,500, respectively; and the members of our audit, compensation and nominating and corporate governance committees will receive an additional annual payment of $7,500, $5,000 and $3,750, respectively.</w:t>
      </w:r>
    </w:p>
    <w:p>
      <w:pPr>
        <w:spacing w:after="0" w:line="18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completion of this offering, each of our non-employee directors will receive an annual option to purchase 100,000 shares of common stock, which vests in a single installment 12 months after the grant date, subject to the applicable director’s continuous service through such date. Additionally, each new non-employee director will receive upon election to our board of directors, an option to purchase 200,000 shares of common stock, which will vest in</w:t>
      </w:r>
    </w:p>
    <w:p>
      <w:pPr>
        <w:ind w:right="40"/>
        <w:spacing w:after="0" w:line="261" w:lineRule="auto"/>
        <w:rPr>
          <w:sz w:val="20"/>
          <w:szCs w:val="20"/>
          <w:color w:val="auto"/>
        </w:rPr>
      </w:pPr>
      <w:r>
        <w:rPr>
          <w:rFonts w:ascii="Arial" w:cs="Arial" w:eastAsia="Arial" w:hAnsi="Arial"/>
          <w:sz w:val="18"/>
          <w:szCs w:val="18"/>
          <w:color w:val="auto"/>
        </w:rPr>
        <w:t>36 equal monthly installments after the grant date, subject to the director’s continuous service through such date. The exercise price of such grants will be the fair market value of our common stock as of the grant date.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following tables and accompanying narrative disclosure set forth information about the compensation expected to be provided to our executive officers during the years ended December 31, 2015 and 2016. These executive officers, who include our principal executive officer and who we expect to be the two most highly-compensated executive officers (other than our principal executive officer) serving as executive officers as of December 31, 2016, were:</w:t>
      </w:r>
    </w:p>
    <w:p>
      <w:pPr>
        <w:spacing w:after="0" w:line="52"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Matthew Moyle, Chief Scientific Officer;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Marco Londei, Chief Medical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following table presents summary information regarding the total expected compensation for services rendered in all capacities that was awarded to and earned by our named executive officers during the years ended December 31, 2015 and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2"/>
                <w:szCs w:val="12"/>
                <w:b w:val="1"/>
                <w:bCs w:val="1"/>
                <w:color w:val="auto"/>
              </w:rPr>
              <w:t>(1)</w:t>
            </w:r>
          </w:p>
        </w:tc>
        <w:tc>
          <w:tcPr>
            <w:tcW w:w="10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4"/>
                <w:szCs w:val="14"/>
                <w:color w:val="auto"/>
              </w:rPr>
            </w:pPr>
          </w:p>
        </w:tc>
        <w:tc>
          <w:tcPr>
            <w:tcW w:w="106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 xml:space="preserve">Awards </w:t>
            </w:r>
            <w:r>
              <w:rPr>
                <w:rFonts w:ascii="Arial" w:cs="Arial" w:eastAsia="Arial" w:hAnsi="Arial"/>
                <w:sz w:val="12"/>
                <w:szCs w:val="12"/>
                <w:b w:val="1"/>
                <w:bCs w:val="1"/>
                <w:color w:val="auto"/>
                <w:w w:val="89"/>
              </w:rPr>
              <w:t>(2)</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Hamza Suria</w:t>
            </w: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2016</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87"/>
              </w:rPr>
              <w:t>$425,000</w:t>
            </w: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600</w:t>
            </w:r>
          </w:p>
        </w:tc>
        <w:tc>
          <w:tcPr>
            <w:tcW w:w="300" w:type="dxa"/>
            <w:vAlign w:val="bottom"/>
            <w:tcBorders>
              <w:top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87"/>
              </w:rPr>
              <w:t>(4)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425,600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President and Chief Executive Officer</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1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$382,083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97,431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1,170,840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540</w:t>
            </w:r>
            <w:r>
              <w:rPr>
                <w:rFonts w:ascii="Arial" w:cs="Arial" w:eastAsia="Arial" w:hAnsi="Arial"/>
                <w:sz w:val="15"/>
                <w:szCs w:val="15"/>
                <w:color w:val="auto"/>
              </w:rPr>
              <w:t>(4)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1,650,894</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Matthew Moyle</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0" w:type="dxa"/>
            <w:vAlign w:val="bottom"/>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2016</w:t>
            </w:r>
          </w:p>
        </w:tc>
        <w:tc>
          <w:tcPr>
            <w:tcW w:w="1240" w:type="dxa"/>
            <w:vAlign w:val="bottom"/>
            <w:gridSpan w:val="3"/>
          </w:tcPr>
          <w:p>
            <w:pPr>
              <w:ind w:left="140"/>
              <w:spacing w:after="0"/>
              <w:rPr>
                <w:sz w:val="20"/>
                <w:szCs w:val="20"/>
                <w:color w:val="auto"/>
              </w:rPr>
            </w:pPr>
            <w:r>
              <w:rPr>
                <w:rFonts w:ascii="Arial" w:cs="Arial" w:eastAsia="Arial" w:hAnsi="Arial"/>
                <w:sz w:val="18"/>
                <w:szCs w:val="18"/>
                <w:color w:val="auto"/>
              </w:rPr>
              <w:t>$181,250</w:t>
            </w:r>
            <w:r>
              <w:rPr>
                <w:rFonts w:ascii="Arial" w:cs="Arial" w:eastAsia="Arial" w:hAnsi="Arial"/>
                <w:sz w:val="15"/>
                <w:szCs w:val="15"/>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614,546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3"/>
              <w:spacing w:after="0"/>
              <w:rPr>
                <w:sz w:val="20"/>
                <w:szCs w:val="20"/>
                <w:color w:val="auto"/>
              </w:rPr>
            </w:pPr>
            <w:r>
              <w:rPr>
                <w:rFonts w:ascii="Arial" w:cs="Arial" w:eastAsia="Arial" w:hAnsi="Arial"/>
                <w:sz w:val="18"/>
                <w:szCs w:val="18"/>
                <w:color w:val="auto"/>
              </w:rPr>
              <w:t>37,726</w:t>
            </w:r>
            <w:r>
              <w:rPr>
                <w:rFonts w:ascii="Arial" w:cs="Arial" w:eastAsia="Arial" w:hAnsi="Arial"/>
                <w:sz w:val="15"/>
                <w:szCs w:val="15"/>
                <w:color w:val="auto"/>
              </w:rPr>
              <w:t>(5)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833,522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Marco Londei, M.D.</w:t>
            </w:r>
          </w:p>
        </w:tc>
        <w:tc>
          <w:tcPr>
            <w:tcW w:w="5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2016</w:t>
            </w:r>
          </w:p>
        </w:tc>
        <w:tc>
          <w:tcPr>
            <w:tcW w:w="124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rPr>
              <w:t>$380,000</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3"/>
              <w:spacing w:after="0" w:line="201" w:lineRule="exact"/>
              <w:rPr>
                <w:sz w:val="20"/>
                <w:szCs w:val="20"/>
                <w:color w:val="auto"/>
              </w:rPr>
            </w:pPr>
            <w:r>
              <w:rPr>
                <w:rFonts w:ascii="Arial" w:cs="Arial" w:eastAsia="Arial" w:hAnsi="Arial"/>
                <w:sz w:val="18"/>
                <w:szCs w:val="18"/>
                <w:color w:val="auto"/>
              </w:rPr>
              <w:t>11,944</w:t>
            </w:r>
            <w:r>
              <w:rPr>
                <w:rFonts w:ascii="Arial" w:cs="Arial" w:eastAsia="Arial" w:hAnsi="Arial"/>
                <w:sz w:val="15"/>
                <w:szCs w:val="15"/>
                <w:color w:val="auto"/>
              </w:rPr>
              <w:t>(6)</w:t>
            </w:r>
          </w:p>
        </w:tc>
        <w:tc>
          <w:tcPr>
            <w:tcW w:w="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391,944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Chief Medical Officer</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12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$363,333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81,094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406,049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42,042</w:t>
            </w:r>
            <w:r>
              <w:rPr>
                <w:rFonts w:ascii="Arial" w:cs="Arial" w:eastAsia="Arial" w:hAnsi="Arial"/>
                <w:sz w:val="15"/>
                <w:szCs w:val="15"/>
                <w:color w:val="auto"/>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892,518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 Our board of directors has not yet determined the amounts of cash bonuses payable to our named executive officers earned in 2016. We anticipate that cash bonuses, if any, for 2016 will be determined by our board of directors by March 2017.</w:t>
      </w:r>
    </w:p>
    <w:p>
      <w:pPr>
        <w:ind w:left="460" w:right="280" w:hanging="452"/>
        <w:spacing w:after="0" w:line="281"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grant-date fair value of the awards granted under our 2006 Equity Incentive Plan to our named executive officers during the years ended December 31, 2015 and 2016, as computed in accordance with FASB ASC Topic 718. The assumptions used in calculating the grant date fair value of the awards reported in the Stock Option Awards column are set forth in Note 8 to our consolidated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Dr. Moyle’s salary from the commencement of his employment on May 16, 2016, through December 31,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Suria.</w:t>
      </w:r>
    </w:p>
    <w:p>
      <w:pPr>
        <w:spacing w:after="0" w:line="9" w:lineRule="exact"/>
        <w:rPr>
          <w:rFonts w:ascii="Arial" w:cs="Arial" w:eastAsia="Arial" w:hAnsi="Arial"/>
          <w:sz w:val="18"/>
          <w:szCs w:val="18"/>
          <w:color w:val="auto"/>
        </w:rPr>
      </w:pPr>
    </w:p>
    <w:p>
      <w:pPr>
        <w:ind w:left="460" w:right="28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Moyle during the year ended December 31, 2016, consisting of $36,221 for temporary housing and moving expenses and $1,505 for group term life insurance premiums paid by us on behalf of Dr. Moyle.</w:t>
      </w:r>
    </w:p>
    <w:p>
      <w:pPr>
        <w:ind w:left="460" w:right="18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2016, consisting of $7,984 for moving expenses and $3,960 for group term life insurance premiums paid by us on behalf of Dr. Londei.</w:t>
      </w:r>
    </w:p>
    <w:p>
      <w:pPr>
        <w:ind w:left="460" w:right="120" w:hanging="452"/>
        <w:spacing w:after="0" w:line="255"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2015, consisting of $39,462 for temporary housing and moving expenses, including tax gross-up with respect to temporary housing payments, and $2,580 for group term life insurance premiums paid by us on behalf of Dr. Londei.</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initial terms and conditions of employment of each of Mr. Suria and Drs. Londei and Moyle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Suria’s Employment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an employment agreement effective as of January 1, 2012 and amended October 9, 2012 and September 16, 2014, or collectively the Suria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Mr. Suria serves as our President and Chief Executive Officer. The Suria Employment Agreement sets forth the principal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of his employment, including his initial annual base salary of $285,000 and an annual target cash bonus opportunity of 25% of his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pro rata adjustment for any partial years worked, which bonus is earned based on our achievement of specified milestones and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objectives, as well as Mr. Suria’s performance relative to one or more performance objectives established by Mr. Suria, our compensation committee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the achievement of which is evaluated by us. On August 14, 2015, our board of directors increased Mr. Suria’s annual base salary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$420,000, effective as of August 1, 2015. The Suria Employment Agreement provided for the grant of a time-based stock option to purchase up to 1,499,684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under our 2006 Equity Incentive Plan. The Suria Employment Agreement also provided for the grant of a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 to purchase up to 684,056 shares of our common stock under our 2006 Equity Incentive Plan, all of which would vest immediately in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change of control or qualified initial public offering. These options were granted with an exercise price equal to the fair value of our common stock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date of grant and vest over four years as described in more detail in “—Outstanding Equity Awards at Fiscal Year-End Table” below. Mr. Suria’s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employment is at will and may be terminated at any time, with or without cause. However, pursuant to the terms of the Suria Employment Agreement,</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Suria will be entitled to severance benefits upon a qualifying termination of employment as described in “—Potential Payments upon IPO, Termination or Change in Control”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Londei’s Employment Agreement</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an employment agreement effective as of October 20, 2014, or the Londei Employment Agreement, Dr. Londei serves as our Chief Medical Officer. The Londei Employment Agreement sets forth the principal terms and conditions of his employment, including his initial annual base salary of $350,000 and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On August 14, 2015, our board of directors increased Mr. Londei’s annual base salary to $375,000, effective as of August 1, 2015. Likewise, the Londei Employment Agreement provides for additional discretionary performance-based bonuses. The Londei Employment Agreement provides for the grant of a time-based stock option to purchase 1,126,756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 Dr. Londei will be entitled to severance benefits upon a qualifying termination of employment as described in “—Potential Payments upon IPO, Termination or Change in Control”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Moyle’s Employment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an employment agreement effective as of March 22, 2016, or the Moyle Employment Agreement, Dr. Moyle serves as our Chief Scientific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Officer. The Moyle Employment Agreement sets forth the principal terms and conditions of his employment, including his initial annual base salary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$290,000 and an annual discretionary cash bonus of up to 30% of his base salary, which bonus is earned based on achievement of certain performance goals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established by our Chief Executive Officer, the final determination of which for any given year is made by our Chief Executive Officer and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their sole and absolute discretion. The Moyle Employment Agreement provides for reimbursement of actual and reasonable costs that Dr. Moyle may incur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relocate his household from Connecticut to the San Diego area no later than May 2017, up to $135,000 in the aggregate, and the Moyle Employment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provides further that, in the interim, Dr. Moyle shall be reimbursed for actual and reasonable costs incurred by Dr. Moyle for him to spend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 weeks per month in the San Diego area, up to a maximum of an additional $40,000 in the aggregate. The Moyle Employment Agreement provides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grant, as soon as practicable following the effective date of the Moyle Employment Agreement, of a time-based stock option to purchase up to 1,185,925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under our 2006 Equity Incentive Plan. This option was granted with an exercise price equal to the fair value of our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on the date of grant and vests over four years, with 1/4 of the underlying shares vesting on the first calendar anniversary of the effective date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Moyle Employment Agreement and, thereafter, an additional 1/48 of the underlying shares vesting on the same day of each succeeding calendar month. Dr.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Moyle’s employment is at-will and may be terminated at any time, with or without cause. However, pursuant to the terms of the Moyle Employment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Dr. Moyle will be entitled to severance benefits upon a qualifying termination of employment as described in “—Potential Payments upon IPO,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Termination or Change in Control”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following table presents, for each of the named executive officers, information regarding expected outstanding stock options held as of December 31,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5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3"/>
              </w:rPr>
              <w:t>Option</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Underlying</w:t>
            </w:r>
          </w:p>
        </w:tc>
        <w:tc>
          <w:tcPr>
            <w:tcW w:w="840" w:type="dxa"/>
            <w:vAlign w:val="bottom"/>
            <w:gridSpan w:val="3"/>
            <w:vMerge w:val="continue"/>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540" w:type="dxa"/>
            <w:vAlign w:val="bottom"/>
            <w:vMerge w:val="restart"/>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Grant Date </w:t>
            </w:r>
            <w:r>
              <w:rPr>
                <w:rFonts w:ascii="Arial" w:cs="Arial" w:eastAsia="Arial" w:hAnsi="Arial"/>
                <w:sz w:val="12"/>
                <w:szCs w:val="12"/>
                <w:b w:val="1"/>
                <w:bCs w:val="1"/>
                <w:color w:val="auto"/>
                <w:w w:val="95"/>
              </w:rPr>
              <w:t>(1)</w:t>
            </w:r>
          </w:p>
        </w:tc>
        <w:tc>
          <w:tcPr>
            <w:tcW w:w="220" w:type="dxa"/>
            <w:vAlign w:val="bottom"/>
            <w:vMerge w:val="restart"/>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Options (#)</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Options (#)</w:t>
            </w:r>
          </w:p>
        </w:tc>
        <w:tc>
          <w:tcPr>
            <w:tcW w:w="100" w:type="dxa"/>
            <w:vAlign w:val="bottom"/>
          </w:tcPr>
          <w:p>
            <w:pPr>
              <w:spacing w:after="0"/>
              <w:rPr>
                <w:sz w:val="12"/>
                <w:szCs w:val="12"/>
                <w:color w:val="auto"/>
              </w:rPr>
            </w:pPr>
          </w:p>
        </w:tc>
        <w:tc>
          <w:tcPr>
            <w:tcW w:w="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5540" w:type="dxa"/>
            <w:vAlign w:val="bottom"/>
            <w:tcBorders>
              <w:bottom w:val="single" w:sz="8" w:color="CCEEFF"/>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Unexercisable</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(2)</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9, 2008</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0.37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8, 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 10, 2010</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0.32</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Feb. 9, 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Feb. 24, 2011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43,457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0.23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Feb. 23,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 9, 2011</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986,642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0.16</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Dec. 8, 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Feb. 1, 2012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684,056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0.16</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Feb. 1, 2012</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513,042</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0.16</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17, 2012</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135,978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Dec. 16,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 16, 2014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362,880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0.10</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Sep. 15,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1,861,499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 xml:space="preserve">Matthew Moyle, Ph.D. </w:t>
            </w:r>
            <w:r>
              <w:rPr>
                <w:rFonts w:ascii="Arial" w:cs="Arial" w:eastAsia="Arial" w:hAnsi="Arial"/>
                <w:sz w:val="15"/>
                <w:szCs w:val="15"/>
                <w:color w:val="auto"/>
              </w:rPr>
              <w:t>(3)</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July 22, 2016</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470,588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0.85</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July 21, 2026</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55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July 22, 2016</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715,337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0.85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21, 2026</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 xml:space="preserve">Marco Londei, M.D. </w:t>
            </w:r>
            <w:r>
              <w:rPr>
                <w:rFonts w:ascii="Arial" w:cs="Arial" w:eastAsia="Arial" w:hAnsi="Arial"/>
                <w:sz w:val="15"/>
                <w:szCs w:val="15"/>
                <w:color w:val="auto"/>
              </w:rPr>
              <w:t>(4)</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Oct. 28, 2014</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1,126,756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0.10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Oct. 27,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Aug. 14, 2015</w:t>
            </w:r>
          </w:p>
        </w:tc>
        <w:tc>
          <w:tcPr>
            <w:tcW w:w="1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645,570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0.99</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13,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53"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460" w:right="20" w:hanging="452"/>
        <w:spacing w:after="0" w:line="287"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the shares underlying the options granted on December 9, 2008, February 10, 2010, February 24, 2011, and December 9, 2011 and December 17, 2012, and 513,042 shares underlying the options granted on February 1, 2012, have fully vested; (ii) of the 684,056 shares underlying an option granted on February 1, 2012, all vest only upon a change in control (as defined in the 2006 Equity Incentive Plan) or qualified IPO (as defined in our restated certificate of incorporation) that is approved by our board of directors, subject to Mr. Suria’s employment on such date; (iii) of the 362,880 shares underlying the option granted on September 16, 2014, 1/4 vested on September 16, 2015, and thereafter 1/48 vest on the sixteenth day of each succeeding calendar month, starting October 16 2015; and (iv) of the 1,861,499 shares underlying the option granted on August 14, 2015, 1/4 vested on August 13, 2016, and 1/48 vest on the thirteenth day of each succeeding calendar month, starting September 13, 2016, provided</w:t>
      </w:r>
    </w:p>
    <w:p>
      <w:pPr>
        <w:sectPr>
          <w:pgSz w:w="11900" w:h="16838" w:orient="portrait"/>
          <w:cols w:equalWidth="0" w:num="1">
            <w:col w:w="11420"/>
          </w:cols>
          <w:pgMar w:left="240" w:top="459" w:right="239" w:bottom="918"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20"/>
          </w:cols>
          <w:pgMar w:left="240" w:top="459" w:right="239" w:bottom="918"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58" w:lineRule="auto"/>
        <w:rPr>
          <w:sz w:val="20"/>
          <w:szCs w:val="20"/>
          <w:color w:val="auto"/>
        </w:rPr>
      </w:pPr>
      <w:r>
        <w:rPr>
          <w:rFonts w:ascii="Arial" w:cs="Arial" w:eastAsia="Arial" w:hAnsi="Arial"/>
          <w:sz w:val="18"/>
          <w:szCs w:val="18"/>
          <w:color w:val="auto"/>
        </w:rPr>
        <w:t>that if Mr. Suria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1" w:lineRule="exact"/>
        <w:rPr>
          <w:sz w:val="20"/>
          <w:szCs w:val="20"/>
          <w:color w:val="auto"/>
        </w:rPr>
      </w:pPr>
    </w:p>
    <w:p>
      <w:pPr>
        <w:ind w:left="460" w:right="2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These options are not early-exercisable. The options vest as to their underlying shares as follows: (i) of the 470,588 shares underlying the option granted on July 22, 2016, 1/4 vest on May 16, 2017, and 1/48 vest on the 16th day of each succeeding calendar month, starting June 16, 2017; (ii) of the 715,337 shares underlying the option granted on July 22, 2016, 1/4 vest on May 16, 2017, and 1/48 vest on the 16th day of each succeeding calendar month, starting June 16, 2017, provided that if Mr. Moyle is terminated without Cause or resigns for Good Reason (as each is defined in his employment agreement) in connection with a Change in Control (as defined in the 2006 Equity Incentive Plan), then all of the shares underlying the options shall vest at that time.</w:t>
      </w:r>
    </w:p>
    <w:p>
      <w:pPr>
        <w:spacing w:after="0" w:line="2"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of the 1,126,756 shares underlying the option granted on October 28, 2014, 1/4 of the shares vested on October 24, 2015, and thereafter, 1/48 vest on the 24th day of each succeeding calendar month, starting November 24, 2015, provided that if Dr. Londei is terminated without Cause or resigns for Good Reason (as each is defined in his employment agreement) in connection with a Change in Control (as defined in the 2006 Equity Incentive Plan), then all of the shares underlying the option shall vest at that time; and (ii) of the 645,570 shares underlying the option granted on August 14, 2015, 1/4 vested on August 13, 2016, and 1/48 vest on the thirteenth day of each succeeding calendar month, starting September 13, 2016, provided that if</w:t>
      </w:r>
    </w:p>
    <w:p>
      <w:pPr>
        <w:spacing w:after="0" w:line="4" w:lineRule="exact"/>
        <w:rPr>
          <w:rFonts w:ascii="Arial" w:cs="Arial" w:eastAsia="Arial" w:hAnsi="Arial"/>
          <w:sz w:val="16"/>
          <w:szCs w:val="16"/>
          <w:color w:val="auto"/>
        </w:rPr>
      </w:pPr>
    </w:p>
    <w:p>
      <w:pPr>
        <w:ind w:left="460" w:right="160"/>
        <w:spacing w:after="0" w:line="290" w:lineRule="auto"/>
        <w:rPr>
          <w:rFonts w:ascii="Arial" w:cs="Arial" w:eastAsia="Arial" w:hAnsi="Arial"/>
          <w:sz w:val="16"/>
          <w:szCs w:val="16"/>
          <w:color w:val="auto"/>
        </w:rPr>
      </w:pPr>
      <w:r>
        <w:rPr>
          <w:rFonts w:ascii="Arial" w:cs="Arial" w:eastAsia="Arial" w:hAnsi="Arial"/>
          <w:sz w:val="17"/>
          <w:szCs w:val="17"/>
          <w:color w:val="auto"/>
        </w:rPr>
        <w:t>Mr. Londei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IPO, Termination or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w:t>
      </w:r>
    </w:p>
    <w:p>
      <w:pPr>
        <w:spacing w:after="0" w:line="11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Suria Employment Agreement, the Londei Employment Agreement and the Moyle Employment Agreement, in the event that Mr. Suria, Dr. Londei or Dr. Moyle is terminated without “cause” or resigns for “good reason” (each as defined in the applicable employment agreement), provided that each delivers a signed settlement and general release in favor of us and satisfies all conditions to make such release effective, (i) each will receive continued severance payments for 12 months, nine months and nine months,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respectively and (ii) and if each elects continuation coverage under the Consolidated Omnibus Budget Reconciliation Act of 1985, or COBRA, we will pay directly to the insurance provider of our group health plans, the monthly premium for such continuation coverage for each officer and his family, for 12 months, nine months and nine months, respectively, or such earlier date on which coverage with a new employer is obtained.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 control, and provided that Mr. Suria delivers a signed settlement and general release in favor of us and satisfies all conditions to make such release effective, (i) Mr. Suria will receive the continued severance payments and COBRA premiums described above for 12 months and (ii) certain of his currently outstanding stock options will vest in full as described in more detail in “—Outstanding Equity Awards at Fiscal Year-End Table” above. In addition, Mr. Suria’s option granted on February 1, 2012, will vest in full upon a change in control, subject to Mr. Suria’s employment on such date.</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 (i) Dr. Londei will receive the severance payments and COBRA premiums described above for nine months and (ii) each of his currently outstanding stock options will vest in full.</w:t>
      </w:r>
    </w:p>
    <w:p>
      <w:pPr>
        <w:spacing w:after="0" w:line="1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Pursuant to the Moyle Employment Agreement, if we experience a change in control and Dr. Moyle is terminated without “cause” or resigns for “good reason” (each as defined in the employment agreement or applicable option agreement) upon the occurrence of, or within 13 months following, such change in control, and provided that Dr. Moyle has permanently relocated his household to the San Diego area prior to such termination or resignation and delivers a signed settlement and general release in favor of us and satisfies all conditions to make such release effective (i) Dr. Moyle will receive the severance payments and COBRA premiums described above for nine months and (ii) the stock option granted to him pursuant to his employment agreement will vest in full.</w:t>
      </w:r>
    </w:p>
    <w:p>
      <w:pPr>
        <w:spacing w:after="0" w:line="19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employment agreement contains a “better after-tax” provision, which provides that if any of the payments to Mr. Suria, Dr. Londei, or Dr. Moyle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Equity Incentive Plan</w:t>
      </w:r>
    </w:p>
    <w:p>
      <w:pPr>
        <w:spacing w:after="0" w:line="117"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Our 2006 Equity Incentive Plan was adopted by our board of directors on April 24, 2006 and approved by our stockholders on May 26, 2006, which was later amended by our board of directors on July 11, 2014 and approved by our stockholders on April 29, 2015. Most recently, on April 22, 2016, our board of directors amended and restated our 2006 Equity Incentive Plan to extend the term of the plan by ten years, such that it now expires on April 21, 2026. We expect to receive stockholder approval regarding the extension in the next several months.</w:t>
      </w:r>
    </w:p>
    <w:p>
      <w:pPr>
        <w:spacing w:after="0" w:line="17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As of September 30, 2016, we had reserved 18,871,272 shares of our common stock for issuance under our 2006 Equity Incentive Plan. As of September 30, 2016, options to purchase 2,540,561 of these shares had been exercised, options to purchase 12,997,698 of these shares remained outstanding and 3,593,212 of these shares remained available for grant. The options outstanding as of September 30, 2016 had a weighted-average exercise price of $0.59 per share. We will cease issuing awards under our 2006 Equity Incentive Plan upon the effective date of our 2016 Equity Incentive Plan. Our 2016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a 2016 Equity Incentive Plan that will become effective on the date immediately prior to the date of this prospectus and will serve as</w:t>
      </w:r>
    </w:p>
    <w:p>
      <w:pPr>
        <w:spacing w:after="0" w:line="46"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color w:val="auto"/>
        </w:rPr>
        <w:t>the successor to our 2006 Equity Incentive Plan. We reserved shares of our common stock to be issued under our 2016 Equity Incentive Plan. The number of shares reserved for issuance under our 2016 Equity Incentive Plan will increase automatically on January 1 of each of</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2017 through 2026 by the number of shares equal to %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2016 Equity Incentive Plan:</w:t>
      </w:r>
    </w:p>
    <w:p>
      <w:pPr>
        <w:spacing w:after="0" w:line="87" w:lineRule="exact"/>
        <w:rPr>
          <w:sz w:val="20"/>
          <w:szCs w:val="20"/>
          <w:color w:val="auto"/>
        </w:rPr>
      </w:pPr>
    </w:p>
    <w:p>
      <w:pPr>
        <w:ind w:left="900" w:right="12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2016 Equity Incentive Plan that cease to be subject to the option or stock appreciation right for any reason other than exercise of the option or stock appreciation right;</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subject to awards granted under our 2016 Equity Incentive Plan that are subsequently forfeited or repurchased by us at the original issue price;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subject to awards granted under our 2016 Equity Incentive Plan that otherwise terminate without shares being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or a different award (or combination thereof);</w:t>
      </w:r>
    </w:p>
    <w:p>
      <w:pPr>
        <w:spacing w:after="0" w:line="130" w:lineRule="exact"/>
        <w:rPr>
          <w:rFonts w:ascii="Arial" w:cs="Arial" w:eastAsia="Arial" w:hAnsi="Arial"/>
          <w:sz w:val="18"/>
          <w:szCs w:val="18"/>
          <w:color w:val="auto"/>
        </w:rPr>
      </w:pPr>
    </w:p>
    <w:p>
      <w:pPr>
        <w:ind w:left="900" w:right="66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of common stock reserved but not issued or subject to outstanding grants under our 2006 Equity Incentive Plan on the date of this prospectus will be available for grant and issuance under our 2016 Equity Incentive Plan;</w:t>
      </w:r>
    </w:p>
    <w:p>
      <w:pPr>
        <w:spacing w:after="0" w:line="75"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2016 Equity Incentive Plan;</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shares of common stock issued under our 2006 Equity Incentive Plan that are forfeited or repurchased by us after the date of this prospectus will be available for grant and issuance under our 2016 Equity Incentive Plan; and</w:t>
      </w:r>
    </w:p>
    <w:p>
      <w:pPr>
        <w:spacing w:after="0" w:line="75"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2016 Equity Incentive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2016 Equity Incentive Plan authorizes the award of stock options, restricted stock awards, or RSAs, stock appreciation rights, or SARs, restricted</w:t>
      </w:r>
    </w:p>
    <w:p>
      <w:pPr>
        <w:spacing w:after="0" w:line="46"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stock units, or RSUs, performance awards and stock bonuses. No person will be eligible to receive more than shares in any calendar year under our 2016 Equity Incentive Plan other than a new employee of ours, who will be eligible to receive no more than shares under the plan in the calendar year in which the employee commences employment. No more than shares will be issued pursuant to the exercise of incentive stock options.</w:t>
      </w:r>
    </w:p>
    <w:p>
      <w:pPr>
        <w:spacing w:after="0" w:line="17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Our 2016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2016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5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2016 Equity Incentive Plan will provide for the grant of awards to our employees, directors, consultants, independent contractors and advisors, provided the consultants, independent contractors, directors and advisors are natural persons that render services not in connection with the offer and sale of</w:t>
      </w:r>
    </w:p>
    <w:p>
      <w:pPr>
        <w:spacing w:after="0"/>
        <w:tabs>
          <w:tab w:leader="none" w:pos="9540" w:val="left"/>
        </w:tabs>
        <w:rPr>
          <w:sz w:val="20"/>
          <w:szCs w:val="20"/>
          <w:color w:val="auto"/>
        </w:rPr>
      </w:pPr>
      <w:r>
        <w:rPr>
          <w:rFonts w:ascii="Arial" w:cs="Arial" w:eastAsia="Arial" w:hAnsi="Arial"/>
          <w:sz w:val="18"/>
          <w:szCs w:val="18"/>
          <w:color w:val="auto"/>
        </w:rPr>
        <w:t>securities in a capital-raising transaction. The aggregate number of shares granted to non-employee directors shall not exceed</w:t>
      </w:r>
      <w:r>
        <w:rPr>
          <w:sz w:val="20"/>
          <w:szCs w:val="20"/>
          <w:color w:val="auto"/>
        </w:rPr>
        <w:tab/>
      </w:r>
      <w:r>
        <w:rPr>
          <w:rFonts w:ascii="Arial" w:cs="Arial" w:eastAsia="Arial" w:hAnsi="Arial"/>
          <w:sz w:val="15"/>
          <w:szCs w:val="15"/>
          <w:color w:val="auto"/>
        </w:rPr>
        <w:t>shares in a calendar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 of stock options must be at least equal to the fair market value of our common stock on the date of grant.</w:t>
      </w:r>
    </w:p>
    <w:p>
      <w:pPr>
        <w:spacing w:after="0" w:line="21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anticipate that in general, options will vest over a four-year period. Options may vest based on time or achievement of performance conditions. Our compensation committee may provide for options to be exercised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only as they vest or to be immediately exercisable with any shares issued on exercise being subject to our right of repurchase that lapses as the shares vest.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maximum term of options granted under our 2016 Equity Incentive Plan is ten years.</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w:t>
      </w:r>
    </w:p>
    <w:p>
      <w:pPr>
        <w:ind w:right="400"/>
        <w:spacing w:after="0" w:line="261" w:lineRule="auto"/>
        <w:rPr>
          <w:sz w:val="20"/>
          <w:szCs w:val="20"/>
          <w:color w:val="auto"/>
        </w:rPr>
      </w:pPr>
      <w:r>
        <w:rPr>
          <w:rFonts w:ascii="Arial" w:cs="Arial" w:eastAsia="Arial" w:hAnsi="Arial"/>
          <w:sz w:val="18"/>
          <w:szCs w:val="18"/>
          <w:color w:val="auto"/>
        </w:rPr>
        <w:t>termination of employment or failure to achieve the performance conditions. No participant will be eligible to receive more than $ in performance awards in any calendar year.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3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In the event there is a specified type of change in our capital structure without our receipt of consideration, such as a stock split, appropriate adjustments will be made to the number of shares reserved under our 2016 Equity Incentive Plan, the maximum number of shares that can be granted in a calendar year and the number of shares and exercise price, if applicable, of all outstanding awards under our 2016 Equity Incentive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Awards granted under our 2016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2016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 merger or consolidation, any and all outstanding awards may be assumed or replaced by the successor corporation. In the alternative, the successor corporation may substitute equivalent awards or provide substantially similar consideration to participants as was provided to stockholders. If the outstanding awards are not assumed, substituted or cashed out, the awards will expire upon the closing of the merger or consolidation; and our compensation committee may accelerate the vesting and exercisability (as applicable) of the awards in connection with the transaction. In the event of a merger or consolidation, the vesting of all awards granted to non-employee directors shall accelerate and such awards shall become exercisable (as applicable) in full.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2016 Equity Incentive Plan will terminate ten years from the date our board of directors adopts the plan, unless it is terminated earlier by our board of directors. Our board of directors may amend or terminate our 2016 Equity Incentive Plan at any time. Our board of directors generally may amend our 2016 Equity Incentive Plan, without stockholder approval unless required by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adopted a 2016 Employee Stock Purchase Plan that will become effective on the date of this prospectus and will enable eligible employees to purchase shares of our common stock at a discount beginning on a date determined by our board of directors. Purchases will be accomplished through</w:t>
      </w:r>
    </w:p>
    <w:p>
      <w:pPr>
        <w:spacing w:after="0" w:line="281" w:lineRule="auto"/>
        <w:rPr>
          <w:sz w:val="20"/>
          <w:szCs w:val="20"/>
          <w:color w:val="auto"/>
        </w:rPr>
      </w:pPr>
      <w:r>
        <w:rPr>
          <w:rFonts w:ascii="Arial" w:cs="Arial" w:eastAsia="Arial" w:hAnsi="Arial"/>
          <w:sz w:val="16"/>
          <w:szCs w:val="16"/>
          <w:color w:val="auto"/>
        </w:rPr>
        <w:t>participation in discrete offering periods. We initially reserved shares of our common stock for issuance under our 2016 Employee Stock Purchase Plan. The number of shares reserved for issuance under our 2016 Employee Stock Purchase Plan will increase automatically on January 1st of each of the first</w:t>
      </w:r>
    </w:p>
    <w:p>
      <w:pPr>
        <w:spacing w:after="0" w:line="1"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ten calendar years following the first offering date by the number of shares equal to the greater of % of the total outstanding shares of our common stock as of the immediately preceding December 31 (rounded to the nearest whole share) or the actual number of shares purchased under the 2016 Employee Stock Purchase Plan in the immediately preceding fiscal year. However, our board of directors or compensation committee may reduce the amount of the</w:t>
      </w:r>
    </w:p>
    <w:p>
      <w:pPr>
        <w:spacing w:after="0" w:line="2"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increase in any particular year. The aggregate number of shares issued over the term of our 2016 Employee Stock Purchase Plan will not exceed shares of our common stock. Our 2016 Employee Stock Purchase Plan is intended to qualify as an employee stock purchase plan under Section 423 of the Code.</w:t>
      </w:r>
    </w:p>
    <w:p>
      <w:pPr>
        <w:spacing w:after="0" w:line="139" w:lineRule="exact"/>
        <w:rPr>
          <w:sz w:val="20"/>
          <w:szCs w:val="20"/>
          <w:color w:val="auto"/>
        </w:rPr>
      </w:pPr>
    </w:p>
    <w:p>
      <w:pPr>
        <w:jc w:val="both"/>
        <w:ind w:right="20" w:firstLine="456"/>
        <w:spacing w:after="0" w:line="285" w:lineRule="auto"/>
        <w:rPr>
          <w:sz w:val="20"/>
          <w:szCs w:val="20"/>
          <w:color w:val="auto"/>
        </w:rPr>
      </w:pPr>
      <w:r>
        <w:rPr>
          <w:rFonts w:ascii="Arial" w:cs="Arial" w:eastAsia="Arial" w:hAnsi="Arial"/>
          <w:sz w:val="16"/>
          <w:szCs w:val="16"/>
          <w:color w:val="auto"/>
        </w:rPr>
        <w:t>Our compensation committee will administer our 2016 Employee Stock Purchase Plan. While our employees generally are eligible to participate in our 2016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2016 Employee Stock Purchase Plan, are ineligible to participate in our 2016 Employee Stock Purchase Plan. We may impose additional restrictions on eligibility. Under our 2016 Employee Stock Purchase Plan, eligible employees will be able to acquire shares of our common stock by accumulating funds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through payroll deductions. Our eligible employees will be able to select a rate of payroll deduction between % and % of their base cash compensation. The purchase price of the shares will be 85% of the lower of the fair market value of our common stock on the first day of an offering or on the date of purchase.</w:t>
      </w:r>
    </w:p>
    <w:p>
      <w:pPr>
        <w:spacing w:after="0" w:line="1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When an initial first purchase period commences, our employees who meet the eligibility requirements for participation in that purchase period will be eligible to enroll. For subsequent purchase periods, new participants will be required to enroll in a timely manner. Once an employee is enrolled, participation will be automatic in subsequent purchase periods. Each purchase period will be determined by our compensation committee. An employee’s participation automatically ends upon termination of employment for any reason.</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first purchase period will begin on a future date to be designated by our board of directors or compensation committee. Each subsequent purchase period will be for six months.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w:t>
      </w:r>
    </w:p>
    <w:p>
      <w:pPr>
        <w:spacing w:after="0" w:line="46"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plans that are also in effect in the same calendar years, that has a fair market value of more than $ , determined as of the first day of the applicable purchase period, for each calendar year in which that right is outstanding. In addition, no participant will be permitted to purchase more than shares</w:t>
      </w:r>
    </w:p>
    <w:p>
      <w:pPr>
        <w:ind w:right="200"/>
        <w:spacing w:after="0" w:line="277" w:lineRule="auto"/>
        <w:rPr>
          <w:sz w:val="20"/>
          <w:szCs w:val="20"/>
          <w:color w:val="auto"/>
        </w:rPr>
      </w:pPr>
      <w:r>
        <w:rPr>
          <w:rFonts w:ascii="Arial" w:cs="Arial" w:eastAsia="Arial" w:hAnsi="Arial"/>
          <w:sz w:val="17"/>
          <w:szCs w:val="17"/>
          <w:color w:val="auto"/>
        </w:rPr>
        <w:t>during any one purchase period or such lesser amount determined by our compensation committee. The purchase price for shares of our common stock purchased under our 2016 Employee Stock Purchase Plan will be % of the lesser of the fair market value of our common stock on (i) the first trading day of the applicable offering period or (ii) the last trading day of each purchase period in the applicable offering period.</w:t>
      </w:r>
    </w:p>
    <w:p>
      <w:pPr>
        <w:spacing w:after="0" w:line="1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we experience a change in control transaction, each outstanding right to purchase shares under our 2016 Employee Stock Purchase Plan may be assumed or an equivalent option substituted by the successor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event that the successor corporation refuses to assume or substitute the outstanding purchase rights, any offering period that commenced prior to the closing of the proposed change in control transaction will be shortened and terminated on a new purchase date. The new purchase date will occur prior to the closing of the proposed change in control transaction and our 2016 Employee Stock Purchase Plan will then terminate on the closing of the proposed change in control.</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will also have the right to amend or terminate our 2016 Employee Stock Purchase Plan at any time. Our 2016 Employee Stock Purchase Plan will terminate on the tenth anniversary of the last day of the first purchase period, unless it is terminated earlier by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w:t>
      </w:r>
    </w:p>
    <w:p>
      <w:pPr>
        <w:ind w:right="580"/>
        <w:spacing w:after="0" w:line="302" w:lineRule="auto"/>
        <w:rPr>
          <w:sz w:val="20"/>
          <w:szCs w:val="20"/>
          <w:color w:val="auto"/>
        </w:rPr>
      </w:pPr>
      <w:r>
        <w:rPr>
          <w:rFonts w:ascii="Arial" w:cs="Arial" w:eastAsia="Arial" w:hAnsi="Arial"/>
          <w:sz w:val="16"/>
          <w:szCs w:val="16"/>
          <w:color w:val="auto"/>
        </w:rPr>
        <w:t>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1"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w:t>
      </w:r>
    </w:p>
    <w:p>
      <w:pPr>
        <w:spacing w:after="0" w:line="18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20"/>
          </w:cols>
          <w:pgMar w:left="240" w:top="459"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59" w:right="3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2014 to which we were a party or will be a party, in which:</w:t>
      </w:r>
    </w:p>
    <w:p>
      <w:pPr>
        <w:spacing w:after="0" w:line="142"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C-1 Preferred Stock Financing</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3,318,054 shares of our Series C-1 convertible preferred stock at a purchase price of $0.65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Series C-1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44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668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Entities affiliated</w:t>
            </w: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with Frazier Healthcare </w:t>
            </w:r>
            <w:r>
              <w:rPr>
                <w:rFonts w:ascii="Arial" w:cs="Arial" w:eastAsia="Arial" w:hAnsi="Arial"/>
                <w:sz w:val="15"/>
                <w:szCs w:val="15"/>
                <w:color w:val="auto"/>
              </w:rPr>
              <w:t>(1)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1,370,261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890,670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15"/>
                <w:szCs w:val="15"/>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1,370,261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890,670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541,246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351,810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5,469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74" w:lineRule="auto"/>
        <w:tabs>
          <w:tab w:leader="none" w:pos="4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July 2015, we sold an aggregate of 38,436,851 shares of our Series D convertible preferred stock at a purchase price of $1.06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Series 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9400" w:type="dxa"/>
            <w:vAlign w:val="bottom"/>
            <w:gridSpan w:val="2"/>
            <w:vMerge w:val="continue"/>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Biotechnology Value Fund, L.P</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7,074,203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7,503,111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6,599,851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6,999,999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Frazier Healthcare </w:t>
            </w:r>
            <w:r>
              <w:rPr>
                <w:rFonts w:ascii="Arial" w:cs="Arial" w:eastAsia="Arial" w:hAnsi="Arial"/>
                <w:sz w:val="15"/>
                <w:szCs w:val="15"/>
                <w:color w:val="auto"/>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6,599,850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15"/>
                <w:szCs w:val="15"/>
                <w:color w:val="auto"/>
              </w:rPr>
              <w:t>(2)</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4,714,179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Nicholas B. Lydon, Ph.D., FRS </w:t>
            </w:r>
            <w:r>
              <w:rPr>
                <w:rFonts w:ascii="Arial" w:cs="Arial" w:eastAsia="Arial" w:hAnsi="Arial"/>
                <w:sz w:val="15"/>
                <w:szCs w:val="15"/>
                <w:color w:val="auto"/>
              </w:rPr>
              <w:t>(3)</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471,417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 xml:space="preserve">Carol G. Gallagher, Pharm.D. </w:t>
            </w:r>
            <w:r>
              <w:rPr>
                <w:rFonts w:ascii="Arial" w:cs="Arial" w:eastAsia="Arial" w:hAnsi="Arial"/>
                <w:sz w:val="15"/>
                <w:szCs w:val="15"/>
                <w:color w:val="auto"/>
              </w:rPr>
              <w:t>(4)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150,075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159,174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Robert E. Hoffman </w:t>
            </w:r>
            <w:r>
              <w:rPr>
                <w:rFonts w:ascii="Arial" w:cs="Arial" w:eastAsia="Arial" w:hAnsi="Arial"/>
                <w:sz w:val="15"/>
                <w:szCs w:val="15"/>
                <w:color w:val="auto"/>
              </w:rPr>
              <w:t>(5)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(6)</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14,142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Marco Londei, M.D. </w:t>
            </w:r>
            <w:r>
              <w:rPr>
                <w:rFonts w:ascii="Arial" w:cs="Arial" w:eastAsia="Arial" w:hAnsi="Arial"/>
                <w:sz w:val="15"/>
                <w:szCs w:val="15"/>
                <w:color w:val="auto"/>
              </w:rPr>
              <w:t>(7)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56"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200" w:hanging="452"/>
        <w:spacing w:after="0" w:line="250" w:lineRule="auto"/>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Hoffman is our former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Dr. Londei is our Chief Medical Officer.</w:t>
      </w:r>
    </w:p>
    <w:p>
      <w:pPr>
        <w:spacing w:after="0" w:line="211"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adopt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November 30, 2016, and as adjusted to reflect the sale of common stock in this offering, for:</w:t>
      </w:r>
    </w:p>
    <w:p>
      <w:pPr>
        <w:spacing w:after="0" w:line="76"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Applicable percentage ownership is based on 99,204,339 shares of common stock outstanding as of November 30, 2016 and assumes (i) the automatic conversion of all outstanding shares of our convertible preferred stock into 80,645,051 shares of common stock as of immediately prior to the closing of this</w:t>
      </w:r>
    </w:p>
    <w:p>
      <w:pPr>
        <w:ind w:right="20"/>
        <w:spacing w:after="0" w:line="252" w:lineRule="auto"/>
        <w:rPr>
          <w:sz w:val="20"/>
          <w:szCs w:val="20"/>
          <w:color w:val="auto"/>
        </w:rPr>
      </w:pPr>
      <w:r>
        <w:rPr>
          <w:rFonts w:ascii="Arial" w:cs="Arial" w:eastAsia="Arial" w:hAnsi="Arial"/>
          <w:sz w:val="18"/>
          <w:szCs w:val="18"/>
          <w:color w:val="auto"/>
        </w:rPr>
        <w:t>offering. For purposes of the table below, we have assumed that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November 30, 2016.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00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 Ownership</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Beneficial Ownership</w:t>
            </w: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50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Name of Beneficial Owner</w:t>
            </w:r>
          </w:p>
        </w:tc>
        <w:tc>
          <w:tcPr>
            <w:tcW w:w="2200" w:type="dxa"/>
            <w:vAlign w:val="bottom"/>
          </w:tcPr>
          <w:p>
            <w:pPr>
              <w:spacing w:after="0"/>
              <w:rPr>
                <w:sz w:val="15"/>
                <w:szCs w:val="15"/>
                <w:color w:val="auto"/>
              </w:rPr>
            </w:pPr>
          </w:p>
        </w:tc>
        <w:tc>
          <w:tcPr>
            <w:tcW w:w="2000" w:type="dxa"/>
            <w:vAlign w:val="bottom"/>
            <w:gridSpan w:val="4"/>
          </w:tcPr>
          <w:p>
            <w:pPr>
              <w:ind w:left="160"/>
              <w:spacing w:after="0"/>
              <w:rPr>
                <w:sz w:val="20"/>
                <w:szCs w:val="20"/>
                <w:color w:val="auto"/>
              </w:rPr>
            </w:pPr>
            <w:r>
              <w:rPr>
                <w:rFonts w:ascii="Arial" w:cs="Arial" w:eastAsia="Arial" w:hAnsi="Arial"/>
                <w:sz w:val="14"/>
                <w:szCs w:val="14"/>
                <w:b w:val="1"/>
                <w:bCs w:val="1"/>
                <w:color w:val="auto"/>
              </w:rPr>
              <w:t>Prior to this Offering</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After this Offering</w:t>
            </w:r>
          </w:p>
        </w:tc>
        <w:tc>
          <w:tcPr>
            <w:tcW w:w="0" w:type="dxa"/>
            <w:vAlign w:val="bottom"/>
          </w:tcPr>
          <w:p>
            <w:pPr>
              <w:spacing w:after="0"/>
              <w:rPr>
                <w:sz w:val="1"/>
                <w:szCs w:val="1"/>
                <w:color w:val="auto"/>
              </w:rPr>
            </w:pPr>
          </w:p>
        </w:tc>
      </w:tr>
      <w:tr>
        <w:trPr>
          <w:trHeight w:val="156"/>
        </w:trPr>
        <w:tc>
          <w:tcPr>
            <w:tcW w:w="280" w:type="dxa"/>
            <w:vAlign w:val="bottom"/>
          </w:tcPr>
          <w:p>
            <w:pPr>
              <w:spacing w:after="0"/>
              <w:rPr>
                <w:sz w:val="13"/>
                <w:szCs w:val="13"/>
                <w:color w:val="auto"/>
              </w:rPr>
            </w:pPr>
          </w:p>
        </w:tc>
        <w:tc>
          <w:tcPr>
            <w:tcW w:w="5040" w:type="dxa"/>
            <w:vAlign w:val="bottom"/>
            <w:gridSpan w:val="4"/>
            <w:vMerge w:val="continue"/>
          </w:tcPr>
          <w:p>
            <w:pPr>
              <w:spacing w:after="0"/>
              <w:rPr>
                <w:sz w:val="13"/>
                <w:szCs w:val="13"/>
                <w:color w:val="auto"/>
              </w:rPr>
            </w:pPr>
          </w:p>
        </w:tc>
        <w:tc>
          <w:tcPr>
            <w:tcW w:w="2200" w:type="dxa"/>
            <w:vAlign w:val="bottom"/>
          </w:tcPr>
          <w:p>
            <w:pPr>
              <w:spacing w:after="0"/>
              <w:rPr>
                <w:sz w:val="13"/>
                <w:szCs w:val="13"/>
                <w:color w:val="auto"/>
              </w:rPr>
            </w:pPr>
          </w:p>
        </w:tc>
        <w:tc>
          <w:tcPr>
            <w:tcW w:w="1160" w:type="dxa"/>
            <w:vAlign w:val="bottom"/>
            <w:tcBorders>
              <w:top w:val="single" w:sz="8" w:color="auto"/>
            </w:tcBorders>
            <w:gridSpan w:val="2"/>
          </w:tcPr>
          <w:p>
            <w:pPr>
              <w:ind w:left="180"/>
              <w:spacing w:after="0" w:line="155"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5"/>
              </w:rPr>
              <w:t>Percent</w:t>
            </w:r>
          </w:p>
        </w:tc>
        <w:tc>
          <w:tcPr>
            <w:tcW w:w="360" w:type="dxa"/>
            <w:vAlign w:val="bottom"/>
          </w:tcPr>
          <w:p>
            <w:pPr>
              <w:spacing w:after="0"/>
              <w:rPr>
                <w:sz w:val="13"/>
                <w:szCs w:val="13"/>
                <w:color w:val="auto"/>
              </w:rPr>
            </w:pPr>
          </w:p>
        </w:tc>
        <w:tc>
          <w:tcPr>
            <w:tcW w:w="92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Number</w:t>
            </w:r>
          </w:p>
        </w:tc>
        <w:tc>
          <w:tcPr>
            <w:tcW w:w="5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 xml:space="preserve">5% Stockholders </w:t>
            </w:r>
            <w:r>
              <w:rPr>
                <w:rFonts w:ascii="Arial" w:cs="Arial" w:eastAsia="Arial" w:hAnsi="Arial"/>
                <w:sz w:val="18"/>
                <w:szCs w:val="18"/>
                <w:i w:val="1"/>
                <w:iCs w:val="1"/>
                <w:color w:val="auto"/>
              </w:rPr>
              <w:t>:</w:t>
            </w:r>
          </w:p>
        </w:tc>
        <w:tc>
          <w:tcPr>
            <w:tcW w:w="324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Entities affiliated with Frazier Healthcare </w:t>
            </w:r>
            <w:r>
              <w:rPr>
                <w:rFonts w:ascii="Arial" w:cs="Arial" w:eastAsia="Arial" w:hAnsi="Arial"/>
                <w:sz w:val="15"/>
                <w:szCs w:val="15"/>
                <w:color w:val="auto"/>
              </w:rPr>
              <w:t>(1)</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23,019,148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Novo A/S </w:t>
            </w:r>
            <w:r>
              <w:rPr>
                <w:rFonts w:ascii="Arial" w:cs="Arial" w:eastAsia="Arial" w:hAnsi="Arial"/>
                <w:sz w:val="15"/>
                <w:szCs w:val="15"/>
                <w:color w:val="auto"/>
              </w:rPr>
              <w:t>(2)</w:t>
            </w:r>
          </w:p>
        </w:tc>
        <w:tc>
          <w:tcPr>
            <w:tcW w:w="3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21,133,477</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Avalon Ventures VII, L.P. </w:t>
            </w:r>
            <w:r>
              <w:rPr>
                <w:rFonts w:ascii="Arial" w:cs="Arial" w:eastAsia="Arial" w:hAnsi="Arial"/>
                <w:sz w:val="15"/>
                <w:szCs w:val="15"/>
                <w:color w:val="auto"/>
              </w:rPr>
              <w:t>(3)</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15,080,916</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15.1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Alloy Ventures 2005, L.P. </w:t>
            </w:r>
            <w:r>
              <w:rPr>
                <w:rFonts w:ascii="Arial" w:cs="Arial" w:eastAsia="Arial" w:hAnsi="Arial"/>
                <w:sz w:val="15"/>
                <w:szCs w:val="15"/>
                <w:color w:val="auto"/>
              </w:rPr>
              <w:t>(4)</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8,977,414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Entities affiliated with Biotechnology Value Fund, L.P. </w:t>
            </w:r>
            <w:r>
              <w:rPr>
                <w:rFonts w:ascii="Arial" w:cs="Arial" w:eastAsia="Arial" w:hAnsi="Arial"/>
                <w:sz w:val="15"/>
                <w:szCs w:val="15"/>
                <w:color w:val="auto"/>
              </w:rPr>
              <w:t>(5)</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7,074,203</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HBM Healthcare Investments (Cayman) Ltd. </w:t>
            </w:r>
            <w:r>
              <w:rPr>
                <w:rFonts w:ascii="Arial" w:cs="Arial" w:eastAsia="Arial" w:hAnsi="Arial"/>
                <w:sz w:val="15"/>
                <w:szCs w:val="15"/>
                <w:color w:val="auto"/>
              </w:rPr>
              <w:t>(6)</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6,599,851</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Directors and Named Executive Officers </w:t>
            </w:r>
            <w:r>
              <w:rPr>
                <w:rFonts w:ascii="Arial" w:cs="Arial" w:eastAsia="Arial" w:hAnsi="Arial"/>
                <w:sz w:val="18"/>
                <w:szCs w:val="18"/>
                <w:i w:val="1"/>
                <w:iCs w:val="1"/>
                <w:color w:val="auto"/>
              </w:rPr>
              <w:t>:</w:t>
            </w:r>
          </w:p>
        </w:tc>
        <w:tc>
          <w:tcPr>
            <w:tcW w:w="2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Hamza Suria </w:t>
            </w:r>
            <w:r>
              <w:rPr>
                <w:rFonts w:ascii="Arial" w:cs="Arial" w:eastAsia="Arial" w:hAnsi="Arial"/>
                <w:sz w:val="15"/>
                <w:szCs w:val="15"/>
                <w:color w:val="auto"/>
              </w:rPr>
              <w:t>(7)</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3,587,332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Marco Londei, M.D. </w:t>
            </w:r>
            <w:r>
              <w:rPr>
                <w:rFonts w:ascii="Arial" w:cs="Arial" w:eastAsia="Arial" w:hAnsi="Arial"/>
                <w:sz w:val="15"/>
                <w:szCs w:val="15"/>
                <w:color w:val="auto"/>
              </w:rPr>
              <w:t>(8)</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1,369,537</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Matthew Moyle Ph.D.</w:t>
            </w:r>
          </w:p>
        </w:tc>
        <w:tc>
          <w:tcPr>
            <w:tcW w:w="2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Tiba Aynechi, Ph.D.</w:t>
            </w:r>
          </w:p>
        </w:tc>
        <w:tc>
          <w:tcPr>
            <w:tcW w:w="2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Carol G. Gallagher, Pharm.D. </w:t>
            </w:r>
            <w:r>
              <w:rPr>
                <w:rFonts w:ascii="Arial" w:cs="Arial" w:eastAsia="Arial" w:hAnsi="Arial"/>
                <w:sz w:val="15"/>
                <w:szCs w:val="15"/>
                <w:color w:val="auto"/>
              </w:rPr>
              <w:t>(9)</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1,134,132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Nicholas B. Lydon, Ph.D., FRS </w:t>
            </w:r>
            <w:r>
              <w:rPr>
                <w:rFonts w:ascii="Arial" w:cs="Arial" w:eastAsia="Arial" w:hAnsi="Arial"/>
                <w:sz w:val="15"/>
                <w:szCs w:val="15"/>
                <w:color w:val="auto"/>
              </w:rPr>
              <w:t>(10)</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2,229,189</w:t>
            </w:r>
          </w:p>
        </w:tc>
        <w:tc>
          <w:tcPr>
            <w:tcW w:w="3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Hollings Renton </w:t>
            </w:r>
            <w:r>
              <w:rPr>
                <w:rFonts w:ascii="Arial" w:cs="Arial" w:eastAsia="Arial" w:hAnsi="Arial"/>
                <w:sz w:val="15"/>
                <w:szCs w:val="15"/>
                <w:color w:val="auto"/>
              </w:rPr>
              <w:t>(11)</w:t>
            </w:r>
          </w:p>
        </w:tc>
        <w:tc>
          <w:tcPr>
            <w:tcW w:w="3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358,098</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John Schmid </w:t>
            </w:r>
            <w:r>
              <w:rPr>
                <w:rFonts w:ascii="Arial" w:cs="Arial" w:eastAsia="Arial" w:hAnsi="Arial"/>
                <w:sz w:val="15"/>
                <w:szCs w:val="15"/>
                <w:color w:val="auto"/>
              </w:rPr>
              <w:t>(12)</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296,370</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James A. Schoeneck </w:t>
            </w:r>
            <w:r>
              <w:rPr>
                <w:rFonts w:ascii="Arial" w:cs="Arial" w:eastAsia="Arial" w:hAnsi="Arial"/>
                <w:sz w:val="15"/>
                <w:szCs w:val="15"/>
                <w:color w:val="auto"/>
              </w:rPr>
              <w:t>(13)</w:t>
            </w:r>
          </w:p>
        </w:tc>
        <w:tc>
          <w:tcPr>
            <w:tcW w:w="3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296,365</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tcPr>
          <w:p>
            <w:pPr>
              <w:spacing w:after="0"/>
              <w:rPr>
                <w:sz w:val="20"/>
                <w:szCs w:val="20"/>
                <w:color w:val="auto"/>
              </w:rPr>
            </w:pPr>
            <w:r>
              <w:rPr>
                <w:rFonts w:ascii="Arial" w:cs="Arial" w:eastAsia="Arial" w:hAnsi="Arial"/>
                <w:sz w:val="18"/>
                <w:szCs w:val="18"/>
                <w:color w:val="auto"/>
              </w:rPr>
              <w:t xml:space="preserve">James N. Topper, M.D., Ph.D. </w:t>
            </w:r>
            <w:r>
              <w:rPr>
                <w:rFonts w:ascii="Arial" w:cs="Arial" w:eastAsia="Arial" w:hAnsi="Arial"/>
                <w:sz w:val="15"/>
                <w:szCs w:val="15"/>
                <w:color w:val="auto"/>
              </w:rPr>
              <w:t>(1)</w:t>
            </w:r>
          </w:p>
        </w:tc>
        <w:tc>
          <w:tcPr>
            <w:tcW w:w="3360" w:type="dxa"/>
            <w:vAlign w:val="bottom"/>
            <w:gridSpan w:val="3"/>
          </w:tcPr>
          <w:p>
            <w:pPr>
              <w:jc w:val="right"/>
              <w:ind w:right="300"/>
              <w:spacing w:after="0"/>
              <w:rPr>
                <w:sz w:val="20"/>
                <w:szCs w:val="20"/>
                <w:color w:val="auto"/>
              </w:rPr>
            </w:pPr>
            <w:r>
              <w:rPr>
                <w:rFonts w:ascii="Arial" w:cs="Arial" w:eastAsia="Arial" w:hAnsi="Arial"/>
                <w:sz w:val="18"/>
                <w:szCs w:val="18"/>
                <w:color w:val="auto"/>
              </w:rPr>
              <w:t>23,019,148</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23.0</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 xml:space="preserve">All executive officers and directors as a group (ten persons) </w:t>
            </w:r>
            <w:r>
              <w:rPr>
                <w:rFonts w:ascii="Arial" w:cs="Arial" w:eastAsia="Arial" w:hAnsi="Arial"/>
                <w:sz w:val="15"/>
                <w:szCs w:val="15"/>
                <w:color w:val="auto"/>
                <w:w w:val="95"/>
              </w:rPr>
              <w:t>(14)</w:t>
            </w:r>
          </w:p>
        </w:tc>
        <w:tc>
          <w:tcPr>
            <w:tcW w:w="3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32,290,171</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spacing w:after="0"/>
              <w:rPr>
                <w:sz w:val="11"/>
                <w:szCs w:val="11"/>
                <w:color w:val="auto"/>
              </w:rPr>
            </w:pPr>
          </w:p>
        </w:tc>
        <w:tc>
          <w:tcPr>
            <w:tcW w:w="4160" w:type="dxa"/>
            <w:vAlign w:val="bottom"/>
            <w:gridSpan w:val="2"/>
          </w:tcPr>
          <w:p>
            <w:pPr>
              <w:spacing w:after="0"/>
              <w:rPr>
                <w:sz w:val="11"/>
                <w:szCs w:val="11"/>
                <w:color w:val="auto"/>
              </w:rPr>
            </w:pPr>
          </w:p>
        </w:tc>
        <w:tc>
          <w:tcPr>
            <w:tcW w:w="2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40" w:type="dxa"/>
            <w:vAlign w:val="bottom"/>
            <w:gridSpan w:val="4"/>
          </w:tcPr>
          <w:p>
            <w:pPr>
              <w:ind w:left="180"/>
              <w:spacing w:after="0"/>
              <w:rPr>
                <w:sz w:val="20"/>
                <w:szCs w:val="20"/>
                <w:color w:val="auto"/>
              </w:rPr>
            </w:pPr>
            <w:r>
              <w:rPr>
                <w:rFonts w:ascii="Arial" w:cs="Arial" w:eastAsia="Arial" w:hAnsi="Arial"/>
                <w:sz w:val="18"/>
                <w:szCs w:val="18"/>
                <w:color w:val="auto"/>
              </w:rPr>
              <w:t>Represents beneficial ownership of less than one percent.</w:t>
            </w:r>
          </w:p>
        </w:tc>
        <w:tc>
          <w:tcPr>
            <w:tcW w:w="2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200" w:type="dxa"/>
            <w:vAlign w:val="bottom"/>
          </w:tcPr>
          <w:p>
            <w:pPr>
              <w:jc w:val="right"/>
              <w:ind w:right="1590"/>
              <w:spacing w:after="0"/>
              <w:rPr>
                <w:sz w:val="20"/>
                <w:szCs w:val="20"/>
                <w:color w:val="auto"/>
              </w:rPr>
            </w:pPr>
            <w:r>
              <w:rPr>
                <w:rFonts w:ascii="Arial" w:cs="Arial" w:eastAsia="Arial" w:hAnsi="Arial"/>
                <w:sz w:val="18"/>
                <w:szCs w:val="18"/>
                <w:color w:val="auto"/>
              </w:rPr>
              <w:t>137</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Consists of (a) 15,598,651 shares of common stock following conversion of convertible preferred stock held directly by Frazier Healthcare V, L.P.,</w:t>
      </w:r>
    </w:p>
    <w:p>
      <w:pPr>
        <w:spacing w:after="0" w:line="34" w:lineRule="exact"/>
        <w:rPr>
          <w:rFonts w:ascii="Arial" w:cs="Arial" w:eastAsia="Arial" w:hAnsi="Arial"/>
          <w:sz w:val="17"/>
          <w:szCs w:val="17"/>
          <w:color w:val="auto"/>
        </w:rPr>
      </w:pPr>
    </w:p>
    <w:p>
      <w:pPr>
        <w:ind w:left="460" w:right="60" w:hanging="6"/>
        <w:spacing w:after="0" w:line="250" w:lineRule="auto"/>
        <w:tabs>
          <w:tab w:leader="none" w:pos="71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5,136,185 shares of common stock following conversion of convertible preferred stock held directly by Frazier Healthcare VII, L.P., (c) 1,463,665 shares of common stock following conversion of convertible preferred stock held directly by Frazier Healthcare VII-A, L.P. and (d) 820,647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4" w:lineRule="exact"/>
        <w:rPr>
          <w:rFonts w:ascii="Arial" w:cs="Arial" w:eastAsia="Arial" w:hAnsi="Arial"/>
          <w:sz w:val="18"/>
          <w:szCs w:val="18"/>
          <w:color w:val="auto"/>
        </w:rPr>
      </w:pPr>
    </w:p>
    <w:p>
      <w:pPr>
        <w:ind w:left="460" w:right="120" w:hanging="452"/>
        <w:spacing w:after="0" w:line="265"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Consists of (a) 20,312,830 shares of common stock following conversion of convertible preferred stock held directly by Novo A/S and (b) 820,647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(a) 14,258,530 shares of common stock held directly by Avalon Ventures VII, L.P. and (b) 822,386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jc w:val="both"/>
        <w:ind w:left="460" w:right="40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8,977,414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Consists of (a) 3,449,203 shares of common stock following conversion of convertible preferred stock held directly by Biotechnology Value Fund, L.P.,</w:t>
      </w:r>
    </w:p>
    <w:p>
      <w:pPr>
        <w:spacing w:after="0" w:line="32" w:lineRule="exact"/>
        <w:rPr>
          <w:rFonts w:ascii="Arial" w:cs="Arial" w:eastAsia="Arial" w:hAnsi="Arial"/>
          <w:sz w:val="16"/>
          <w:szCs w:val="16"/>
          <w:color w:val="auto"/>
        </w:rPr>
      </w:pPr>
    </w:p>
    <w:p>
      <w:pPr>
        <w:ind w:left="700" w:hanging="246"/>
        <w:spacing w:after="0"/>
        <w:tabs>
          <w:tab w:leader="none" w:pos="7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1,974,000 shares of common stock following conversion of convertible preferred stock held directly by Biotechnology Value Fund II, L.P.,</w:t>
      </w:r>
    </w:p>
    <w:p>
      <w:pPr>
        <w:spacing w:after="0" w:line="20" w:lineRule="exact"/>
        <w:rPr>
          <w:rFonts w:ascii="Arial" w:cs="Arial" w:eastAsia="Arial" w:hAnsi="Arial"/>
          <w:sz w:val="17"/>
          <w:szCs w:val="17"/>
          <w:color w:val="auto"/>
        </w:rPr>
      </w:pPr>
    </w:p>
    <w:p>
      <w:pPr>
        <w:ind w:left="460" w:right="460" w:hanging="6"/>
        <w:spacing w:after="0" w:line="250" w:lineRule="auto"/>
        <w:tabs>
          <w:tab w:leader="none" w:pos="705" w:val="left"/>
        </w:tabs>
        <w:numPr>
          <w:ilvl w:val="1"/>
          <w:numId w:val="101"/>
        </w:numPr>
        <w:rPr>
          <w:rFonts w:ascii="Arial" w:cs="Arial" w:eastAsia="Arial" w:hAnsi="Arial"/>
          <w:sz w:val="18"/>
          <w:szCs w:val="18"/>
          <w:color w:val="auto"/>
        </w:rPr>
      </w:pPr>
      <w:r>
        <w:rPr>
          <w:rFonts w:ascii="Arial" w:cs="Arial" w:eastAsia="Arial" w:hAnsi="Arial"/>
          <w:sz w:val="18"/>
          <w:szCs w:val="18"/>
          <w:color w:val="auto"/>
        </w:rPr>
        <w:t>637,000 shares of common stock following conversion of convertible preferred stock held directly by Investment 10, L.L.C. and (d) 1,014,000 shares of common stock following conversion of convertible preferred stock held directly by MSI BVF SPV, L.L.C.</w:t>
      </w:r>
    </w:p>
    <w:p>
      <w:pPr>
        <w:ind w:left="460" w:right="40" w:hanging="452"/>
        <w:spacing w:after="0" w:line="265"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Represents 6,599,851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jc w:val="both"/>
        <w:ind w:left="460" w:right="100" w:hanging="452"/>
        <w:spacing w:after="0" w:line="250"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(a) 34,996 shares of common stock following conversion of convertible preferred stock held directly by Mr. Suria and (b) 3,552,336 shares of common stock issuable to Mr. Suria upon the exercise of stock options that are exercisable within 60 days of November 30, 2016, of which 835,256 shares were unvested but were early exercisable, as of 60 days after November 30, 2016.</w:t>
      </w:r>
    </w:p>
    <w:p>
      <w:pPr>
        <w:spacing w:after="0" w:line="1"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Consists of (a) 14,142 shares of common stock following conversion of convertible preferred stock held directly by Dr. Londei and (b) 1,355,395 shares of common stock issuable to Dr. Londei upon the exercise of stock options that are exercisable within 60 days of November 30, 2016, of which 492,956 shares were unvested but were early exercisable, as of 60 days after November 30, 2016.</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Consists of (a) 450,075 shares of common stock following conversion of convertible preferred stock held directly by Dr. Gallagher and</w:t>
      </w:r>
    </w:p>
    <w:p>
      <w:pPr>
        <w:spacing w:after="0" w:line="23" w:lineRule="exact"/>
        <w:rPr>
          <w:rFonts w:ascii="Arial" w:cs="Arial" w:eastAsia="Arial" w:hAnsi="Arial"/>
          <w:sz w:val="18"/>
          <w:szCs w:val="18"/>
          <w:color w:val="auto"/>
        </w:rPr>
      </w:pPr>
    </w:p>
    <w:p>
      <w:pPr>
        <w:ind w:left="460" w:right="180" w:hanging="6"/>
        <w:spacing w:after="0" w:line="250" w:lineRule="auto"/>
        <w:tabs>
          <w:tab w:leader="none" w:pos="71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684,057 shares of common stock issuable to Dr. Gallagher upon the exercise of stock options that are exercisable within 60 days of November 30, 2016.</w:t>
      </w:r>
    </w:p>
    <w:p>
      <w:pPr>
        <w:ind w:left="460" w:right="40" w:hanging="452"/>
        <w:spacing w:after="0" w:line="281" w:lineRule="auto"/>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Consists of (a) 471,332 shares of common stock held directly by Dr. Lydon, (b) 1,425,385 shares of common stock following conversion of convertible preferred stock held directly by Dr. Lydon, (c) 115,384 shares of common stock issuable upon the exercise of a warrant held directly by Dr. Lydon and</w:t>
      </w:r>
    </w:p>
    <w:p>
      <w:pPr>
        <w:spacing w:after="0" w:line="1" w:lineRule="exact"/>
        <w:rPr>
          <w:rFonts w:ascii="Arial" w:cs="Arial" w:eastAsia="Arial" w:hAnsi="Arial"/>
          <w:sz w:val="16"/>
          <w:szCs w:val="16"/>
          <w:color w:val="auto"/>
        </w:rPr>
      </w:pPr>
    </w:p>
    <w:p>
      <w:pPr>
        <w:ind w:left="460" w:right="420" w:hanging="6"/>
        <w:spacing w:after="0" w:line="250" w:lineRule="auto"/>
        <w:tabs>
          <w:tab w:leader="none" w:pos="715" w:val="left"/>
        </w:tabs>
        <w:numPr>
          <w:ilvl w:val="1"/>
          <w:numId w:val="103"/>
        </w:numPr>
        <w:rPr>
          <w:rFonts w:ascii="Arial" w:cs="Arial" w:eastAsia="Arial" w:hAnsi="Arial"/>
          <w:sz w:val="18"/>
          <w:szCs w:val="18"/>
          <w:color w:val="auto"/>
        </w:rPr>
      </w:pPr>
      <w:r>
        <w:rPr>
          <w:rFonts w:ascii="Arial" w:cs="Arial" w:eastAsia="Arial" w:hAnsi="Arial"/>
          <w:sz w:val="18"/>
          <w:szCs w:val="18"/>
          <w:color w:val="auto"/>
        </w:rPr>
        <w:t>217,088 shares of common stock issuable to Dr. Lydon upon the exercise of stock options that are exercisable within 60 days of November 30, 2016, of which 59,750 shares were unvested but were early exercisable, as of 60 days after November 30, 2016.</w:t>
      </w:r>
    </w:p>
    <w:p>
      <w:pPr>
        <w:ind w:left="460" w:right="20" w:hanging="452"/>
        <w:spacing w:after="0" w:line="250"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358,098 shares of common stock issuable to Mr. Renton upon the exercise of stock options that are exercisable within 60 days of November 30, 2016, of which 171,091 shares were unvested but were early exercisable, as of 60 days after November 30, 2016.</w:t>
      </w:r>
    </w:p>
    <w:p>
      <w:pPr>
        <w:ind w:left="460" w:hanging="452"/>
        <w:spacing w:after="0" w:line="250"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Represents 296,370 shares of common stock issuable to Mr. Schmid upon the exercise of stock options that are exercisable within 60 days of November 30, 2016, of which 160,024 shares were unvested but were early exercisable, as of 60 days after November 30, 2016.</w:t>
      </w:r>
    </w:p>
    <w:p>
      <w:pPr>
        <w:ind w:left="460" w:right="560" w:hanging="452"/>
        <w:spacing w:after="0" w:line="265"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Represents 296,365 shares of common stock issuable to Mr. Schoeneck upon the exercise of stock options that are exercisable within 60 days of November 30, 2016, of which 181,112 shares were unvested but were early exercisable, as of 60 days after November 30, 2016.</w:t>
      </w: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shares beneficially owned by our current executive officers and directors. Consists of (a) 471,332 shares of common stock,</w:t>
      </w:r>
    </w:p>
    <w:p>
      <w:pPr>
        <w:spacing w:after="0" w:line="9" w:lineRule="exact"/>
        <w:rPr>
          <w:rFonts w:ascii="Arial" w:cs="Arial" w:eastAsia="Arial" w:hAnsi="Arial"/>
          <w:sz w:val="18"/>
          <w:szCs w:val="18"/>
          <w:color w:val="auto"/>
        </w:rPr>
      </w:pPr>
    </w:p>
    <w:p>
      <w:pPr>
        <w:ind w:left="460" w:right="320" w:hanging="6"/>
        <w:spacing w:after="0" w:line="302" w:lineRule="auto"/>
        <w:tabs>
          <w:tab w:leader="none" w:pos="715" w:val="left"/>
        </w:tabs>
        <w:numPr>
          <w:ilvl w:val="1"/>
          <w:numId w:val="104"/>
        </w:numPr>
        <w:rPr>
          <w:rFonts w:ascii="Arial" w:cs="Arial" w:eastAsia="Arial" w:hAnsi="Arial"/>
          <w:sz w:val="16"/>
          <w:szCs w:val="16"/>
          <w:color w:val="auto"/>
        </w:rPr>
      </w:pPr>
      <w:r>
        <w:rPr>
          <w:rFonts w:ascii="Arial" w:cs="Arial" w:eastAsia="Arial" w:hAnsi="Arial"/>
          <w:sz w:val="16"/>
          <w:szCs w:val="16"/>
          <w:color w:val="auto"/>
        </w:rPr>
        <w:t>24,123,099 shares of common stock following conversion of convertible preferred stock, (c) 936,031 shares of common stock issuable upon the exercise of warrants and (d) 6,759,709 shares of common stock issuable upon the exercise of stock options that are exercisable within 60 days of November 30, 2016, of which 1,900,189 shares were unvested but early exercisable, as of 60 days after November 30, 2016.</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the closing of this offering, our authorized capital stock will consist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September 30, 2016, there were 99,115,774 shares of our common stock issued, held by approximately 78 stockholders of record, and no shares of our preferred stock outstanding. Our board of directors is authorized, without stockholder approval, to issue additional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2016, we had outstanding the following warrants to purchase shares of our capital stock:</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46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6"/>
              </w:rPr>
              <w:t>Exercise</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Subject to</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Per</w:t>
            </w: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71"/>
        </w:trPr>
        <w:tc>
          <w:tcPr>
            <w:tcW w:w="594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460" w:type="dxa"/>
            <w:vAlign w:val="bottom"/>
          </w:tcPr>
          <w:p>
            <w:pPr>
              <w:spacing w:after="0"/>
              <w:rPr>
                <w:sz w:val="14"/>
                <w:szCs w:val="14"/>
                <w:color w:val="auto"/>
              </w:rPr>
            </w:pPr>
          </w:p>
        </w:tc>
        <w:tc>
          <w:tcPr>
            <w:tcW w:w="9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2"/>
              </w:rPr>
              <w:t>Share</w:t>
            </w:r>
          </w:p>
        </w:tc>
        <w:tc>
          <w:tcPr>
            <w:tcW w:w="1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46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822,386</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November 2018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880" w:type="dxa"/>
            <w:vAlign w:val="bottom"/>
          </w:tcPr>
          <w:p>
            <w:pPr>
              <w:jc w:val="right"/>
              <w:spacing w:after="0"/>
              <w:rPr>
                <w:sz w:val="20"/>
                <w:szCs w:val="20"/>
                <w:color w:val="auto"/>
              </w:rPr>
            </w:pPr>
            <w:r>
              <w:rPr>
                <w:rFonts w:ascii="Arial" w:cs="Arial" w:eastAsia="Arial" w:hAnsi="Arial"/>
                <w:sz w:val="18"/>
                <w:szCs w:val="18"/>
                <w:color w:val="auto"/>
              </w:rPr>
              <w:t>1,775,022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0.65</w:t>
            </w:r>
          </w:p>
        </w:tc>
        <w:tc>
          <w:tcPr>
            <w:tcW w:w="1320" w:type="dxa"/>
            <w:vAlign w:val="bottom"/>
            <w:gridSpan w:val="2"/>
          </w:tcPr>
          <w:p>
            <w:pPr>
              <w:ind w:left="60"/>
              <w:spacing w:after="0"/>
              <w:rPr>
                <w:sz w:val="20"/>
                <w:szCs w:val="20"/>
                <w:color w:val="auto"/>
              </w:rPr>
            </w:pPr>
            <w:r>
              <w:rPr>
                <w:rFonts w:ascii="Arial" w:cs="Arial" w:eastAsia="Arial" w:hAnsi="Arial"/>
                <w:sz w:val="18"/>
                <w:szCs w:val="18"/>
                <w:color w:val="auto"/>
                <w:w w:val="96"/>
              </w:rPr>
              <w:t>November 2018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288,462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0.65</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December 2024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September 30, 2016, we had outstanding options to purchase an aggregate 12,997,698 shares of our common stock, with a weighted-average exercise price of $0.59. Subsequent to September 30, 2016, we granted stock options to purchase 362,000 shares of common stock, with an exercise price of $1.60 per share.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immediately following this offering, the holders of 83,530,921 shares of our common stock will be entitled to rights with respect to the registration of these shares under the Securities Act, as described below. We refer to these shares collectively as registrable securities.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360"/>
          </w:cols>
          <w:pgMar w:left="240" w:top="459" w:right="2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900" w:right="26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300" w:hanging="446"/>
        <w:spacing w:after="0" w:line="291" w:lineRule="auto"/>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900"/>
        <w:spacing w:after="0" w:line="323" w:lineRule="auto"/>
        <w:rPr>
          <w:rFonts w:ascii="Arial" w:cs="Arial" w:eastAsia="Arial" w:hAnsi="Arial"/>
          <w:sz w:val="16"/>
          <w:szCs w:val="16"/>
          <w:color w:val="auto"/>
        </w:rPr>
      </w:pPr>
      <w:r>
        <w:rPr>
          <w:rFonts w:ascii="Arial" w:cs="Arial" w:eastAsia="Arial" w:hAnsi="Arial"/>
          <w:sz w:val="16"/>
          <w:szCs w:val="16"/>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4" w:lineRule="exact"/>
        <w:rPr>
          <w:rFonts w:ascii="Arial" w:cs="Arial" w:eastAsia="Arial" w:hAnsi="Arial"/>
          <w:sz w:val="16"/>
          <w:szCs w:val="16"/>
          <w:color w:val="auto"/>
        </w:rPr>
      </w:pPr>
    </w:p>
    <w:p>
      <w:pPr>
        <w:jc w:val="both"/>
        <w:ind w:left="900" w:right="140" w:hanging="446"/>
        <w:spacing w:after="0" w:line="264"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52" w:lineRule="exact"/>
        <w:rPr>
          <w:sz w:val="20"/>
          <w:szCs w:val="20"/>
          <w:color w:val="auto"/>
        </w:rPr>
      </w:pPr>
    </w:p>
    <w:p>
      <w:pPr>
        <w:ind w:left="900" w:hanging="446"/>
        <w:spacing w:after="0" w:line="276"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ind w:left="900" w:right="200" w:hanging="446"/>
        <w:spacing w:after="0" w:line="259"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Composition.”</w:t>
      </w:r>
    </w:p>
    <w:p>
      <w:pPr>
        <w:spacing w:after="0" w:line="92" w:lineRule="exact"/>
        <w:rPr>
          <w:rFonts w:ascii="Arial" w:cs="Arial" w:eastAsia="Arial" w:hAnsi="Arial"/>
          <w:sz w:val="18"/>
          <w:szCs w:val="18"/>
          <w:color w:val="auto"/>
        </w:rPr>
      </w:pPr>
    </w:p>
    <w:p>
      <w:pPr>
        <w:ind w:left="900" w:right="100" w:hanging="446"/>
        <w:spacing w:after="0" w:line="286" w:lineRule="auto"/>
        <w:tabs>
          <w:tab w:leader="none" w:pos="9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will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restated bylaws or remove directors without holding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60" w:lineRule="exact"/>
        <w:rPr>
          <w:sz w:val="20"/>
          <w:szCs w:val="20"/>
          <w:color w:val="auto"/>
        </w:rPr>
      </w:pPr>
    </w:p>
    <w:p>
      <w:pPr>
        <w:ind w:left="900" w:right="60" w:hanging="446"/>
        <w:spacing w:after="0" w:line="255"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jc w:val="both"/>
        <w:ind w:left="900" w:right="200" w:hanging="446"/>
        <w:spacing w:after="0" w:line="264"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will not provide for cumulative voting.</w:t>
      </w:r>
    </w:p>
    <w:p>
      <w:pPr>
        <w:spacing w:after="0" w:line="86"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900" w:right="20" w:hanging="446"/>
        <w:spacing w:after="0" w:line="279" w:lineRule="auto"/>
        <w:tabs>
          <w:tab w:leader="none" w:pos="9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900" w:right="80" w:hanging="446"/>
        <w:spacing w:after="0" w:line="259"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the Court of Chancery of the State of Delaware will be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common stock will be American Stock Transfer and Trust Company, LLC. The transfer agent’s address is 6201 15th Avenue, Brooklyn, New York 11219, and its telephone number is (800) 937-5449.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“ANAB.”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8"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Upon the closing of this offering, we will have a total of shares of our common stock outstanding, based on the 99,115,774 shares of our capital stock outstanding as of September 30, 2016, assuming the automatic conversion of all outstanding shares of our convertible preferred stock into 80,645,051 shares of common stock as of immediately prior to the closing of this offering. Of these outstanding shares, all of the shares of common</w:t>
      </w:r>
    </w:p>
    <w:p>
      <w:pPr>
        <w:ind w:right="140"/>
        <w:spacing w:after="0" w:line="261" w:lineRule="auto"/>
        <w:rPr>
          <w:sz w:val="20"/>
          <w:szCs w:val="20"/>
          <w:color w:val="auto"/>
        </w:rPr>
      </w:pPr>
      <w:r>
        <w:rPr>
          <w:rFonts w:ascii="Arial" w:cs="Arial" w:eastAsia="Arial" w:hAnsi="Arial"/>
          <w:sz w:val="18"/>
          <w:szCs w:val="18"/>
          <w:color w:val="auto"/>
        </w:rPr>
        <w:t>stock sold in this offering will be freely tradable, except that any shares purchased in this offering by our affiliates, as that term is defined in Rule 144 under the Securities Act, could only be sold in compliance with Rule 144.</w:t>
      </w:r>
    </w:p>
    <w:p>
      <w:pPr>
        <w:spacing w:after="0" w:line="184"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w:t>
      </w:r>
    </w:p>
    <w:p>
      <w:pPr>
        <w:spacing w:after="0" w:line="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8"/>
          <w:szCs w:val="18"/>
          <w:color w:val="auto"/>
        </w:rPr>
        <w:t>shares will be available for sale in the public market as follows:</w:t>
      </w:r>
    </w:p>
    <w:p>
      <w:pPr>
        <w:spacing w:after="0" w:line="238"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Beginning on the date of this prospectus, all of the shares sold in this offering will be immediately available for sale in the public market; and</w:t>
      </w:r>
    </w:p>
    <w:p>
      <w:pPr>
        <w:sectPr>
          <w:pgSz w:w="11900" w:h="16838" w:orient="portrait"/>
          <w:cols w:equalWidth="0" w:num="1">
            <w:col w:w="11380"/>
          </w:cols>
          <w:pgMar w:left="240" w:top="460" w:right="279" w:bottom="1440" w:gutter="0" w:footer="0" w:header="0"/>
        </w:sect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right="1120"/>
        <w:spacing w:after="0" w:line="308" w:lineRule="auto"/>
        <w:rPr>
          <w:sz w:val="20"/>
          <w:szCs w:val="20"/>
          <w:color w:val="auto"/>
        </w:rPr>
      </w:pPr>
      <w:r>
        <w:rPr>
          <w:rFonts w:ascii="Arial" w:cs="Arial" w:eastAsia="Arial" w:hAnsi="Arial"/>
          <w:sz w:val="17"/>
          <w:szCs w:val="17"/>
          <w:color w:val="auto"/>
        </w:rPr>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200" w:lineRule="exact"/>
        <w:rPr>
          <w:sz w:val="20"/>
          <w:szCs w:val="20"/>
          <w:color w:val="auto"/>
        </w:rPr>
      </w:pPr>
    </w:p>
    <w:p>
      <w:pPr>
        <w:sectPr>
          <w:pgSz w:w="11900" w:h="16838" w:orient="portrait"/>
          <w:cols w:equalWidth="0" w:num="2">
            <w:col w:w="520" w:space="380"/>
            <w:col w:w="10480"/>
          </w:cols>
          <w:pgMar w:left="240" w:top="460" w:right="27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Credit Suisse Securities (USA) LLC and Stifel, Nicolaus &amp; Company, Incorporated. See “Underwriting.”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60" w:right="279" w:bottom="1440" w:gutter="0" w:footer="0" w:header="0"/>
          <w:type w:val="continuous"/>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400"/>
          </w:cols>
          <w:pgMar w:left="240" w:top="460" w:right="259" w:bottom="1440" w:gutter="0" w:footer="0" w:header="0"/>
        </w:sectPr>
      </w:pPr>
    </w:p>
    <w:p>
      <w:pPr>
        <w:spacing w:after="0" w:line="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shares or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immediately after this offering;</w:t>
      </w:r>
    </w:p>
    <w:p>
      <w:pPr>
        <w:spacing w:after="0" w:line="369" w:lineRule="exact"/>
        <w:rPr>
          <w:sz w:val="20"/>
          <w:szCs w:val="20"/>
          <w:color w:val="auto"/>
        </w:rPr>
      </w:pPr>
    </w:p>
    <w:p>
      <w:pPr>
        <w:sectPr>
          <w:pgSz w:w="11900" w:h="16838" w:orient="portrait"/>
          <w:cols w:equalWidth="0" w:num="3">
            <w:col w:w="520" w:space="380"/>
            <w:col w:w="7680" w:space="540"/>
            <w:col w:w="2280"/>
          </w:cols>
          <w:pgMar w:left="240" w:top="460" w:right="259" w:bottom="1440" w:gutter="0" w:footer="0" w:header="0"/>
          <w:type w:val="continuous"/>
        </w:sectPr>
      </w:pPr>
    </w:p>
    <w:p>
      <w:pPr>
        <w:ind w:left="900" w:right="52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12,997,698 shares of our common stock that were subject to stock options outstanding as of September 30, 2016, options to purchase 6,076,474 shares of common stock were vested as of September 30, 2016. Shares of our common stock underlying outstanding options will not be eligible for sale until expiration of the 180 day lock-up and market standoff agreements to which they are subject. See the section titled “Executive Compensation—Employee Benefit and Stock Plans” for a description of our equity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460" w:right="25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tax purposes (or investors in such entities);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00" w:right="80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900" w:right="72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459" w:right="2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ind w:left="900" w:right="480" w:hanging="446"/>
        <w:spacing w:after="0" w:line="286"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0" w:lineRule="exact"/>
        <w:rPr>
          <w:rFonts w:ascii="Arial" w:cs="Arial" w:eastAsia="Arial" w:hAnsi="Arial"/>
          <w:sz w:val="17"/>
          <w:szCs w:val="17"/>
          <w:color w:val="auto"/>
        </w:rPr>
      </w:pPr>
    </w:p>
    <w:p>
      <w:pPr>
        <w:ind w:left="900" w:right="280" w:hanging="446"/>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900" w:right="100" w:hanging="446"/>
        <w:spacing w:after="0" w:line="308"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withholding provisions described above generally will apply to proceeds from a sale or other disposition of common stock if such sale or other disposition occurs on or after January 1, 2019 and currently apply to payments of dividends on our common stock.</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728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7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92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700" w:type="dxa"/>
            <w:vAlign w:val="bottom"/>
          </w:tcPr>
          <w:p>
            <w:pPr>
              <w:spacing w:after="0"/>
              <w:rPr>
                <w:sz w:val="24"/>
                <w:szCs w:val="24"/>
                <w:color w:val="auto"/>
              </w:rPr>
            </w:pPr>
          </w:p>
        </w:tc>
      </w:tr>
      <w:tr>
        <w:trPr>
          <w:trHeight w:val="432"/>
        </w:trPr>
        <w:tc>
          <w:tcPr>
            <w:tcW w:w="7280" w:type="dxa"/>
            <w:vAlign w:val="bottom"/>
            <w:gridSpan w:val="2"/>
          </w:tcPr>
          <w:p>
            <w:pPr>
              <w:ind w:left="460"/>
              <w:spacing w:after="0"/>
              <w:rPr>
                <w:sz w:val="20"/>
                <w:szCs w:val="20"/>
                <w:color w:val="auto"/>
              </w:rPr>
            </w:pPr>
            <w:r>
              <w:rPr>
                <w:rFonts w:ascii="Arial" w:cs="Arial" w:eastAsia="Arial" w:hAnsi="Arial"/>
                <w:sz w:val="18"/>
                <w:szCs w:val="18"/>
                <w:color w:val="auto"/>
                <w:w w:val="93"/>
              </w:rPr>
              <w:t>We and the underwriters named below have entered into an underwriting agreement, dated</w:t>
            </w:r>
          </w:p>
        </w:tc>
        <w:tc>
          <w:tcPr>
            <w:tcW w:w="3700" w:type="dxa"/>
            <w:vAlign w:val="bottom"/>
          </w:tcPr>
          <w:p>
            <w:pPr>
              <w:ind w:left="280"/>
              <w:spacing w:after="0"/>
              <w:rPr>
                <w:sz w:val="20"/>
                <w:szCs w:val="20"/>
                <w:color w:val="auto"/>
              </w:rPr>
            </w:pPr>
            <w:r>
              <w:rPr>
                <w:rFonts w:ascii="Arial" w:cs="Arial" w:eastAsia="Arial" w:hAnsi="Arial"/>
                <w:sz w:val="18"/>
                <w:szCs w:val="18"/>
                <w:color w:val="auto"/>
                <w:w w:val="89"/>
              </w:rPr>
              <w:t>, 2017, with respect to the shares being offered.</w:t>
            </w:r>
          </w:p>
        </w:tc>
      </w:tr>
    </w:tbl>
    <w:p>
      <w:pPr>
        <w:ind w:right="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certain conditions, each underwriter has severally agreed to purchase the number of shares indicated in the following table. Credit Suisse Securities (USA) LLC and Stifel, Nicolaus &amp; Company, Incorporated, are the representatives of the underwriters.</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2940" w:type="dxa"/>
            <w:vAlign w:val="bottom"/>
            <w:gridSpan w:val="2"/>
          </w:tcPr>
          <w:p>
            <w:pPr>
              <w:ind w:left="1780"/>
              <w:spacing w:after="0"/>
              <w:rPr>
                <w:sz w:val="20"/>
                <w:szCs w:val="20"/>
                <w:color w:val="auto"/>
              </w:rPr>
            </w:pPr>
            <w:r>
              <w:rPr>
                <w:rFonts w:ascii="Arial" w:cs="Arial" w:eastAsia="Arial" w:hAnsi="Arial"/>
                <w:sz w:val="14"/>
                <w:szCs w:val="14"/>
                <w:b w:val="1"/>
                <w:bCs w:val="1"/>
                <w:color w:val="auto"/>
                <w:w w:val="92"/>
              </w:rPr>
              <w:t>Number of Shares</w:t>
            </w: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Credit Suisse Securities (USA) LLC</w:t>
            </w:r>
          </w:p>
        </w:tc>
        <w:tc>
          <w:tcPr>
            <w:tcW w:w="17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78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7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shd w:val="clear" w:color="auto" w:fill="CCEEFF"/>
          </w:tcPr>
          <w:p>
            <w:pPr>
              <w:spacing w:after="0"/>
              <w:rPr>
                <w:sz w:val="18"/>
                <w:szCs w:val="18"/>
                <w:color w:val="auto"/>
              </w:rPr>
            </w:pPr>
          </w:p>
        </w:tc>
        <w:tc>
          <w:tcPr>
            <w:tcW w:w="1160" w:type="dxa"/>
            <w:vAlign w:val="bottom"/>
            <w:tcBorders>
              <w:bottom w:val="single" w:sz="8" w:color="auto"/>
              <w:right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our common stock directly to the public at the initial public offering price set forth on the cover of this</w:t>
      </w:r>
    </w:p>
    <w:p>
      <w:pPr>
        <w:spacing w:after="0" w:line="4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3420" w:type="dxa"/>
            <w:vAlign w:val="bottom"/>
            <w:gridSpan w:val="2"/>
          </w:tcPr>
          <w:p>
            <w:pPr>
              <w:jc w:val="right"/>
              <w:spacing w:after="0"/>
              <w:rPr>
                <w:sz w:val="20"/>
                <w:szCs w:val="20"/>
                <w:color w:val="auto"/>
              </w:rPr>
            </w:pPr>
            <w:r>
              <w:rPr>
                <w:rFonts w:ascii="Arial" w:cs="Arial" w:eastAsia="Arial" w:hAnsi="Arial"/>
                <w:sz w:val="14"/>
                <w:szCs w:val="14"/>
                <w:b w:val="1"/>
                <w:bCs w:val="1"/>
                <w:color w:val="auto"/>
              </w:rPr>
              <w:t>No Exercise</w:t>
            </w:r>
          </w:p>
        </w:tc>
        <w:tc>
          <w:tcPr>
            <w:tcW w:w="1860" w:type="dxa"/>
            <w:vAlign w:val="bottom"/>
            <w:gridSpan w:val="3"/>
          </w:tcPr>
          <w:p>
            <w:pPr>
              <w:ind w:left="94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jc w:val="right"/>
              <w:ind w:right="565"/>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w:t>
      </w:r>
    </w:p>
    <w:p>
      <w:pPr>
        <w:spacing w:after="0" w:line="4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excluding underwriting discounts and commissions, will be approximately $ , all of which will be paid by us. We have agreed to reimburse the underwriters for certain of their expenses incurred in connection with the clearance of this offering with the Financial Industry Regulatory Authority, Inc., in an amount up to $35,000. If after the initial closing of this offering, but before the underwriters have exercised their option to purchase additional shares, we terminate the underwriting agreement, or if we are unable to perform on our obligations under the underwriting agreement and the underwriters terminate the agreement, we have agreed to reimburse the underwriters for certain expenses incurred in connection with this offering in an amount up to $50,000.</w:t>
      </w:r>
    </w:p>
    <w:p>
      <w:pPr>
        <w:spacing w:after="0" w:line="16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46"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and Stifel, Nicolaus &amp; Company, Incorporated; provided that Credit Suisse Securities (USA) LLC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conversion of outstanding shares of preferred stock into shares of common stock; or</w:t>
      </w:r>
    </w:p>
    <w:p>
      <w:pPr>
        <w:spacing w:after="0" w:line="130" w:lineRule="exact"/>
        <w:rPr>
          <w:rFonts w:ascii="Arial" w:cs="Arial" w:eastAsia="Arial" w:hAnsi="Arial"/>
          <w:sz w:val="18"/>
          <w:szCs w:val="18"/>
          <w:color w:val="auto"/>
        </w:rPr>
      </w:pPr>
    </w:p>
    <w:p>
      <w:pPr>
        <w:ind w:left="900" w:right="420" w:hanging="446"/>
        <w:spacing w:after="0" w:line="264"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Prior to the offering, there has been no public market for our common stock. The initial public offering price will be negotiated among us and the representatives. Among the factors to be considered in determining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Our common stock has been approved for listing on the Nasdaq Global Select Market under the symbol “ANAB.” 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8"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 counter market or otherwise.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the underwriters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60"/>
          </w:cols>
          <w:pgMar w:left="240" w:top="460" w:right="2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76"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40"/>
          </w:cols>
          <w:pgMar w:left="240" w:top="460" w:right="3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 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and the representatives and their affiliates will rely upon the truth and accuracy of the foregoing representations, acknowledgements and agreements.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76" w:lineRule="exact"/>
        <w:rPr>
          <w:sz w:val="20"/>
          <w:szCs w:val="20"/>
          <w:color w:val="auto"/>
        </w:rPr>
      </w:pPr>
    </w:p>
    <w:p>
      <w:pPr>
        <w:ind w:left="900" w:right="10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The common stock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xml:space="preserve">. Any resale of the common stock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w:t>
      </w:r>
      <w:r>
        <w:rPr>
          <w:rFonts w:ascii="Arial" w:cs="Arial" w:eastAsia="Arial" w:hAnsi="Arial"/>
          <w:sz w:val="17"/>
          <w:szCs w:val="17"/>
          <w:i w:val="1"/>
          <w:iCs w:val="1"/>
          <w:color w:val="auto"/>
        </w:rPr>
        <w:t xml:space="preserve">Underwriting Conflicts </w:t>
      </w:r>
      <w:r>
        <w:rPr>
          <w:rFonts w:ascii="Arial" w:cs="Arial" w:eastAsia="Arial" w:hAnsi="Arial"/>
          <w:sz w:val="17"/>
          <w:szCs w:val="17"/>
          <w:color w:val="auto"/>
        </w:rPr>
        <w:t>(NI 33-105), the underwriters are not required to comply with the disclosure requirements of NI 33-105 regarding underwriter</w:t>
      </w:r>
      <w:r>
        <w:rPr>
          <w:rFonts w:ascii="Arial" w:cs="Arial" w:eastAsia="Arial" w:hAnsi="Arial"/>
          <w:sz w:val="17"/>
          <w:szCs w:val="17"/>
          <w:i w:val="1"/>
          <w:iCs w:val="1"/>
          <w:color w:val="auto"/>
        </w:rPr>
        <w:t xml:space="preserve"> </w:t>
      </w:r>
      <w:r>
        <w:rPr>
          <w:rFonts w:ascii="Arial" w:cs="Arial" w:eastAsia="Arial" w:hAnsi="Arial"/>
          <w:sz w:val="17"/>
          <w:szCs w:val="17"/>
          <w:color w:val="auto"/>
        </w:rPr>
        <w:t>conflicts of interest in connection with this offering.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or the Corporations Act;</w:t>
      </w:r>
    </w:p>
    <w:p>
      <w:pPr>
        <w:spacing w:after="0" w:line="130" w:lineRule="exact"/>
        <w:rPr>
          <w:rFonts w:ascii="Arial" w:cs="Arial" w:eastAsia="Arial" w:hAnsi="Arial"/>
          <w:sz w:val="18"/>
          <w:szCs w:val="18"/>
          <w:color w:val="auto"/>
        </w:rPr>
      </w:pPr>
    </w:p>
    <w:p>
      <w:pPr>
        <w:ind w:left="900" w:right="260" w:hanging="446"/>
        <w:spacing w:after="0" w:line="264"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86"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securities offered by this prospectus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right="40" w:firstLine="8"/>
        <w:spacing w:after="0" w:line="270" w:lineRule="auto"/>
        <w:tabs>
          <w:tab w:leader="none" w:pos="25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Warning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Wherethe securities are subscribed or purchased under Section 275 of the SFA by a relevant person which is:</w:t>
      </w:r>
    </w:p>
    <w:p>
      <w:pPr>
        <w:spacing w:after="0" w:line="131" w:lineRule="exact"/>
        <w:rPr>
          <w:sz w:val="20"/>
          <w:szCs w:val="20"/>
          <w:color w:val="auto"/>
        </w:rPr>
      </w:pPr>
    </w:p>
    <w:p>
      <w:pPr>
        <w:ind w:left="90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567"/>
        <w:spacing w:after="0" w:line="277" w:lineRule="auto"/>
        <w:tabs>
          <w:tab w:leader="none" w:pos="14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60" w:firstLine="8"/>
        <w:spacing w:after="0" w:line="261" w:lineRule="auto"/>
        <w:tabs>
          <w:tab w:leader="none" w:pos="2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w:t>
      </w:r>
    </w:p>
    <w:p>
      <w:pPr>
        <w:spacing w:after="0" w:line="3" w:lineRule="exact"/>
        <w:rPr>
          <w:sz w:val="20"/>
          <w:szCs w:val="20"/>
          <w:color w:val="auto"/>
        </w:rPr>
      </w:pPr>
    </w:p>
    <w:p>
      <w:pPr>
        <w:jc w:val="both"/>
        <w:ind w:right="20" w:firstLine="8"/>
        <w:spacing w:after="0" w:line="253" w:lineRule="auto"/>
        <w:tabs>
          <w:tab w:leader="none" w:pos="30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52" w:lineRule="exact"/>
        <w:rPr>
          <w:sz w:val="20"/>
          <w:szCs w:val="20"/>
          <w:color w:val="auto"/>
        </w:rPr>
      </w:pPr>
    </w:p>
    <w:p>
      <w:pPr>
        <w:ind w:left="900" w:right="280" w:hanging="446"/>
        <w:spacing w:after="0" w:line="25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wholly-owned subsidiary of a bank, mutual bank, authorised services provider or financial institution, acting as agent in the capacity of an authorised portfolio manager for a pension fund (duly registered in South Africa), or as manager for a collective investment scheme (registered in South Africa);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financial statements of AnaptysBio, Inc. as of December 31, 2014 and 2015, and for each of the years in the two-year period ended December 31, 2015,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74">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75">
              <w:r>
                <w:rPr>
                  <w:rFonts w:ascii="Arial" w:cs="Arial" w:eastAsia="Arial" w:hAnsi="Arial"/>
                  <w:sz w:val="18"/>
                  <w:szCs w:val="18"/>
                  <w:color w:val="0000EE"/>
                  <w:w w:val="88"/>
                </w:rPr>
                <w:t>Consolidated Balance Sheets as of December 31, 2014 and 2015</w:t>
              </w:r>
            </w:hyperlink>
          </w:p>
        </w:tc>
        <w:tc>
          <w:tcPr>
            <w:tcW w:w="62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4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76">
              <w:r>
                <w:rPr>
                  <w:rFonts w:ascii="Arial" w:cs="Arial" w:eastAsia="Arial" w:hAnsi="Arial"/>
                  <w:sz w:val="18"/>
                  <w:szCs w:val="18"/>
                  <w:color w:val="0000EE"/>
                  <w:w w:val="89"/>
                </w:rPr>
                <w:t>Consolidated Statements of Operations for the Years ended December 31, 2014 and 2015</w:t>
              </w:r>
            </w:hyperlink>
          </w:p>
        </w:tc>
        <w:tc>
          <w:tcPr>
            <w:tcW w:w="444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Consolidated Statements of Convertible Preferred Stock and Stockholders’ Deficit for the Years ended December 31, 2014 and 2015</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78">
              <w:r>
                <w:rPr>
                  <w:rFonts w:ascii="Arial" w:cs="Arial" w:eastAsia="Arial" w:hAnsi="Arial"/>
                  <w:sz w:val="18"/>
                  <w:szCs w:val="18"/>
                  <w:color w:val="0000EE"/>
                  <w:w w:val="89"/>
                </w:rPr>
                <w:t>Consolidated Statements of Cash Flows for the Years ended December 31, 2014 and 2015</w:t>
              </w:r>
            </w:hyperlink>
          </w:p>
        </w:tc>
        <w:tc>
          <w:tcPr>
            <w:tcW w:w="3000" w:type="dxa"/>
            <w:vAlign w:val="bottom"/>
            <w:tcBorders>
              <w:top w:val="single" w:sz="8" w:color="0000EE"/>
            </w:tcBorders>
            <w:gridSpan w:val="4"/>
          </w:tcPr>
          <w:p>
            <w:pPr>
              <w:spacing w:after="0"/>
              <w:rPr>
                <w:sz w:val="17"/>
                <w:szCs w:val="17"/>
                <w:color w:val="auto"/>
              </w:rPr>
            </w:pPr>
          </w:p>
        </w:tc>
        <w:tc>
          <w:tcPr>
            <w:tcW w:w="13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179">
              <w:r>
                <w:rPr>
                  <w:rFonts w:ascii="Arial" w:cs="Arial" w:eastAsia="Arial" w:hAnsi="Arial"/>
                  <w:sz w:val="18"/>
                  <w:szCs w:val="18"/>
                  <w:color w:val="0000EE"/>
                  <w:w w:val="89"/>
                </w:rPr>
                <w:t>Notes to Consolidated Financial Statements</w:t>
              </w:r>
            </w:hyperlink>
          </w:p>
        </w:tc>
        <w:tc>
          <w:tcPr>
            <w:tcW w:w="7760" w:type="dxa"/>
            <w:vAlign w:val="bottom"/>
            <w:gridSpan w:val="10"/>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1092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AnaptysBio, Inc. Unaudited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920" w:type="dxa"/>
            <w:vAlign w:val="bottom"/>
            <w:gridSpan w:val="11"/>
          </w:tcPr>
          <w:p>
            <w:pPr>
              <w:spacing w:after="0" w:line="190" w:lineRule="exact"/>
              <w:rPr>
                <w:rFonts w:ascii="Arial" w:cs="Arial" w:eastAsia="Arial" w:hAnsi="Arial"/>
                <w:sz w:val="18"/>
                <w:szCs w:val="18"/>
                <w:color w:val="0000EE"/>
              </w:rPr>
            </w:pPr>
            <w:hyperlink w:anchor="page198">
              <w:r>
                <w:rPr>
                  <w:rFonts w:ascii="Arial" w:cs="Arial" w:eastAsia="Arial" w:hAnsi="Arial"/>
                  <w:sz w:val="18"/>
                  <w:szCs w:val="18"/>
                  <w:color w:val="0000EE"/>
                </w:rPr>
                <w:t>Consolidated Balance Sheets as of December 31, 2015 and September 30, 2016 (unaudited)</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F-26</w:t>
            </w:r>
          </w:p>
        </w:tc>
        <w:tc>
          <w:tcPr>
            <w:tcW w:w="0" w:type="dxa"/>
            <w:vAlign w:val="bottom"/>
          </w:tcPr>
          <w:p>
            <w:pPr>
              <w:spacing w:after="0"/>
              <w:rPr>
                <w:sz w:val="1"/>
                <w:szCs w:val="1"/>
                <w:color w:val="auto"/>
              </w:rPr>
            </w:pPr>
          </w:p>
        </w:tc>
      </w:tr>
      <w:tr>
        <w:trPr>
          <w:trHeight w:val="20"/>
        </w:trPr>
        <w:tc>
          <w:tcPr>
            <w:tcW w:w="3960" w:type="dxa"/>
            <w:vAlign w:val="bottom"/>
            <w:gridSpan w:val="2"/>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99">
              <w:r>
                <w:rPr>
                  <w:rFonts w:ascii="Arial" w:cs="Arial" w:eastAsia="Arial" w:hAnsi="Arial"/>
                  <w:sz w:val="18"/>
                  <w:szCs w:val="18"/>
                  <w:color w:val="0000EE"/>
                  <w:w w:val="90"/>
                </w:rPr>
                <w:t>Unaudited Consolidated Statements of Operations for the Nine Months Ended September 30, 2015 and 2016</w:t>
              </w:r>
            </w:hyperlink>
          </w:p>
        </w:tc>
        <w:tc>
          <w:tcPr>
            <w:tcW w:w="308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196"/>
        </w:trPr>
        <w:tc>
          <w:tcPr>
            <w:tcW w:w="10920" w:type="dxa"/>
            <w:vAlign w:val="bottom"/>
            <w:gridSpan w:val="11"/>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Unaudited Consolidated Statements of Cash Flows for the Nine Months Ended September 30, 2015 and 2016</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6"/>
        </w:trPr>
        <w:tc>
          <w:tcPr>
            <w:tcW w:w="7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Notes to Unaudited Consolidated Financial Statements</w:t>
              </w:r>
            </w:hyperlink>
          </w:p>
        </w:tc>
        <w:tc>
          <w:tcPr>
            <w:tcW w:w="30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385"/>
        </w:trPr>
        <w:tc>
          <w:tcPr>
            <w:tcW w:w="31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60" w:type="dxa"/>
            <w:vAlign w:val="bottom"/>
            <w:gridSpan w:val="7"/>
          </w:tcPr>
          <w:p>
            <w:pPr>
              <w:ind w:left="9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AnaptysBio, Inc. and subsidiary as of December 31, 2014 and 2015, and the related consolidated statements of operations, convertible preferred stock and stockholders’ deficit, and cash flows for each of the years in the two-year period ended December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AnaptysBio, Inc. and subsidiary as of December 31, 2014 and 2015, and the results of their operations and their cash flows for each of the years in the two-year period ended December 31, 2015, in conformity with U.S. generally accepted accounting principles.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60" w:right="29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9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b w:val="1"/>
                <w:bCs w:val="1"/>
                <w:color w:val="auto"/>
                <w:w w:val="94"/>
              </w:rPr>
              <w:t>ASSETS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51,684</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53,464</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56,280</w:t>
            </w:r>
          </w:p>
        </w:tc>
        <w:tc>
          <w:tcPr>
            <w:tcW w:w="10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9560" w:type="dxa"/>
            <w:vAlign w:val="bottom"/>
            <w:shd w:val="clear" w:color="auto" w:fill="CCEEFF"/>
          </w:tcPr>
          <w:p>
            <w:pPr>
              <w:jc w:val="center"/>
              <w:spacing w:after="0" w:line="192" w:lineRule="exact"/>
              <w:rPr>
                <w:sz w:val="20"/>
                <w:szCs w:val="20"/>
                <w:color w:val="auto"/>
              </w:rPr>
            </w:pPr>
            <w:r>
              <w:rPr>
                <w:rFonts w:ascii="Arial" w:cs="Arial" w:eastAsia="Arial" w:hAnsi="Arial"/>
                <w:sz w:val="18"/>
                <w:szCs w:val="18"/>
                <w:b w:val="1"/>
                <w:bCs w:val="1"/>
                <w:color w:val="auto"/>
              </w:rPr>
              <w:t>LIABILITIES, CONVERTIBLE PREFERRED STOCK AND</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8"/>
        </w:trPr>
        <w:tc>
          <w:tcPr>
            <w:tcW w:w="95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STOCKHOLDERS’ DEFICIT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w w:val="90"/>
              </w:rPr>
              <w:t>Series B convertible preferred stock, $0.001 par value, 27,743 shares authorized, issued and outstanding at December 31, 2014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2015; aggregate liquidation preference at December 31, 2015 of $24,991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28,220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28,220</w:t>
            </w: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C convertible preferred stock, $0.001 par value, 13,211 shares authorized, 11,147 shares issued and outstanding at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2014 and 2015; aggregate liquidation preference at December 31, 2015 of $7,246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shd w:val="clear" w:color="auto" w:fill="CCEEFF"/>
          </w:tcPr>
          <w:p>
            <w:pPr>
              <w:spacing w:after="0"/>
              <w:rPr>
                <w:sz w:val="20"/>
                <w:szCs w:val="20"/>
                <w:color w:val="auto"/>
              </w:rPr>
            </w:pPr>
          </w:p>
        </w:tc>
      </w:tr>
      <w:tr>
        <w:trPr>
          <w:trHeight w:val="202"/>
        </w:trPr>
        <w:tc>
          <w:tcPr>
            <w:tcW w:w="9560" w:type="dxa"/>
            <w:vAlign w:val="bottom"/>
          </w:tcPr>
          <w:p>
            <w:pPr>
              <w:spacing w:after="0" w:line="201" w:lineRule="exact"/>
              <w:rPr>
                <w:sz w:val="20"/>
                <w:szCs w:val="20"/>
                <w:color w:val="auto"/>
              </w:rPr>
            </w:pPr>
            <w:r>
              <w:rPr>
                <w:rFonts w:ascii="Arial" w:cs="Arial" w:eastAsia="Arial" w:hAnsi="Arial"/>
                <w:sz w:val="18"/>
                <w:szCs w:val="18"/>
                <w:color w:val="auto"/>
                <w:w w:val="92"/>
              </w:rPr>
              <w:t>Series C-1 convertible preferred stock, $0.001 par value, 3,318 shares authorized, issued and outstanding at December 31, 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60" w:type="dxa"/>
            <w:vAlign w:val="bottom"/>
          </w:tcPr>
          <w:p>
            <w:pPr>
              <w:ind w:left="180"/>
              <w:spacing w:after="0"/>
              <w:rPr>
                <w:sz w:val="20"/>
                <w:szCs w:val="20"/>
                <w:color w:val="auto"/>
              </w:rPr>
            </w:pPr>
            <w:r>
              <w:rPr>
                <w:rFonts w:ascii="Arial" w:cs="Arial" w:eastAsia="Arial" w:hAnsi="Arial"/>
                <w:sz w:val="18"/>
                <w:szCs w:val="18"/>
                <w:color w:val="auto"/>
              </w:rPr>
              <w:t>and 2015, respectively; aggregate liquidation preference at December 31, 2015 of $6,470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2,156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2,156</w:t>
            </w:r>
          </w:p>
        </w:tc>
        <w:tc>
          <w:tcPr>
            <w:tcW w:w="100" w:type="dxa"/>
            <w:vAlign w:val="bottom"/>
          </w:tcPr>
          <w:p>
            <w:pPr>
              <w:spacing w:after="0"/>
              <w:rPr>
                <w:sz w:val="20"/>
                <w:szCs w:val="20"/>
                <w:color w:val="auto"/>
              </w:rPr>
            </w:pP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D convertible preferred stock, $0.001 par value, 38,437 shares authorized, no shares and 38,437 shares issued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outstanding at December 31, 2014 and 2015, respectively; aggregate liquidation preference at December 31, 2015 of $40,767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40,688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Stockholders’ 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$0.001 par value, 120,500 shares authorized, 17,368 shares and 18,407 shares issued and outstanding at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2014 and 2015, respectively</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14,407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15,467</w:t>
            </w: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(45,259)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(50,664)</w:t>
            </w:r>
          </w:p>
        </w:tc>
      </w:tr>
      <w:tr>
        <w:trPr>
          <w:trHeight w:val="230"/>
        </w:trPr>
        <w:tc>
          <w:tcPr>
            <w:tcW w:w="956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(30,835)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(35,179)</w:t>
            </w:r>
          </w:p>
        </w:tc>
        <w:tc>
          <w:tcPr>
            <w:tcW w:w="100" w:type="dxa"/>
            <w:vAlign w:val="bottom"/>
          </w:tcPr>
          <w:p>
            <w:pPr>
              <w:spacing w:after="0"/>
              <w:rPr>
                <w:sz w:val="20"/>
                <w:szCs w:val="20"/>
                <w:color w:val="auto"/>
              </w:rPr>
            </w:pPr>
          </w:p>
        </w:tc>
      </w:tr>
      <w:tr>
        <w:trPr>
          <w:trHeight w:val="216"/>
        </w:trPr>
        <w:tc>
          <w:tcPr>
            <w:tcW w:w="9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56,280</w:t>
            </w:r>
          </w:p>
        </w:tc>
      </w:tr>
      <w:tr>
        <w:trPr>
          <w:trHeight w:val="20"/>
        </w:trPr>
        <w:tc>
          <w:tcPr>
            <w:tcW w:w="9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Year Ended</w:t>
      </w:r>
    </w:p>
    <w:p>
      <w:pPr>
        <w:jc w:val="center"/>
        <w:ind w:left="97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15,838</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8,614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2,354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10,968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106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(1,270)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(3,300)</w:t>
            </w: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17,368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340"/>
              <w:spacing w:after="0"/>
              <w:rPr>
                <w:sz w:val="20"/>
                <w:szCs w:val="20"/>
                <w:color w:val="auto"/>
              </w:rPr>
            </w:pPr>
            <w:r>
              <w:rPr>
                <w:rFonts w:ascii="Arial" w:cs="Arial" w:eastAsia="Arial" w:hAnsi="Arial"/>
                <w:sz w:val="18"/>
                <w:szCs w:val="18"/>
                <w:color w:val="auto"/>
              </w:rPr>
              <w:t>Pro forma weighted-average number of shares outstanding (unaudited):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77,926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5"/>
          </w:tcPr>
          <w:p>
            <w:pPr>
              <w:ind w:left="300"/>
              <w:spacing w:after="0"/>
              <w:rPr>
                <w:sz w:val="20"/>
                <w:szCs w:val="20"/>
                <w:color w:val="auto"/>
              </w:rPr>
            </w:pPr>
            <w:r>
              <w:rPr>
                <w:rFonts w:ascii="Arial" w:cs="Arial" w:eastAsia="Arial" w:hAnsi="Arial"/>
                <w:sz w:val="14"/>
                <w:szCs w:val="14"/>
                <w:b w:val="1"/>
                <w:bCs w:val="1"/>
                <w:color w:val="auto"/>
              </w:rPr>
              <w:t>Series B</w:t>
            </w:r>
          </w:p>
        </w:tc>
        <w:tc>
          <w:tcPr>
            <w:tcW w:w="12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Series C</w:t>
            </w:r>
          </w:p>
        </w:tc>
        <w:tc>
          <w:tcPr>
            <w:tcW w:w="1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Series C-1</w:t>
            </w:r>
          </w:p>
        </w:tc>
        <w:tc>
          <w:tcPr>
            <w:tcW w:w="1240" w:type="dxa"/>
            <w:vAlign w:val="bottom"/>
            <w:gridSpan w:val="6"/>
          </w:tcPr>
          <w:p>
            <w:pPr>
              <w:ind w:left="300"/>
              <w:spacing w:after="0"/>
              <w:rPr>
                <w:sz w:val="20"/>
                <w:szCs w:val="20"/>
                <w:color w:val="auto"/>
              </w:rPr>
            </w:pPr>
            <w:r>
              <w:rPr>
                <w:rFonts w:ascii="Arial" w:cs="Arial" w:eastAsia="Arial" w:hAnsi="Arial"/>
                <w:sz w:val="14"/>
                <w:szCs w:val="14"/>
                <w:b w:val="1"/>
                <w:bCs w:val="1"/>
                <w:color w:val="auto"/>
              </w:rPr>
              <w:t>Series 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Additional</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6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Convertible</w:t>
            </w:r>
          </w:p>
        </w:tc>
        <w:tc>
          <w:tcPr>
            <w:tcW w:w="12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240" w:type="dxa"/>
            <w:vAlign w:val="bottom"/>
            <w:gridSpan w:val="6"/>
          </w:tcPr>
          <w:p>
            <w:pPr>
              <w:ind w:left="180"/>
              <w:spacing w:after="0" w:line="149" w:lineRule="exact"/>
              <w:rPr>
                <w:sz w:val="20"/>
                <w:szCs w:val="20"/>
                <w:color w:val="auto"/>
              </w:rPr>
            </w:pPr>
            <w:r>
              <w:rPr>
                <w:rFonts w:ascii="Arial" w:cs="Arial" w:eastAsia="Arial" w:hAnsi="Arial"/>
                <w:sz w:val="14"/>
                <w:szCs w:val="14"/>
                <w:b w:val="1"/>
                <w:bCs w:val="1"/>
                <w:color w:val="auto"/>
              </w:rPr>
              <w:t>Convertible</w:t>
            </w:r>
          </w:p>
        </w:tc>
        <w:tc>
          <w:tcPr>
            <w:tcW w:w="1120" w:type="dxa"/>
            <w:vAlign w:val="bottom"/>
            <w:gridSpan w:val="5"/>
            <w:vMerge w:val="restart"/>
          </w:tcPr>
          <w:p>
            <w:pPr>
              <w:jc w:val="right"/>
              <w:ind w:right="8"/>
              <w:spacing w:after="0"/>
              <w:rPr>
                <w:sz w:val="20"/>
                <w:szCs w:val="20"/>
                <w:color w:val="auto"/>
              </w:rPr>
            </w:pPr>
            <w:r>
              <w:rPr>
                <w:rFonts w:ascii="Arial" w:cs="Arial" w:eastAsia="Arial" w:hAnsi="Arial"/>
                <w:sz w:val="14"/>
                <w:szCs w:val="14"/>
                <w:b w:val="1"/>
                <w:bCs w:val="1"/>
                <w:color w:val="auto"/>
                <w:w w:val="99"/>
              </w:rPr>
              <w:t>Common 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60" w:type="dxa"/>
            <w:vAlign w:val="bottom"/>
            <w:gridSpan w:val="5"/>
          </w:tcPr>
          <w:p>
            <w:pPr>
              <w:ind w:left="80"/>
              <w:spacing w:after="0"/>
              <w:rPr>
                <w:sz w:val="20"/>
                <w:szCs w:val="20"/>
                <w:color w:val="auto"/>
              </w:rPr>
            </w:pPr>
            <w:r>
              <w:rPr>
                <w:rFonts w:ascii="Arial" w:cs="Arial" w:eastAsia="Arial" w:hAnsi="Arial"/>
                <w:sz w:val="14"/>
                <w:szCs w:val="14"/>
                <w:b w:val="1"/>
                <w:bCs w:val="1"/>
                <w:color w:val="auto"/>
              </w:rPr>
              <w:t>Preferred Stock</w:t>
            </w:r>
          </w:p>
        </w:tc>
        <w:tc>
          <w:tcPr>
            <w:tcW w:w="1240" w:type="dxa"/>
            <w:vAlign w:val="bottom"/>
            <w:gridSpan w:val="5"/>
          </w:tcPr>
          <w:p>
            <w:pPr>
              <w:ind w:left="60"/>
              <w:spacing w:after="0"/>
              <w:rPr>
                <w:sz w:val="20"/>
                <w:szCs w:val="20"/>
                <w:color w:val="auto"/>
              </w:rPr>
            </w:pPr>
            <w:r>
              <w:rPr>
                <w:rFonts w:ascii="Arial" w:cs="Arial" w:eastAsia="Arial" w:hAnsi="Arial"/>
                <w:sz w:val="14"/>
                <w:szCs w:val="14"/>
                <w:b w:val="1"/>
                <w:bCs w:val="1"/>
                <w:color w:val="auto"/>
              </w:rPr>
              <w:t>Preferred Stock</w:t>
            </w:r>
          </w:p>
        </w:tc>
        <w:tc>
          <w:tcPr>
            <w:tcW w:w="1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2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7"/>
              </w:rPr>
              <w:t>Preferred Stock</w:t>
            </w:r>
          </w:p>
        </w:tc>
        <w:tc>
          <w:tcPr>
            <w:tcW w:w="11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10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40" w:type="dxa"/>
            <w:vAlign w:val="bottom"/>
          </w:tcPr>
          <w:p>
            <w:pPr>
              <w:spacing w:after="0"/>
              <w:rPr>
                <w:sz w:val="12"/>
                <w:szCs w:val="12"/>
                <w:color w:val="auto"/>
              </w:rPr>
            </w:pPr>
          </w:p>
        </w:tc>
        <w:tc>
          <w:tcPr>
            <w:tcW w:w="108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rPr>
              <w:t>Shares  Amount</w:t>
            </w:r>
          </w:p>
        </w:tc>
        <w:tc>
          <w:tcPr>
            <w:tcW w:w="160" w:type="dxa"/>
            <w:vAlign w:val="bottom"/>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January 1, 2014</w:t>
            </w:r>
          </w:p>
        </w:tc>
        <w:tc>
          <w:tcPr>
            <w:tcW w:w="46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color w:val="auto"/>
                <w:w w:val="88"/>
              </w:rPr>
              <w:t>27,743</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$ 28,220</w:t>
            </w:r>
          </w:p>
        </w:tc>
        <w:tc>
          <w:tcPr>
            <w:tcW w:w="1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8"/>
              </w:rPr>
              <w:t>11,147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6,452</w:t>
            </w:r>
          </w:p>
        </w:tc>
        <w:tc>
          <w:tcPr>
            <w:tcW w:w="14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center"/>
              <w:ind w:left="68"/>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center"/>
              <w:ind w:left="2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17,368</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24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14,247</w:t>
            </w:r>
          </w:p>
        </w:tc>
        <w:tc>
          <w:tcPr>
            <w:tcW w:w="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(48,791)</w:t>
            </w:r>
          </w:p>
        </w:tc>
        <w:tc>
          <w:tcPr>
            <w:tcW w:w="200" w:type="dxa"/>
            <w:vAlign w:val="bottom"/>
            <w:tcBorders>
              <w:top w:val="single" w:sz="8" w:color="CCEEFF"/>
            </w:tcBorders>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(34,527)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w w:val="96"/>
              </w:rPr>
              <w:t>Conversion of promissory notes payable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ind w:left="140"/>
              <w:spacing w:after="0" w:line="149" w:lineRule="exact"/>
              <w:rPr>
                <w:sz w:val="20"/>
                <w:szCs w:val="20"/>
                <w:color w:val="auto"/>
              </w:rPr>
            </w:pPr>
            <w:r>
              <w:rPr>
                <w:rFonts w:ascii="Arial" w:cs="Arial" w:eastAsia="Arial" w:hAnsi="Arial"/>
                <w:sz w:val="14"/>
                <w:szCs w:val="14"/>
                <w:color w:val="auto"/>
                <w:w w:val="96"/>
              </w:rPr>
              <w:t>to related parties into shares of Series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C-1 Preferred Stock</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w w:val="91"/>
              </w:rPr>
              <w:t>3,318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2,156</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160</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46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3"/>
                <w:szCs w:val="13"/>
                <w:color w:val="auto"/>
              </w:rPr>
            </w:pPr>
          </w:p>
        </w:tc>
        <w:tc>
          <w:tcPr>
            <w:tcW w:w="420" w:type="dxa"/>
            <w:vAlign w:val="bottom"/>
            <w:tcBorders>
              <w:bottom w:val="single" w:sz="8" w:color="auto"/>
            </w:tcBorders>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440" w:type="dxa"/>
            <w:vAlign w:val="bottom"/>
            <w:tcBorders>
              <w:bottom w:val="single" w:sz="8" w:color="auto"/>
            </w:tcBorders>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46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3,532</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3,532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2014</w:t>
            </w:r>
          </w:p>
        </w:tc>
        <w:tc>
          <w:tcPr>
            <w:tcW w:w="5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27,743</w:t>
            </w:r>
          </w:p>
        </w:tc>
        <w:tc>
          <w:tcPr>
            <w:tcW w:w="7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28,220</w:t>
            </w: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11,147</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6,452</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3,318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2,156</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17,368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14,407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(45,259)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Issuance of Series D Preferred Stock</w:t>
            </w: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38,437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3"/>
              </w:rPr>
              <w:t>40,688</w:t>
            </w: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Reclassification of warrants</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297</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Shares issued under employee stock</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Arial" w:cs="Arial" w:eastAsia="Arial" w:hAnsi="Arial"/>
                <w:sz w:val="14"/>
                <w:szCs w:val="14"/>
                <w:color w:val="auto"/>
              </w:rPr>
              <w:t>plans</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50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1,039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159</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604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jc w:val="center"/>
              <w:ind w:left="8"/>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420" w:type="dxa"/>
            <w:vAlign w:val="bottom"/>
          </w:tcPr>
          <w:p>
            <w:pPr>
              <w:jc w:val="center"/>
              <w:ind w:lef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center"/>
              <w:ind w:left="2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(5,405)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2015</w:t>
            </w:r>
          </w:p>
        </w:tc>
        <w:tc>
          <w:tcPr>
            <w:tcW w:w="4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88"/>
              </w:rPr>
              <w:t>27,743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$ 28,220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88"/>
              </w:rPr>
              <w:t>11,147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6,452</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3,318</w:t>
            </w:r>
          </w:p>
        </w:tc>
        <w:tc>
          <w:tcPr>
            <w:tcW w:w="20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2,156</w:t>
            </w:r>
          </w:p>
        </w:tc>
        <w:tc>
          <w:tcPr>
            <w:tcW w:w="5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38,437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40,688</w:t>
            </w: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18,407</w:t>
            </w:r>
          </w:p>
        </w:tc>
        <w:tc>
          <w:tcPr>
            <w:tcW w:w="2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15,467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(50,664)</w:t>
            </w:r>
          </w:p>
        </w:tc>
        <w:tc>
          <w:tcPr>
            <w:tcW w:w="20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3,532</w:t>
            </w:r>
          </w:p>
        </w:tc>
        <w:tc>
          <w:tcPr>
            <w:tcW w:w="3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(1,455)</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10,730</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14,603</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(9,669)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notes payable, net of costs to issue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 net of costs to issue</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Payments for deferred financing costs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increase (decrease) in cash</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19,378</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2,810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51,684</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9"/>
              </w:rPr>
              <w:t>Conversion of convertible promissory notes payable to related parties into shares of Series C-1 Preferred Stock</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Reclassification of warrants to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Amounts accrued for property and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Amounts accrued for deferred financing costs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and have, aside from the year ended December 31, 2014, incurred losses and negative cash flows from operations through the year ended December 31, 2015 and have an accumulated deficit at December 31, 2015 of $50.7 million. Through 2015, all of our financial support has been provided primarily from the sale of our common and preferred stock and proceeds from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At December 31, 2014 and 2015, we held restricted cash of $85,000 and $60,000, respectively, used to secure a letter of credit provided as security for our operating leases for our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Property and equipment is carried at cost.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2014 or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During the year ended December 31, 2015, we incurred an aggregate of $2.2 million in direct costs related to our anticipated public offering of common stock. These costs were deferred and recorded as a long-term asset at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 and Operating Lease Incentives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80" w:hanging="325"/>
        <w:spacing w:after="0" w:line="258"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right="220" w:hanging="325"/>
        <w:spacing w:after="0" w:line="298" w:lineRule="auto"/>
        <w:tabs>
          <w:tab w:leader="none" w:pos="900"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($0.2) million during the year ended December 31,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6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2015 or the original issuance date, if later.</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0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9"/>
              </w:rPr>
              <w:t>(Loss)</w:t>
            </w:r>
          </w:p>
        </w:tc>
        <w:tc>
          <w:tcPr>
            <w:tcW w:w="12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6140" w:type="dxa"/>
            <w:vAlign w:val="bottom"/>
            <w:vMerge w:val="continue"/>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2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(Denominator)</w:t>
            </w:r>
          </w:p>
        </w:tc>
        <w:tc>
          <w:tcPr>
            <w:tcW w:w="2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3,532</w:t>
            </w: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(3,300)</w:t>
            </w: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 and diluted net income attributed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17,368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720"/>
              <w:spacing w:after="0"/>
              <w:rPr>
                <w:sz w:val="20"/>
                <w:szCs w:val="20"/>
                <w:color w:val="auto"/>
              </w:rPr>
            </w:pPr>
            <w:r>
              <w:rPr>
                <w:rFonts w:ascii="Arial" w:cs="Arial" w:eastAsia="Arial" w:hAnsi="Arial"/>
                <w:sz w:val="18"/>
                <w:szCs w:val="18"/>
                <w:color w:val="auto"/>
              </w:rPr>
              <w:t>Basic and diluted net loss attributed to common stockholders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(5,405)</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17,857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(0.30)</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Year Ended December 31, 2015 (unaudited)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(5,405)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40" w:type="dxa"/>
            <w:vAlign w:val="bottom"/>
          </w:tcPr>
          <w:p>
            <w:pPr>
              <w:ind w:left="360"/>
              <w:spacing w:after="0" w:line="201" w:lineRule="exact"/>
              <w:rPr>
                <w:sz w:val="20"/>
                <w:szCs w:val="20"/>
                <w:color w:val="auto"/>
              </w:rPr>
            </w:pPr>
            <w:r>
              <w:rPr>
                <w:rFonts w:ascii="Arial" w:cs="Arial" w:eastAsia="Arial" w:hAnsi="Arial"/>
                <w:sz w:val="18"/>
                <w:szCs w:val="18"/>
                <w:color w:val="auto"/>
              </w:rPr>
              <w:t>Pro forma adjustment to reflect the assumed conversion of convertible</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540"/>
              <w:spacing w:after="0"/>
              <w:rPr>
                <w:sz w:val="20"/>
                <w:szCs w:val="20"/>
                <w:color w:val="auto"/>
              </w:rPr>
            </w:pPr>
            <w:r>
              <w:rPr>
                <w:rFonts w:ascii="Arial" w:cs="Arial" w:eastAsia="Arial" w:hAnsi="Arial"/>
                <w:sz w:val="18"/>
                <w:szCs w:val="18"/>
                <w:color w:val="auto"/>
              </w:rPr>
              <w:t>preferred shares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60,069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 forma basic and diluted net loss per common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(5,405)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77,926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(0.07)</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4620"/>
              <w:spacing w:after="0"/>
              <w:rPr>
                <w:sz w:val="20"/>
                <w:szCs w:val="20"/>
                <w:color w:val="auto"/>
              </w:rPr>
            </w:pPr>
            <w:r>
              <w:rPr>
                <w:rFonts w:ascii="Arial" w:cs="Arial" w:eastAsia="Arial" w:hAnsi="Arial"/>
                <w:sz w:val="18"/>
                <w:szCs w:val="18"/>
                <w:color w:val="auto"/>
              </w:rPr>
              <w:t>F-11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0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Convertible</w:t>
            </w:r>
          </w:p>
        </w:tc>
        <w:tc>
          <w:tcPr>
            <w:tcW w:w="5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6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660" w:type="dxa"/>
            <w:vAlign w:val="bottom"/>
          </w:tcPr>
          <w:p>
            <w:pPr>
              <w:jc w:val="right"/>
              <w:spacing w:after="0"/>
              <w:rPr>
                <w:sz w:val="20"/>
                <w:szCs w:val="20"/>
                <w:color w:val="auto"/>
              </w:rPr>
            </w:pPr>
            <w:r>
              <w:rPr>
                <w:rFonts w:ascii="Arial" w:cs="Arial" w:eastAsia="Arial" w:hAnsi="Arial"/>
                <w:sz w:val="18"/>
                <w:szCs w:val="18"/>
                <w:color w:val="auto"/>
              </w:rPr>
              <w:t>7,556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for nonpublic entities. We are currently assessing the impact that this standard will have on our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vMerge w:val="continue"/>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3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3,934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3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(3,355)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(3,583)</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3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3180" w:type="dxa"/>
            <w:vAlign w:val="bottom"/>
            <w:gridSpan w:val="2"/>
          </w:tcPr>
          <w:p>
            <w:pPr>
              <w:jc w:val="right"/>
              <w:ind w:right="2445"/>
              <w:spacing w:after="0"/>
              <w:rPr>
                <w:sz w:val="20"/>
                <w:szCs w:val="20"/>
                <w:color w:val="auto"/>
              </w:rPr>
            </w:pPr>
            <w:r>
              <w:rPr>
                <w:rFonts w:ascii="Arial" w:cs="Arial" w:eastAsia="Arial" w:hAnsi="Arial"/>
                <w:sz w:val="18"/>
                <w:szCs w:val="18"/>
                <w:color w:val="auto"/>
              </w:rPr>
              <w:t>F-12</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vMerge w:val="continue"/>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 xml:space="preserve">in vivo </w:t>
      </w:r>
      <w:r>
        <w:rPr>
          <w:rFonts w:ascii="Arial" w:cs="Arial" w:eastAsia="Arial" w:hAnsi="Arial"/>
          <w:sz w:val="16"/>
          <w:szCs w:val="16"/>
          <w:color w:val="auto"/>
        </w:rPr>
        <w:t>toxicology studies, under the principles of good laboratory practice, using the AnaptysBio-generated anti-PD-1 antagonist antibody (TSR-042)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AnaptysBio-generated anti-TIM-3 antagonist antibody (TSR-022), each being advanced by TESARO. The remaining unrecognized milestone payments of $0.3 million at December 31, 2015 will be recognized ratably through December 2016. Revenue from future contingent milestone payments will be recognized if and when such payments become due, subject to satisfaction of all of the criteria necessary to recognize revenue at that time.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Revenue recognized under this agreement aggregated $11.5 million during the year ended December 31, 2014, which includes $7.0 million for the amortization of the upfront fee and $4.5 million in funding for research and development services. Revenue recognized under this agreement aggregated $17.6 million during the year ended December 31, 2015, which includes $9.4 million for the amortization of the upfront fee, $6.5 million in funding for research and development services, and $1.7 million for milestones earned, of which $1.2 million was receivable at December 31, 2015. Deferred revenue for this agreement was $2.9 million at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$0.6 million during the year ended December 31, 2014, which includes $0.5 million in success fees and $92,000 in funding for research and development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 ended December 31, 2014, we recognized revenue from other collaborative partners aggregating $0.6 million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dose PK/toxicology studies on at least two development programs and the Term C Loans for an aggregate of $5.0 million are available for draw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and (ii) July 1, 2016. The draw period will end upon the earlier of (i) an event of default as defined in the LSA Agreement and</w:t>
      </w:r>
    </w:p>
    <w:p>
      <w:pPr>
        <w:spacing w:after="0" w:line="2" w:lineRule="exact"/>
        <w:rPr>
          <w:sz w:val="20"/>
          <w:szCs w:val="20"/>
          <w:color w:val="auto"/>
        </w:rPr>
      </w:pPr>
    </w:p>
    <w:p>
      <w:pPr>
        <w:ind w:right="80" w:firstLine="8"/>
        <w:spacing w:after="0" w:line="302" w:lineRule="auto"/>
        <w:tabs>
          <w:tab w:leader="none" w:pos="26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December 31, 2016. If the Term B Loans and Term C Loans are issued, they will bear interest at the greater of 6.95% or the 3-month LIBOR plus 6.72%, with principal payments beginning February 1, 2017 and with final maturity in January 2019. At December 31, 2015, the Term A Loans are due in 13 monthly interest-only payments through January 2017, followed by 24 equal monthly principal and interest payments, with final maturity in January 2019.</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December 31, 2015, the carrying amount of the Term A Loans was $4.9 million, which is net of discounts of $97,000. The Term A Loans were classified as noncurrent in the Consolidated Balance Sheets at December 31, 2015 as a result of the LSA Amendment in January 2016. The effective interest rate on the Term A Loans at December 31, 2015 was 9.25%. As of December 31, 2015, future principal maturities of the Term A Loans were $2.2 million, $2.6 million and $0.2 million in 2017, 2018 and 2019, respectively.</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December 31, 2015, we were in compliance with the covenants contained in the Loan and Security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$0.65 per share.</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2014, the principal and accrued interest on the notes, which aggregated $2.2 million, were converted into 3,333,333 shares of Series C-1 Preferred Stock. The unamortized discount of $0.4 million at the date of conversion was recognized as interest expense. Total interest expense resulting from the amortization and write-off of the discount totaled $1.2 million during the year ended December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Quoted Market</w:t>
            </w:r>
          </w:p>
        </w:tc>
        <w:tc>
          <w:tcPr>
            <w:tcW w:w="134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Prices for</w:t>
            </w:r>
          </w:p>
        </w:tc>
        <w:tc>
          <w:tcPr>
            <w:tcW w:w="13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Identical Assets</w:t>
            </w: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2014</w:t>
            </w:r>
          </w:p>
        </w:tc>
        <w:tc>
          <w:tcPr>
            <w:tcW w:w="220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Money market funds (1)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14,736</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14,736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(1)</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7,227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U.S. treasury security (2)</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At December 31, 2015</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6,755</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Mutual funds (1)</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44,077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44,077</w:t>
            </w:r>
          </w:p>
        </w:tc>
        <w:tc>
          <w:tcPr>
            <w:tcW w:w="100" w:type="dxa"/>
            <w:vAlign w:val="bottom"/>
          </w:tcPr>
          <w:p>
            <w:pPr>
              <w:spacing w:after="0"/>
              <w:rPr>
                <w:sz w:val="18"/>
                <w:szCs w:val="18"/>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security (2)</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1,549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Included in cash and cash equivalents in the Consolidated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Consolidated Balance Sheets.</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20"/>
          </w:cols>
          <w:pgMar w:left="240" w:top="460"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524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4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Exercise price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0.65</w:t>
            </w:r>
          </w:p>
        </w:tc>
        <w:tc>
          <w:tcPr>
            <w:tcW w:w="4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Volatility</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81.0%</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4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2014 and 2015 would result in increases in the estimated fair values of the preferred stock warrant liabilities of $89,000 and $0.2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in liabilities measured at fair value on a recurring basis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5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14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2"/>
              </w:rPr>
              <w:t>$(386)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Issuances</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(1,277)</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warrant liabilities to equity</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July 2015, the Company reclassified 288,462 Series C Preferred Stock warrants from Preferred stock warrant liabilities to Additional paid in capital on the Consolidated Balance Sheets, at fair value on the date of transfer. The reclassification occurred upon the expiration of a feature within the warrant contract that had previously precluded equity classification. As a result, these warrants are no longer remeasured at fair value on a recurring basis at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financial instruments estimated as of December 31, 2014 and 2015 are presented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8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Pr>
          <w:p>
            <w:pPr>
              <w:spacing w:after="0"/>
              <w:rPr>
                <w:sz w:val="14"/>
                <w:szCs w:val="14"/>
                <w:color w:val="auto"/>
              </w:rPr>
            </w:pPr>
          </w:p>
        </w:tc>
        <w:tc>
          <w:tcPr>
            <w:tcW w:w="1660" w:type="dxa"/>
            <w:vAlign w:val="bottom"/>
            <w:gridSpan w:val="4"/>
          </w:tcPr>
          <w:p>
            <w:pPr>
              <w:ind w:left="200"/>
              <w:spacing w:after="0"/>
              <w:rPr>
                <w:sz w:val="20"/>
                <w:szCs w:val="20"/>
                <w:color w:val="auto"/>
              </w:rPr>
            </w:pPr>
            <w:r>
              <w:rPr>
                <w:rFonts w:ascii="Arial" w:cs="Arial" w:eastAsia="Arial" w:hAnsi="Arial"/>
                <w:sz w:val="14"/>
                <w:szCs w:val="14"/>
                <w:b w:val="1"/>
                <w:bCs w:val="1"/>
                <w:color w:val="auto"/>
              </w:rPr>
              <w:t>December 31, 2015</w:t>
            </w:r>
          </w:p>
        </w:tc>
      </w:tr>
      <w:tr>
        <w:trPr>
          <w:trHeight w:val="119"/>
        </w:trPr>
        <w:tc>
          <w:tcPr>
            <w:tcW w:w="67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78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$ 4,793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$4,793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$ 4,903</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34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00"/>
          </w:cols>
          <w:pgMar w:left="240" w:top="460" w:right="3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the Company’s financial instruments for which it is practicable to estimate that value:</w:t>
      </w:r>
    </w:p>
    <w:p>
      <w:pPr>
        <w:spacing w:after="0" w:line="6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i w:val="1"/>
          <w:iCs w:val="1"/>
          <w:color w:val="auto"/>
        </w:rPr>
        <w:t xml:space="preserve">Notes Payable </w:t>
      </w:r>
      <w:r>
        <w:rPr>
          <w:rFonts w:ascii="Arial" w:cs="Arial" w:eastAsia="Arial" w:hAnsi="Arial"/>
          <w:sz w:val="17"/>
          <w:szCs w:val="17"/>
          <w:color w:val="auto"/>
        </w:rPr>
        <w:t>—We use the income approach to value the aforementioned debt instrument. We use a present value calculation to discount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and interest payments and the final maturity payment on these liabilities using a discounted cash flow model based on observable inputs. The Company discounts these debt instruments based on what the current market rates would offer the Company as of the reporting date. Based on the assumptions used to value these liabilities at fair value, these debt instruments are categorized as Level 2 in the fair value hierarchy.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2015, we issued and sold 38,436,851 shares of Series D Convertible Preferred Stock at $1.06 per share for net proceeds of $40.7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Certificate of Incorporation and 2006 Equity Incentive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13, 2015, we amended our amended and restated certificate of incorporation to increase the total number of shares authorized for issuance from 141,506,903 shares to 203,208,537 shares. Of these shares, 120,500,000 shares are designated as common stock and 82,708,537 shares are designated as preferred stock, which are designated as follows: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B</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25,524,510</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1,996,153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B-2</w:t>
            </w:r>
          </w:p>
        </w:tc>
        <w:tc>
          <w:tcPr>
            <w:tcW w:w="860" w:type="dxa"/>
            <w:vAlign w:val="bottom"/>
          </w:tcPr>
          <w:p>
            <w:pPr>
              <w:jc w:val="right"/>
              <w:spacing w:after="0"/>
              <w:rPr>
                <w:sz w:val="20"/>
                <w:szCs w:val="20"/>
                <w:color w:val="auto"/>
              </w:rPr>
            </w:pPr>
            <w:r>
              <w:rPr>
                <w:rFonts w:ascii="Arial" w:cs="Arial" w:eastAsia="Arial" w:hAnsi="Arial"/>
                <w:sz w:val="18"/>
                <w:szCs w:val="18"/>
                <w:color w:val="auto"/>
              </w:rPr>
              <w:t>222,216</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13,210,753</w:t>
            </w: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Series C-1</w:t>
            </w:r>
          </w:p>
        </w:tc>
        <w:tc>
          <w:tcPr>
            <w:tcW w:w="860" w:type="dxa"/>
            <w:vAlign w:val="bottom"/>
          </w:tcPr>
          <w:p>
            <w:pPr>
              <w:jc w:val="right"/>
              <w:spacing w:after="0"/>
              <w:rPr>
                <w:sz w:val="20"/>
                <w:szCs w:val="20"/>
                <w:color w:val="auto"/>
              </w:rPr>
            </w:pPr>
            <w:r>
              <w:rPr>
                <w:rFonts w:ascii="Arial" w:cs="Arial" w:eastAsia="Arial" w:hAnsi="Arial"/>
                <w:sz w:val="18"/>
                <w:szCs w:val="18"/>
                <w:color w:val="auto"/>
              </w:rPr>
              <w:t>3,318,054</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38,436,851</w:t>
            </w:r>
          </w:p>
        </w:tc>
        <w:tc>
          <w:tcPr>
            <w:tcW w:w="100" w:type="dxa"/>
            <w:vAlign w:val="bottom"/>
            <w:shd w:val="clear" w:color="auto" w:fill="CCEEFF"/>
          </w:tcPr>
          <w:p>
            <w:pPr>
              <w:spacing w:after="0"/>
              <w:rPr>
                <w:sz w:val="18"/>
                <w:szCs w:val="18"/>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Total designated Preferred Stock</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82,708,537</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Additionally, the amended and restated certificate of incorporation provided for the split of Series B and Series B-1 Preferred Stock into ten shares for every nine shares outstanding. The consolidated financial statements and accompanying footnotes have been retroactively restated to reflect the Series B and Series B-1 Preferred Stock splits.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81" w:lineRule="exact"/>
        <w:rPr>
          <w:sz w:val="20"/>
          <w:szCs w:val="20"/>
          <w:color w:val="auto"/>
        </w:rPr>
      </w:pPr>
    </w:p>
    <w:p>
      <w:pPr>
        <w:jc w:val="both"/>
        <w:ind w:right="180" w:firstLine="456"/>
        <w:spacing w:after="0" w:line="297"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60" w:firstLine="456"/>
        <w:spacing w:after="0" w:line="258"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Preferred Stock are entitled to receive noncumulative dividends at a rate of 8% of the respective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 price per annum. The Series D Preferred Stock dividends are payable in preference and in priority to any Series C-1 Preferred Stock.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2015, the board of directors has not declared any dividends.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Liquidation Rights. </w:t>
      </w:r>
      <w:r>
        <w:rPr>
          <w:rFonts w:ascii="Arial" w:cs="Arial" w:eastAsia="Arial" w:hAnsi="Arial"/>
          <w:sz w:val="16"/>
          <w:szCs w:val="16"/>
          <w:color w:val="auto"/>
        </w:rPr>
        <w:t>Upon liquidation, dissolution or winding up of the Company, the holders of Preferred Stock are entitled to receive distributions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out of the assets of the Company, before any distributions are made to the holders of common stock. The holders of the Series D are entitled to receive liquidation preference at one (1) times the original issue price of $1.06 per share plus all declared and unpaid dividends. Liquidation payments to the holders of Series D Preferred Stock have priority and are made in preference to any payments to the holders of Series C-1 Preferred Stock. The holders of the Series C-1 are entitled to receive liquidation preference at three (3) times the original issue price of $0.65 per share plus all declared and unpaid dividends. Liquidation payments to the holders of Series C-1 Preferred Stock have priority and are made in preference to any payments to the holders of Series C Preferred Stock. The holders of the Series C Preferred Stock are entitled to receive liquidation preferences at the rate of $0.65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$0.90 per share plus all declared and unpaid dividends and the holders of Series A and Series B-2 Preferred Stock are entitled to receive liquidation preferences at the rate of $1.00 per share plus all declared and unpaid dividends. Liquidation payments to the holders of Series B and Series A Preferred Stock have priority and are made in preference to any payments to the holders of common stock.</w:t>
      </w:r>
    </w:p>
    <w:p>
      <w:pPr>
        <w:spacing w:after="0" w:line="169"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b w:val="1"/>
          <w:bCs w:val="1"/>
          <w:color w:val="auto"/>
        </w:rPr>
        <w:t xml:space="preserve">Conversion Rights. </w:t>
      </w:r>
      <w:r>
        <w:rPr>
          <w:rFonts w:ascii="Arial" w:cs="Arial" w:eastAsia="Arial" w:hAnsi="Arial"/>
          <w:sz w:val="17"/>
          <w:szCs w:val="17"/>
          <w:color w:val="auto"/>
        </w:rPr>
        <w:t>The shares of Series A Preferred Stock are convertible into shares of common stock at a conversion price of $0.90 per share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Series B, C, C-1 and D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gross cash proceeds to the Company (before underwriting discounts, commissions and fees) are at least $50.0 million.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have authorized 120,500,000 shares of common stock, of which 18,407,054 shares were issued and outstanding at December 31, 2015. Common shares reserved for future issuance upon the exercise, issuance or conversion of the respective equity instruments at December 31, 2015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020" w:type="dxa"/>
            <w:vAlign w:val="bottom"/>
            <w:gridSpan w:val="4"/>
          </w:tcPr>
          <w:p>
            <w:pPr>
              <w:ind w:left="1380"/>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80,645,051</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Issued and Outstanding: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14,351,840</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80" w:type="dxa"/>
            <w:vAlign w:val="bottom"/>
            <w:gridSpan w:val="5"/>
          </w:tcPr>
          <w:p>
            <w:pPr>
              <w:ind w:left="360"/>
              <w:spacing w:after="0"/>
              <w:rPr>
                <w:sz w:val="20"/>
                <w:szCs w:val="20"/>
                <w:color w:val="auto"/>
              </w:rPr>
            </w:pPr>
            <w:r>
              <w:rPr>
                <w:rFonts w:ascii="Arial" w:cs="Arial" w:eastAsia="Arial" w:hAnsi="Arial"/>
                <w:sz w:val="18"/>
                <w:szCs w:val="18"/>
                <w:color w:val="auto"/>
                <w:w w:val="96"/>
              </w:rPr>
              <w:t>Warrants for shares of convertible preferred stock and common stock</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2,885,870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reserved for future award grants</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2,302,739</w:t>
            </w: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64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100,185,500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gridSpan w:val="5"/>
            <w:vMerge w:val="restart"/>
          </w:tcPr>
          <w:p>
            <w:pPr>
              <w:spacing w:after="0"/>
              <w:rPr>
                <w:sz w:val="20"/>
                <w:szCs w:val="20"/>
                <w:color w:val="auto"/>
              </w:rPr>
            </w:pPr>
            <w:r>
              <w:rPr>
                <w:rFonts w:ascii="Arial" w:cs="Arial" w:eastAsia="Arial" w:hAnsi="Arial"/>
                <w:sz w:val="18"/>
                <w:szCs w:val="18"/>
                <w:b w:val="1"/>
                <w:bCs w:val="1"/>
                <w:i w:val="1"/>
                <w:iCs w:val="1"/>
                <w:color w:val="auto"/>
              </w:rPr>
              <w:t>Warrants for Shares of Preferred and Common Stock</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80" w:type="dxa"/>
            <w:vAlign w:val="bottom"/>
            <w:gridSpan w:val="5"/>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540" w:type="dxa"/>
            <w:vAlign w:val="bottom"/>
            <w:gridSpan w:val="11"/>
          </w:tcPr>
          <w:p>
            <w:pPr>
              <w:ind w:left="460"/>
              <w:spacing w:after="0"/>
              <w:rPr>
                <w:sz w:val="20"/>
                <w:szCs w:val="20"/>
                <w:color w:val="auto"/>
              </w:rPr>
            </w:pPr>
            <w:r>
              <w:rPr>
                <w:rFonts w:ascii="Arial" w:cs="Arial" w:eastAsia="Arial" w:hAnsi="Arial"/>
                <w:sz w:val="18"/>
                <w:szCs w:val="18"/>
                <w:color w:val="auto"/>
                <w:w w:val="96"/>
              </w:rPr>
              <w:t>A summary of the activity related to our warrants during the year ended December 31, 2015 is as follows:</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400" w:type="dxa"/>
            <w:vAlign w:val="bottom"/>
          </w:tcPr>
          <w:p>
            <w:pPr>
              <w:spacing w:after="0"/>
              <w:rPr>
                <w:sz w:val="24"/>
                <w:szCs w:val="2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24"/>
                <w:szCs w:val="24"/>
                <w:color w:val="auto"/>
              </w:rPr>
            </w:pPr>
          </w:p>
        </w:tc>
        <w:tc>
          <w:tcPr>
            <w:tcW w:w="7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2"/>
                <w:szCs w:val="12"/>
                <w:color w:val="auto"/>
              </w:rPr>
            </w:pPr>
          </w:p>
        </w:tc>
        <w:tc>
          <w:tcPr>
            <w:tcW w:w="7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Warrant</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Subject to</w:t>
            </w:r>
          </w:p>
        </w:tc>
        <w:tc>
          <w:tcPr>
            <w:tcW w:w="2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Price per</w:t>
            </w:r>
          </w:p>
        </w:tc>
        <w:tc>
          <w:tcPr>
            <w:tcW w:w="40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Warrants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400" w:type="dxa"/>
            <w:vAlign w:val="bottom"/>
          </w:tcPr>
          <w:p>
            <w:pPr>
              <w:spacing w:after="0"/>
              <w:rPr>
                <w:sz w:val="14"/>
                <w:szCs w:val="14"/>
                <w:color w:val="auto"/>
              </w:rPr>
            </w:pPr>
          </w:p>
        </w:tc>
        <w:tc>
          <w:tcPr>
            <w:tcW w:w="10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440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Warrants to Purchase Shares of Series C Preferred Stock</w:t>
            </w:r>
          </w:p>
        </w:tc>
        <w:tc>
          <w:tcPr>
            <w:tcW w:w="162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2,063,484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1420" w:type="dxa"/>
            <w:vAlign w:val="bottom"/>
            <w:gridSpan w:val="5"/>
          </w:tcPr>
          <w:p>
            <w:pPr>
              <w:jc w:val="right"/>
              <w:ind w:right="260"/>
              <w:spacing w:after="0"/>
              <w:rPr>
                <w:sz w:val="20"/>
                <w:szCs w:val="20"/>
                <w:color w:val="auto"/>
              </w:rPr>
            </w:pPr>
            <w:r>
              <w:rPr>
                <w:rFonts w:ascii="Arial" w:cs="Arial" w:eastAsia="Arial" w:hAnsi="Arial"/>
                <w:sz w:val="18"/>
                <w:szCs w:val="18"/>
                <w:color w:val="auto"/>
              </w:rPr>
              <w:t>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60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Warrants to Purchase Shares of Common Stock</w:t>
            </w: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vMerge w:val="continue"/>
          </w:tcPr>
          <w:p>
            <w:pPr>
              <w:spacing w:after="0"/>
              <w:rPr>
                <w:sz w:val="20"/>
                <w:szCs w:val="20"/>
                <w:color w:val="auto"/>
              </w:rPr>
            </w:pPr>
          </w:p>
        </w:tc>
        <w:tc>
          <w:tcPr>
            <w:tcW w:w="6020" w:type="dxa"/>
            <w:vAlign w:val="bottom"/>
            <w:gridSpan w:val="4"/>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822,386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0.65</w:t>
            </w:r>
          </w:p>
        </w:tc>
        <w:tc>
          <w:tcPr>
            <w:tcW w:w="1420" w:type="dxa"/>
            <w:vAlign w:val="bottom"/>
            <w:gridSpan w:val="5"/>
          </w:tcPr>
          <w:p>
            <w:pPr>
              <w:jc w:val="right"/>
              <w:ind w:right="260"/>
              <w:spacing w:after="0"/>
              <w:rPr>
                <w:sz w:val="20"/>
                <w:szCs w:val="20"/>
                <w:color w:val="auto"/>
              </w:rPr>
            </w:pPr>
            <w:r>
              <w:rPr>
                <w:rFonts w:ascii="Arial" w:cs="Arial" w:eastAsia="Arial" w:hAnsi="Arial"/>
                <w:sz w:val="18"/>
                <w:szCs w:val="18"/>
                <w:color w:val="auto"/>
              </w:rPr>
              <w:t>2.8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3,810,000 and on July 9, 2015, we amended our 2006 Equity Incentive Plan to increase the number of shares reserved for issuance under the plan by 4,766,852 shares. As of December 31, 2015, awards for up to 16,654,579 shares of common stock are reserved for issuance under the Plan, of which 14,351,840 are reserved for issuance upon exercise of granted and outstanding options and 2,302,739 shares are available for future grants.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2015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3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8,717,585</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7,280,855</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(1,038,840)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0.15</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(607,760)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0.55</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and exercisable at December 31,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14,351,840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0.57</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December 31, 2015</w:t>
            </w:r>
          </w:p>
        </w:tc>
        <w:tc>
          <w:tcPr>
            <w:tcW w:w="138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0.55</w:t>
            </w: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7.9</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9,537</w:t>
            </w:r>
          </w:p>
        </w:tc>
        <w:tc>
          <w:tcPr>
            <w:tcW w:w="0" w:type="dxa"/>
            <w:vAlign w:val="bottom"/>
          </w:tcPr>
          <w:p>
            <w:pPr>
              <w:spacing w:after="0" w:line="20" w:lineRule="exact"/>
              <w:rPr>
                <w:sz w:val="1"/>
                <w:szCs w:val="1"/>
                <w:color w:val="auto"/>
              </w:rPr>
            </w:pPr>
          </w:p>
        </w:tc>
      </w:tr>
      <w:tr>
        <w:trPr>
          <w:trHeight w:val="211"/>
        </w:trPr>
        <w:tc>
          <w:tcPr>
            <w:tcW w:w="590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13,373,913</w:t>
            </w:r>
          </w:p>
        </w:tc>
        <w:tc>
          <w:tcPr>
            <w:tcW w:w="5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$0.2 million during the year ended December 31, 2015.</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estimated fair value of each stock option award was determined on the date of grant using the Black-Scholes option valuation model with the following weighted average assumptions for options granted to employees during the years ended December 31, 2014 and 2015:</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volatility</w:t>
            </w:r>
          </w:p>
        </w:tc>
        <w:tc>
          <w:tcPr>
            <w:tcW w:w="2560" w:type="dxa"/>
            <w:vAlign w:val="bottom"/>
            <w:gridSpan w:val="3"/>
          </w:tcPr>
          <w:p>
            <w:pPr>
              <w:jc w:val="right"/>
              <w:ind w:right="340"/>
              <w:spacing w:after="0"/>
              <w:rPr>
                <w:sz w:val="20"/>
                <w:szCs w:val="20"/>
                <w:color w:val="auto"/>
              </w:rPr>
            </w:pPr>
            <w:r>
              <w:rPr>
                <w:rFonts w:ascii="Arial" w:cs="Arial" w:eastAsia="Arial" w:hAnsi="Arial"/>
                <w:sz w:val="18"/>
                <w:szCs w:val="18"/>
                <w:color w:val="auto"/>
              </w:rPr>
              <w:t>66.8%</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71.2%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0.64</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non-cash stock-based compensation expense for all stock awards that was recognized in the statements of operations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2014</w:t>
            </w: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At December 31, 2015, there was $4.3 million of unrecognized compensation cost related to unvested stock option awards, which is expected to be recognized over a remaining weighted average vesting period of 3.6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 Plan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2014 or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lease our facility under a non-cancellable operating lease for which we exercised our option to renew for an additional five-year period. The lease now expires in August 2021.</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Rent expense was $0.4 million during the years ended December 31, 2014 and 2015, respectively. At December 31, 2015, deferred rent aggregated $0.1 million, of which $21,000 is included in other current liabilities and $0.1 million is included in noncurrent liabilities in the accompanying consolidated balance sheet. At December 31, 2015, the future minimum annual obligations under non-cancellable operating lease commitments are as follows:</w:t>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Years Ending December 31,</w:t>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2017</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2019</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4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$0.2 million during each of the years ended December 31, 2014 and 2015. Total cash paid under these agreements was $0.2 million during each of the years ended December 31, 2014 and 2015.</w:t>
      </w:r>
    </w:p>
    <w:p>
      <w:pPr>
        <w:spacing w:after="0" w:line="181"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Future minimum annual obligations under all such license agreements were $0.2 million in aggregate. These obligations are payable through ten years from the first commercial sale, if any, or expiration of the last patent to expire, the dates of which are not determinable at this 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At December 31, 2014 and 2015, we were contingently liable for a standby letter of credit issued by a commercial bank for $85,000 and $60,000, respectively, for security on our lease. A restricted cash account with these amounts was held as cash collateral for the letter of credit.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our deferred tax assets and liabilities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78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16,480</w:t>
            </w: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9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promissory note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deferred tax assets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1060"/>
              <w:spacing w:after="0"/>
              <w:rPr>
                <w:sz w:val="20"/>
                <w:szCs w:val="20"/>
                <w:color w:val="auto"/>
              </w:rPr>
            </w:pPr>
            <w:r>
              <w:rPr>
                <w:rFonts w:ascii="Arial" w:cs="Arial" w:eastAsia="Arial" w:hAnsi="Arial"/>
                <w:sz w:val="18"/>
                <w:szCs w:val="18"/>
                <w:color w:val="auto"/>
              </w:rPr>
              <w:t>Less: valuation allowance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(18,836)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(20,090)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tax assets, net of valuation allowance</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2015, we had federal and state net operating loss carryforwards (“NOL”)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carryforward indefinitely.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State NOL carryforwards may be similarly limited.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 (benefit) at federal statutory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4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Change in fair value of preferred stock warrant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 adjustment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Rate differential</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Research credits</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4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Change in the valuation allowance</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2014 and 2015,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65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2014</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7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60" w:right="2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2014 and 2015, there were no interest or penalties on uncertain tax benefits.</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February 12, 2016, the date at which the consolidated financial statements were issued.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Payment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January 2016, we earned a $4.0 million milestone payment from one of our collaborators. We expect to receive this $4.0 million milestone payment in February 2016.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40"/>
          </w:cols>
          <w:pgMar w:left="240" w:top="459" w:right="3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 at</w:t>
            </w:r>
          </w:p>
        </w:tc>
        <w:tc>
          <w:tcPr>
            <w:tcW w:w="0" w:type="dxa"/>
            <w:vAlign w:val="bottom"/>
          </w:tcPr>
          <w:p>
            <w:pPr>
              <w:spacing w:after="0"/>
              <w:rPr>
                <w:sz w:val="1"/>
                <w:szCs w:val="1"/>
                <w:color w:val="auto"/>
              </w:rPr>
            </w:pPr>
          </w:p>
        </w:tc>
      </w:tr>
      <w:tr>
        <w:trPr>
          <w:trHeight w:val="149"/>
        </w:trPr>
        <w:tc>
          <w:tcPr>
            <w:tcW w:w="828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8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5"/>
          </w:tcPr>
          <w:p>
            <w:pPr>
              <w:jc w:val="right"/>
              <w:ind w:right="554"/>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51,684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1,226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Australian tax incentive receivable</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53,464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rPr>
              <w:t>LIABILITIES, CONVERTIBLE PREFERRED STOCK AND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2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tcPr>
          <w:p>
            <w:pPr>
              <w:jc w:val="center"/>
              <w:spacing w:after="0"/>
              <w:rPr>
                <w:sz w:val="20"/>
                <w:szCs w:val="20"/>
                <w:color w:val="auto"/>
              </w:rPr>
            </w:pPr>
            <w:r>
              <w:rPr>
                <w:rFonts w:ascii="Arial" w:cs="Arial" w:eastAsia="Arial" w:hAnsi="Arial"/>
                <w:sz w:val="18"/>
                <w:szCs w:val="18"/>
                <w:b w:val="1"/>
                <w:bCs w:val="1"/>
                <w:color w:val="auto"/>
              </w:rPr>
              <w:t>STOCKHOLDERS’ DEFICIT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1,521</w:t>
            </w:r>
          </w:p>
        </w:tc>
        <w:tc>
          <w:tcPr>
            <w:tcW w:w="2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2,942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 convertible preferred stock, $0.001 par value, 27,743 shares authorized, issued and outstanding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December 31, 2015 and September 30, 2016; aggregate liquidation preference at September 30, 2016 of</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$24,991</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28,220</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6"/>
              </w:rPr>
              <w:t>Series C convertible preferred stock, $0.001 par value, 13,211 shares authorized, 11,147 shares issued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0"/>
              </w:rPr>
              <w:t>outstanding at December 31, 2015 and September 30, 2016; aggregate liquidation preference at September 30,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2016 of $7,246</w:t>
            </w: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6,452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6,452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C-1 convertible preferred stock, $0.001 par value, 3,318 shares authorized, issued and outstanding at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December 31, 2015 and September 30, 2016, respectively; aggregate liquidation preference at September 30,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 of $6,470</w:t>
            </w:r>
          </w:p>
        </w:tc>
        <w:tc>
          <w:tcPr>
            <w:tcW w:w="1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2,156</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6"/>
              </w:rPr>
              <w:t>Series D convertible preferred stock, $0.001 par value, 38,437 shares authorized, issued and outstanding at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2"/>
              </w:rPr>
              <w:t>December 31, 2015 and September 30, 2016, respectively; aggregate liquidation preference at September 30,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2016 of $40,767</w:t>
            </w:r>
          </w:p>
        </w:tc>
        <w:tc>
          <w:tcPr>
            <w:tcW w:w="18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40,688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40,688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tcPr>
          <w:p>
            <w:pPr>
              <w:spacing w:after="0" w:line="201" w:lineRule="exact"/>
              <w:rPr>
                <w:sz w:val="20"/>
                <w:szCs w:val="20"/>
                <w:color w:val="auto"/>
              </w:rPr>
            </w:pPr>
            <w:r>
              <w:rPr>
                <w:rFonts w:ascii="Arial" w:cs="Arial" w:eastAsia="Arial" w:hAnsi="Arial"/>
                <w:sz w:val="18"/>
                <w:szCs w:val="18"/>
                <w:color w:val="auto"/>
                <w:w w:val="96"/>
              </w:rPr>
              <w:t>Common stock, $0.001 par value, 120,500 shares authorized, 18,407 shares and 18,471 shares issued and</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Arial" w:cs="Arial" w:eastAsia="Arial" w:hAnsi="Arial"/>
                <w:sz w:val="18"/>
                <w:szCs w:val="18"/>
                <w:color w:val="auto"/>
                <w:w w:val="92"/>
              </w:rPr>
              <w:t>outstanding at December 31, 2015 and September 30, 2016, respectively; 99,116 issued and outstanding, pro</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forma, at September 30, 2016</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15,467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95,003</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(50,664)</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(50,345)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(50,345)</w:t>
            </w:r>
          </w:p>
        </w:tc>
        <w:tc>
          <w:tcPr>
            <w:tcW w:w="0" w:type="dxa"/>
            <w:vAlign w:val="bottom"/>
          </w:tcPr>
          <w:p>
            <w:pPr>
              <w:spacing w:after="0"/>
              <w:rPr>
                <w:sz w:val="1"/>
                <w:szCs w:val="1"/>
                <w:color w:val="auto"/>
              </w:rPr>
            </w:pPr>
          </w:p>
        </w:tc>
      </w:tr>
      <w:tr>
        <w:trPr>
          <w:trHeight w:val="27"/>
        </w:trPr>
        <w:tc>
          <w:tcPr>
            <w:tcW w:w="8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 equity</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(35,179)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44,757</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13,517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10,732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13,247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(1,528)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income,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(2,113)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(1,843)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106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per common share: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17,694</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18,434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17,694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340"/>
              <w:spacing w:after="0"/>
              <w:rPr>
                <w:sz w:val="20"/>
                <w:szCs w:val="20"/>
                <w:color w:val="auto"/>
              </w:rPr>
            </w:pPr>
            <w:r>
              <w:rPr>
                <w:rFonts w:ascii="Arial" w:cs="Arial" w:eastAsia="Arial" w:hAnsi="Arial"/>
                <w:sz w:val="18"/>
                <w:szCs w:val="18"/>
                <w:color w:val="auto"/>
              </w:rPr>
              <w:t>Pro forma weighted-average number of shares outstanding:</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7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104,906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Nine Months Ended</w:t>
      </w:r>
    </w:p>
    <w:p>
      <w:pPr>
        <w:jc w:val="center"/>
        <w:ind w:left="9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(1,893)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Australian tax incentive receivable</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632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(7,250)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(1,413)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(7,042)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(3,460)</w:t>
            </w: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Payments for repurchase of common stock</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Payments for deferred offering costs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issuance of preferred stock,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40,688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40,295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33,057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22,188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51,684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55,245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47,134</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accrued for property and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Amounts accrued for deferred financing costs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1,472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AnaptysBio, Inc. (“we,” “us,” “our,” or the “Company”) was incorporated in the state of Delaware in November 2005. We are a biotechnology company developing first-in-class antibody product candidates focused on unmet medical needs in inflammation. We develop our product candidates using our proprietary, antibody discovery technology platform, which is designed to replicate,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the natural process of antibody generation. We currently generate revenue from our collaborative research and development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unaudited consolidated financial statements have been prepared pursuant to the rules and regulations of the Securities and Exchange Commission (“SEC”). Certain information and note disclosures normally included in annual financial statements prepared in accordance with U.S. generally accepted accounting principles (“GAAP”) have been omitted. The accompanying unaudited consolidated financial statements include all known adjustments necessary for a fair presentation of the results of interim periods as required by GAAP. These adjustments consist primarily of normal recurring accruals and estimates that impact the carrying value of assets and liabilities. Actual results may materially differ from these estimates. Operating results for the nine months ended September 30, 2016 are not necessarily indicative of the results that may be expected for the year ending December 31, 2016. The financial statements should be read in conjunction with our audited financial statements for the year ended December 31, 2015, included elsewhere in this prospectus.</w:t>
      </w:r>
    </w:p>
    <w:p>
      <w:pPr>
        <w:spacing w:after="0" w:line="16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Since our inception, we have devoted our primary effort to raising capital and research and development activities, and at September 30, 2016, have an accumulated deficit of $50.3 million. Through September 30, 2016, all of our financial support has been provided primarily from the sale of our common and preferred stock, proceeds from the issuance of convertible debt and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unaudited consolidated financial statements do not include any adjustments that might be necessary if we are unable to continue as a going concern.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Prior to the closing of the offering contemplated by this prospectus, we expect all of our convertible preferred stock outstanding to convert into shares of common stock at the then applicable conversion rate. The unaudited pro forma stockholders’ equity is based on the assumed conversion of shares of convertible preferred stock outstanding at September 30,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six months or less to be cash equivalents. Cash equivalents consist primarily of money market and mutual funds with original maturities of 90 days or 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held restricted cash of $60,000 at December 31, 2015 and September 30, 2016, respectively, which we used to secure a letter of credit provided as security for our operating lease for our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2016, we have incurred an aggregate of $3.0 million in direct costs related to our anticipated public offering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costs were deferred and recorded as a long-term asset at September 30, 2016.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60" w:hanging="325"/>
        <w:spacing w:after="0" w:line="258"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right="200" w:hanging="325"/>
        <w:spacing w:after="0" w:line="298" w:lineRule="auto"/>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Research and Development Services</w:t>
      </w:r>
      <w:r>
        <w:rPr>
          <w:rFonts w:ascii="Arial" w:cs="Arial" w:eastAsia="Arial" w:hAnsi="Arial"/>
          <w:sz w:val="16"/>
          <w:szCs w:val="16"/>
          <w:color w:val="auto"/>
        </w:rPr>
        <w:t>. 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Australian Research and Development Tax Incentive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eligible under the Australian Research and Development Tax Incentive Program (the “Tax Incentive”) to obtain a cash refund from the Australian Taxation Office for eligible research and development expenditures. However, we must have revenue of less than AUD $20.0 million during the reimbursable period and cannot be controlled by income tax exempt entities. The Tax Incentive is recognized as a reduction to research and development expense when there is reasonable assurance that the Tax Incentive will be received, the relevant expenditure has been incurred, and the amount can be reliably measured. The Tax Incentive is denominated in Australian dollars and, therefore, the related receivable is remeasured into U.S. dollars as of each reporting date.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$(0.3) million and $84,000 during the nine months ended September 30, 2015 and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6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2016 or the original issuance date, if later.</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(1,893)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6240" w:type="dxa"/>
            <w:vAlign w:val="bottom"/>
          </w:tcPr>
          <w:p>
            <w:pPr>
              <w:ind w:left="360"/>
              <w:spacing w:after="0"/>
              <w:rPr>
                <w:sz w:val="20"/>
                <w:szCs w:val="20"/>
                <w:color w:val="auto"/>
              </w:rPr>
            </w:pPr>
            <w:r>
              <w:rPr>
                <w:rFonts w:ascii="Arial" w:cs="Arial" w:eastAsia="Arial" w:hAnsi="Arial"/>
                <w:sz w:val="18"/>
                <w:szCs w:val="18"/>
                <w:color w:val="auto"/>
              </w:rPr>
              <w:t>Net income (loss) attributed to common stockholders</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(1,893)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Basic weighted-average common shares outstanding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17,694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Stock options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Diluted weighted-average common shares outstanding</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17,694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 per share, basic and 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w w:val="97"/>
              </w:rPr>
              <w:t>Pro forma adjustment to reflect the assumed conversion of convertible preferred</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180"/>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basic weighted-average common shares outstanding</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ind w:left="360"/>
              <w:spacing w:after="0"/>
              <w:rPr>
                <w:sz w:val="20"/>
                <w:szCs w:val="20"/>
                <w:color w:val="auto"/>
              </w:rPr>
            </w:pPr>
            <w:r>
              <w:rPr>
                <w:rFonts w:ascii="Arial" w:cs="Arial" w:eastAsia="Arial" w:hAnsi="Arial"/>
                <w:sz w:val="18"/>
                <w:szCs w:val="18"/>
                <w:color w:val="auto"/>
              </w:rPr>
              <w:t>Pro forma diluted weighted average common shares outstanding</w:t>
            </w: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net income per share, basic and diluted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5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80" w:type="dxa"/>
            <w:vAlign w:val="bottom"/>
            <w:gridSpan w:val="2"/>
            <w:vMerge w:val="continue"/>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Convertible</w:t>
            </w:r>
          </w:p>
        </w:tc>
        <w:tc>
          <w:tcPr>
            <w:tcW w:w="6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53,210</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560" w:type="dxa"/>
            <w:vAlign w:val="bottom"/>
          </w:tcPr>
          <w:p>
            <w:pPr>
              <w:jc w:val="right"/>
              <w:spacing w:after="0"/>
              <w:rPr>
                <w:sz w:val="20"/>
                <w:szCs w:val="20"/>
                <w:color w:val="auto"/>
              </w:rPr>
            </w:pPr>
            <w:r>
              <w:rPr>
                <w:rFonts w:ascii="Arial" w:cs="Arial" w:eastAsia="Arial" w:hAnsi="Arial"/>
                <w:sz w:val="18"/>
                <w:szCs w:val="18"/>
                <w:color w:val="auto"/>
              </w:rPr>
              <w:t>9,468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65,564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addresses eight specific cash flows issues for which it provides specific guidance on treatment within the cash flow statement, with the intent of reducing diversity in practice. As permitted by this ASU, we elected to early adopt the standard beginning with our quarterly reporting period ended September 30, 2016, with retrospective application of the amended guidance. Upon adoption, there was no effect to our consolidated financial statements.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In May 2014, the Financial Accounting Standards Board (the “FASB”) issued Accounting Standards Update (“ASU”) 2014-09,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which outlines a single comprehensive model for entities to use in accounting for revenue from contracts with customers and</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supersedes most current revenue recognition guidance,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have not yet selected a transition method, and we are currently assessing the impact that this standard will have on our consolidated financial statements.</w:t>
      </w:r>
    </w:p>
    <w:p>
      <w:pPr>
        <w:spacing w:after="0" w:line="182"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which intends to enhance the reporting model for financial instruments by providing users of financial instruments with more</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We are currently assessing the impact that this standard will have on our consolidated financial statements.</w:t>
      </w:r>
    </w:p>
    <w:p>
      <w:pPr>
        <w:spacing w:after="0" w:line="17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that lessees recognize a right-of-use asset and a related lease liability arising from leases on the balance sheet. ASU 2016-02 becomes effective for our annual reporting period beginning January 1, 2019, including interim periods thereafter; early adoption is permitted. We are currently assessing the impact that this standard will have on our consolidated financial statements.</w:t>
      </w:r>
    </w:p>
    <w:p>
      <w:pPr>
        <w:spacing w:after="0" w:line="18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color w:val="auto"/>
        </w:rPr>
        <w:t>, which is intended to simplify the accounting for share-based payments including forfeiture rates, expected option terms, intrinsic value,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 they relate to awards, and cash flow presentation. ASU 2016-09 becomes effective for our annual reporting period beginning January 1, 2017, including interim periods thereafter; early adoption is permitted. We are currently assessing the impact that this standard will have on our consolidated financial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Accounts and Supplemental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gridSpan w:val="6"/>
          </w:tcPr>
          <w:p>
            <w:pPr>
              <w:ind w:left="20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0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4,134</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(3,583)</w:t>
            </w: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0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440" w:type="dxa"/>
            <w:vAlign w:val="bottom"/>
            <w:gridSpan w:val="2"/>
            <w:vMerge w:val="continue"/>
          </w:tcPr>
          <w:p>
            <w:pPr>
              <w:spacing w:after="0"/>
              <w:rPr>
                <w:sz w:val="24"/>
                <w:szCs w:val="24"/>
                <w:color w:val="auto"/>
              </w:rPr>
            </w:pP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gridSpan w:val="2"/>
          </w:tcPr>
          <w:p>
            <w:pPr>
              <w:ind w:left="460"/>
              <w:spacing w:after="0"/>
              <w:rPr>
                <w:sz w:val="20"/>
                <w:szCs w:val="20"/>
                <w:color w:val="auto"/>
              </w:rPr>
            </w:pPr>
            <w:r>
              <w:rPr>
                <w:rFonts w:ascii="Arial" w:cs="Arial" w:eastAsia="Arial" w:hAnsi="Arial"/>
                <w:sz w:val="18"/>
                <w:szCs w:val="18"/>
                <w:color w:val="auto"/>
              </w:rPr>
              <w:t>Accrued expenses consist of the following:</w:t>
            </w: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44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24"/>
                <w:szCs w:val="24"/>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544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20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0"/>
              </w:rPr>
              <w:t>Accrued research and contract manufacturing expenses</w:t>
            </w:r>
          </w:p>
        </w:tc>
        <w:tc>
          <w:tcPr>
            <w:tcW w:w="2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2220" w:type="dxa"/>
            <w:vAlign w:val="bottom"/>
            <w:gridSpan w:val="3"/>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3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220" w:type="dxa"/>
            <w:vAlign w:val="bottom"/>
            <w:gridSpan w:val="3"/>
          </w:tcPr>
          <w:p>
            <w:pPr>
              <w:ind w:left="100"/>
              <w:spacing w:after="0"/>
              <w:rPr>
                <w:sz w:val="20"/>
                <w:szCs w:val="20"/>
                <w:color w:val="auto"/>
              </w:rPr>
            </w:pPr>
            <w:r>
              <w:rPr>
                <w:rFonts w:ascii="Arial" w:cs="Arial" w:eastAsia="Arial" w:hAnsi="Arial"/>
                <w:sz w:val="18"/>
                <w:szCs w:val="18"/>
                <w:color w:val="auto"/>
              </w:rPr>
              <w:t>F-33</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Collaborative Research and Development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 In November 2014, we and TESARO entered into an Amendment No. 1 to the Agreement to add an antibody discovery program against an undisclosed fourth target for an upfront license fee of $2.0 million.</w:t>
      </w:r>
    </w:p>
    <w:p>
      <w:pPr>
        <w:spacing w:after="0" w:line="17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 xml:space="preserve">During the year ended December 31, 2015, we achieved two $1.0 million milestones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(GLPs), for an AnaptysBio-generated anti-PD-1 antagonist antibody (TSR-042) and an AnaptysBio-generated anti-TIM-3 antagonist antibody (TSR-022), each being advanced by TESARO, for which we recognized revenue of $1.7 million. The remaining unrecognized milestone payments of $0.3 million at December 31, 2015 will be recognized ratably through December 2016, for which $0.2 million was recognized during the nine months ended September 30, 2016.</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January 2016, TESARO received clearance of their IND from the FDA for an AnaptysBio-generated anti-PD-1 antagonist antibody (TSR-042)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February 2016.</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May 2016, TESARO received clearance of their IND from the FDA for an AnaptysBio-generated anti-TIM-3 antagonist antibody (TSR-022) resulting in us earning a $4.0 million milestone payment. We recognized $3.6 million of the $4.0 million milestone payment as revenue during the nine months ended September 30, 2016. The remaining unrecognized milestone payment of $0.4 million at September 30, 2016 will be recognized ratably through December 31, 2016. The $4.0 million milestone payment was received in June 2016.</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In September 2016, we achieved a $1.0 million milestone upon initiation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GLPs, for an AnaptysBio-generated anti-LAG-3 antagonist antibody (TSR-033), being advanced by TESARO, for which we recognized revenue of approximately $0.9 million. The remaining unrecognized milestone payment of $0.1 million at September 30, 2016 will be recognized ratably through December 2016. The $1.0 million milestone payment was received in September 2016.</w:t>
      </w:r>
    </w:p>
    <w:p>
      <w:pPr>
        <w:spacing w:after="0" w:line="18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Revenue from future contingent milestone payments will be recognized if and when such payments become due, subject to satisfaction of all of the criteria necessary to recognize revenue at that time.</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Revenue recognized under this agreement aggregated $13.5 million during the nine months ended September 30, 2015, which primarily includes $8.2 million for the amortization of the upfront fee and $5.3 million in funding for research and development services. Revenue recognized under this agreement aggregated $13.4 million during the nine months ended September 30, 2016, which includes $8.4 million related to five milestones for which we are recognizing revenue pro rata over the collaboration term, $3.0 million in funding for research and development services, and $2.0 million for the amortization of the upfront fee, of which $0.9 million was receivable at September 30, 2016. Deferred revenue under this agreement totaled $1.5 million at September 30, 2016.</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Generation Agreement with Celgene Corporation</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agreement provided for an upfront payment of $6.0 million from Celgene, which we received in 2011 and recognized through 2014, milestone payments of up to $53.0 million per target, low single-digit royalties on net sales of antibodies against each target, and reimbursement of specified research and development costs.</w:t>
      </w:r>
    </w:p>
    <w:p>
      <w:pPr>
        <w:spacing w:after="0" w:line="18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 xml:space="preserve">In June 2016, Celgene successfully completed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study using good laboratory practices for an AnaptysBio-generated antibody resulting in us earning a $0.5 million milestone payment in June 2016, which we recognized in full as revenue in June 2016. The $0.5 million milestone payment was received in June 2016.</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dose PK/toxicology studies on at least two development programs and the Term C Loans for an aggregate of $5.0 million are available for draw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jc w:val="both"/>
        <w:ind w:right="2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became available for draw on July 1, 2016 which was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occurred in the first quarter of 2016) and (ii) July 1, 2016. The draw period will end upon the earlier of</w:t>
      </w:r>
    </w:p>
    <w:p>
      <w:pPr>
        <w:spacing w:after="0" w:line="2" w:lineRule="exact"/>
        <w:rPr>
          <w:sz w:val="20"/>
          <w:szCs w:val="20"/>
          <w:color w:val="auto"/>
        </w:rPr>
      </w:pPr>
    </w:p>
    <w:p>
      <w:pPr>
        <w:ind w:firstLine="8"/>
        <w:spacing w:after="0" w:line="254" w:lineRule="auto"/>
        <w:tabs>
          <w:tab w:leader="none" w:pos="21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event of default as defined in the LSA Agreement and (ii) December 31, 2016. If the Term B Loans and Term C Loans are issued, they will bear interest at the greater of 6.95% or the 3-month LIBOR plus 6.72%, with principal payments beginning February 1, 2017 and with final maturity in January 2019. At September 30, 2016, the Term A Loans are due in 4 monthly interest-only payments through January 2017, followed by 24 equal monthly principal and interest payments, with final maturity in January 2019.</w:t>
      </w:r>
    </w:p>
    <w:p>
      <w:pPr>
        <w:spacing w:after="0" w:line="1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September 30, 2016, the carrying amount of the Term A Loans was $5.0 million, which is net of discounts of $17,000, of which $1.6 million is classified as current liabilities, and $3.4 million is classified as noncurrent liabilities at September 30, 2016. The effective interest rate on the Term A Loans at September 30, 2016 was 9.29%. As of September 30, 2016, future principal maturities of the Term A Loans were $2.2 million, $2.6 million and $0.2 million in 2017, 2018 and 2019, respectively.</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September 30, 2016, we were in compliance with the covenants contained in the Loan and Security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6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7"/>
              </w:rPr>
              <w:t>Quoted Market</w:t>
            </w:r>
          </w:p>
        </w:tc>
        <w:tc>
          <w:tcPr>
            <w:tcW w:w="32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Other</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Prices for</w:t>
            </w:r>
          </w:p>
        </w:tc>
        <w:tc>
          <w:tcPr>
            <w:tcW w:w="3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6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3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780" w:type="dxa"/>
            <w:vAlign w:val="bottom"/>
            <w:gridSpan w:val="4"/>
            <w:vMerge w:val="continue"/>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5"/>
              <w:spacing w:after="0"/>
              <w:rPr>
                <w:sz w:val="20"/>
                <w:szCs w:val="20"/>
                <w:color w:val="auto"/>
              </w:rPr>
            </w:pPr>
            <w:r>
              <w:rPr>
                <w:rFonts w:ascii="Arial" w:cs="Arial" w:eastAsia="Arial" w:hAnsi="Arial"/>
                <w:sz w:val="14"/>
                <w:szCs w:val="14"/>
                <w:b w:val="1"/>
                <w:bCs w:val="1"/>
                <w:color w:val="auto"/>
                <w:w w:val="94"/>
              </w:rPr>
              <w:t>(Level 2)</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2015</w:t>
            </w:r>
          </w:p>
        </w:tc>
        <w:tc>
          <w:tcPr>
            <w:tcW w:w="20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6,755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6,755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44,077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44,077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8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At September 30, 2016</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31,872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31,872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(2)</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13,139</w:t>
            </w:r>
          </w:p>
        </w:tc>
        <w:tc>
          <w:tcPr>
            <w:tcW w:w="1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13,139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Preferred stock warrant liabilities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5"/>
          <w:szCs w:val="15"/>
          <w:color w:val="auto"/>
        </w:rPr>
      </w:pPr>
      <w:r>
        <w:rPr>
          <w:rFonts w:ascii="Arial" w:cs="Arial" w:eastAsia="Arial" w:hAnsi="Arial"/>
          <w:sz w:val="18"/>
          <w:szCs w:val="18"/>
          <w:color w:val="auto"/>
        </w:rPr>
        <w:t>Included in cash and cash equivalents, and restricted cash in the accompanying balance sheets.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129"/>
        </w:numPr>
        <w:rPr>
          <w:rFonts w:ascii="Arial" w:cs="Arial" w:eastAsia="Arial" w:hAnsi="Arial"/>
          <w:sz w:val="15"/>
          <w:szCs w:val="15"/>
          <w:color w:val="auto"/>
        </w:rPr>
      </w:pPr>
      <w:r>
        <w:rPr>
          <w:rFonts w:ascii="Arial" w:cs="Arial" w:eastAsia="Arial" w:hAnsi="Arial"/>
          <w:sz w:val="18"/>
          <w:szCs w:val="18"/>
          <w:color w:val="auto"/>
        </w:rPr>
        <w:t>Included in cash and cash equivalents in the accompanying balance sheets.</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option-pricing model:</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6"/>
              </w:rPr>
              <w:t>September 30,</w:t>
            </w:r>
          </w:p>
        </w:tc>
      </w:tr>
      <w:tr>
        <w:trPr>
          <w:trHeight w:val="171"/>
        </w:trPr>
        <w:tc>
          <w:tcPr>
            <w:tcW w:w="52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Exercise price</w:t>
            </w:r>
          </w:p>
        </w:tc>
        <w:tc>
          <w:tcPr>
            <w:tcW w:w="1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8"/>
                <w:szCs w:val="18"/>
                <w:color w:val="auto"/>
              </w:rPr>
            </w:pP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0.65</w:t>
            </w:r>
          </w:p>
        </w:tc>
        <w:tc>
          <w:tcPr>
            <w:tcW w:w="2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Volatility</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92.4%</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3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2015 and September 30, 2016 would each result in increases in the estimated fair values of the preferred stock warrant liabilities of $0.2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00"/>
          </w:cols>
          <w:pgMar w:left="240" w:top="460" w:right="3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in liabilities measured at fair value on a recurring basis using significant unobservable inputs (Level 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0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Beginning balance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Unrealized net (losses) income included in other income (expense), net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(1,528)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8"/>
                <w:szCs w:val="18"/>
                <w:color w:val="auto"/>
              </w:rPr>
              <w:t>Reclassification of warrant liabilities to equity</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Ending balance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(1,800)</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our financial instruments estimated as of December 31, 2015 and September 30, 2016 are presented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82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Pr>
          <w:p>
            <w:pPr>
              <w:spacing w:after="0"/>
              <w:rPr>
                <w:sz w:val="14"/>
                <w:szCs w:val="14"/>
                <w:color w:val="auto"/>
              </w:rPr>
            </w:pPr>
          </w:p>
        </w:tc>
        <w:tc>
          <w:tcPr>
            <w:tcW w:w="166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30, 2016</w:t>
            </w:r>
          </w:p>
        </w:tc>
      </w:tr>
      <w:tr>
        <w:trPr>
          <w:trHeight w:val="119"/>
        </w:trPr>
        <w:tc>
          <w:tcPr>
            <w:tcW w:w="678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78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0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$ 4,903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$4,686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$ 4,983</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$4,752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Australian tax incentive receivable, accounts payable, and accrued expenses approximate fair value due to their short-term nature.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methods and assumptions were used to estimate the fair value of our financial instruments for which it is practicable to estimate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Notes Payable</w:t>
      </w:r>
      <w:r>
        <w:rPr>
          <w:rFonts w:ascii="Arial" w:cs="Arial" w:eastAsia="Arial" w:hAnsi="Arial"/>
          <w:sz w:val="18"/>
          <w:szCs w:val="18"/>
          <w:color w:val="auto"/>
        </w:rPr>
        <w:t>—We use the income approach to value the aforementioned debt instrument. We use a present value calculation to discount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payments and the final maturity payment on these liabilities using a discounted cash flow model based on observable inputs. We discount these debt instruments based on what the current market rates would offer us as of the reporting date. Based on the assumptions used to value these liabilities at fair value, these debt instruments are categorized as Level 2 in the fair value hierarchy.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Common Stock</w:t>
      </w:r>
    </w:p>
    <w:p>
      <w:pPr>
        <w:spacing w:after="0" w:line="11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Certain stock option grants under our 2006 Equity Incentive Plan (the “Plan”) are subject to an early exercise provision. Shares of common stock obtained upon early exercise of unvested options are subject to repurchase by us at the applicable original issue price. During the nine months ended September 30, 2016, we repurchased 10,199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Incentive Plan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As of September 30, 2016, awards for up to 16,590,910 shares of common stock are reserved for issuance under the Plan, of which 12,997,698 are reserved for issuance upon exercise of granted and outstanding options and 3,593,212 shares are available for future grants.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i w:val="1"/>
          <w:iCs w:val="1"/>
          <w:color w:val="auto"/>
        </w:rPr>
        <w:t>tock Options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us. A summary of the activity related to stock option awards during the nine months ended September 30, 2016 is as follows: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89"/>
              </w:rPr>
              <w:t>Shares</w:t>
            </w:r>
          </w:p>
        </w:tc>
        <w:tc>
          <w:tcPr>
            <w:tcW w:w="11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18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2"/>
                <w:szCs w:val="12"/>
                <w:color w:val="auto"/>
              </w:rPr>
            </w:pP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10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thousands)</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14,351,840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1,952,425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0.85</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(73,868)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0.22</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(3,232,699)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0.67</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and exercisable at September 30,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12,997,698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0.59</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September 30, 2016</w:t>
            </w:r>
          </w:p>
        </w:tc>
        <w:tc>
          <w:tcPr>
            <w:tcW w:w="140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0.58</w:t>
            </w: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7.29</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vMerge w:val="restart"/>
          </w:tcPr>
          <w:p>
            <w:pPr>
              <w:ind w:left="14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line="20" w:lineRule="exact"/>
              <w:rPr>
                <w:sz w:val="1"/>
                <w:szCs w:val="1"/>
                <w:color w:val="auto"/>
              </w:rPr>
            </w:pPr>
          </w:p>
        </w:tc>
      </w:tr>
      <w:tr>
        <w:trPr>
          <w:trHeight w:val="211"/>
        </w:trPr>
        <w:tc>
          <w:tcPr>
            <w:tcW w:w="586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12,242,807</w:t>
            </w:r>
          </w:p>
        </w:tc>
        <w:tc>
          <w:tcPr>
            <w:tcW w:w="5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approximately $16,000 during the nine months ended September 30, 2016.</w:t>
      </w:r>
    </w:p>
    <w:p>
      <w:pPr>
        <w:spacing w:after="0" w:line="22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estimated fair values of stock option awards granted to employees were determined on the date of grant using the Black-Scholes option valuation model with the following weighted average assumptions:</w:t>
      </w:r>
    </w:p>
    <w:p>
      <w:pPr>
        <w:spacing w:after="0" w:line="189"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Nine Months Ended</w:t>
      </w:r>
    </w:p>
    <w:p>
      <w:pPr>
        <w:jc w:val="center"/>
        <w:ind w:left="66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514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Expected volatility</w:t>
            </w:r>
          </w:p>
        </w:tc>
        <w:tc>
          <w:tcPr>
            <w:tcW w:w="2560" w:type="dxa"/>
            <w:vAlign w:val="bottom"/>
            <w:gridSpan w:val="3"/>
          </w:tcPr>
          <w:p>
            <w:pPr>
              <w:jc w:val="right"/>
              <w:ind w:right="280"/>
              <w:spacing w:after="0"/>
              <w:rPr>
                <w:sz w:val="20"/>
                <w:szCs w:val="20"/>
                <w:color w:val="auto"/>
              </w:rPr>
            </w:pPr>
            <w:r>
              <w:rPr>
                <w:rFonts w:ascii="Arial" w:cs="Arial" w:eastAsia="Arial" w:hAnsi="Arial"/>
                <w:sz w:val="18"/>
                <w:szCs w:val="18"/>
                <w:color w:val="auto"/>
              </w:rPr>
              <w:t>71.1%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69.2%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$ 0.61</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$ 0.52</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00"/>
          </w:cols>
          <w:pgMar w:left="240" w:top="460" w:right="3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non-cash stock-based compensation expense for all stock awards that was recognized in the consolidated statements of operations is as follows: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2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2015</w:t>
            </w: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25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At September 30, 2016, there was $2.8 million of unrecognized compensation cost related to unvested stock option awards, which is expected to be recognized over a remaining weighted average vesting period of 2.8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Australian subsidiary, which conducts core research and development activities on our behalf, is eligible to receive a 45% refundable tax incentive for qualified research and development activities. For the nine months ended September 30, 2016, $6.2 million was recorded as a reduction to research and development expenses in the consolidated statements of operations, of which $3.0 million related to fiscal 2015. We received the $3.0 million in cash during the nine months ended September 30, 2016. In September 2016, we determined that we would meet the criteria for eligibility for fiscal 2016, therefore we recorded a reduction to research and development expenses of $3.2 million equal to 45% of our eligible expenditures for the nine-month period ended September 30, 2016, as collectability was considered reasonably assured.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November 10, 2016, the date at which the consolidated financial statements were issued.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40"/>
          </w:cols>
          <w:pgMar w:left="240" w:top="459" w:right="3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85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74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340360</wp:posOffset>
            </wp:positionV>
            <wp:extent cx="2118360" cy="5918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1836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2959"/>
        <w:spacing w:after="0"/>
        <w:rPr>
          <w:sz w:val="20"/>
          <w:szCs w:val="20"/>
          <w:color w:val="auto"/>
        </w:rPr>
      </w:pPr>
      <w:r>
        <w:rPr>
          <w:rFonts w:ascii="Arial" w:cs="Arial" w:eastAsia="Arial" w:hAnsi="Arial"/>
          <w:sz w:val="43"/>
          <w:szCs w:val="43"/>
          <w:b w:val="1"/>
          <w:bCs w:val="1"/>
          <w:color w:val="auto"/>
        </w:rPr>
        <w:t>AnaptysBio, Inc.</w:t>
      </w:r>
    </w:p>
    <w:p>
      <w:pPr>
        <w:spacing w:after="0" w:line="200" w:lineRule="exact"/>
        <w:rPr>
          <w:sz w:val="20"/>
          <w:szCs w:val="20"/>
          <w:color w:val="auto"/>
        </w:rPr>
      </w:pPr>
    </w:p>
    <w:p>
      <w:pPr>
        <w:spacing w:after="0" w:line="258"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381000</wp:posOffset>
            </wp:positionV>
            <wp:extent cx="15176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280"/>
        <w:spacing w:after="0"/>
        <w:rPr>
          <w:sz w:val="20"/>
          <w:szCs w:val="20"/>
          <w:color w:val="auto"/>
        </w:rPr>
      </w:pPr>
      <w:r>
        <w:rPr>
          <w:rFonts w:ascii="Arial" w:cs="Arial" w:eastAsia="Arial" w:hAnsi="Arial"/>
          <w:sz w:val="21"/>
          <w:szCs w:val="2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112"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Stifel</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JMP Securities</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Amount</w:t>
            </w:r>
          </w:p>
        </w:tc>
      </w:tr>
      <w:tr>
        <w:trPr>
          <w:trHeight w:val="149"/>
        </w:trPr>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Paid or</w:t>
            </w:r>
          </w:p>
        </w:tc>
      </w:tr>
      <w:tr>
        <w:trPr>
          <w:trHeight w:val="171"/>
        </w:trPr>
        <w:tc>
          <w:tcPr>
            <w:tcW w:w="704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to be Paid</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13,438</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To be completed by amendment.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900" w:right="24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60" w:right="2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40" w:hanging="325"/>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62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c>
          <w:tcPr>
            <w:tcW w:w="1140" w:type="dxa"/>
            <w:vAlign w:val="bottom"/>
            <w:gridSpan w:val="3"/>
          </w:tcPr>
          <w:p>
            <w:pPr>
              <w:ind w:left="5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52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9"/>
              </w:rPr>
              <w:t>Form of Restated Certificate of Incorporation to be effective upon the closing of this</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offering.</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Restated Bylaws to be effective upon the closing of this offering.</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20" w:type="dxa"/>
            <w:vAlign w:val="bottom"/>
            <w:gridSpan w:val="2"/>
          </w:tcPr>
          <w:p>
            <w:pPr>
              <w:spacing w:after="0" w:line="201" w:lineRule="exact"/>
              <w:rPr>
                <w:sz w:val="20"/>
                <w:szCs w:val="20"/>
                <w:color w:val="auto"/>
              </w:rPr>
            </w:pPr>
            <w:r>
              <w:rPr>
                <w:rFonts w:ascii="Arial" w:cs="Arial" w:eastAsia="Arial" w:hAnsi="Arial"/>
                <w:sz w:val="18"/>
                <w:szCs w:val="18"/>
                <w:color w:val="auto"/>
                <w:w w:val="98"/>
              </w:rPr>
              <w:t>Amended and Restated Investors’ Rights Agreement dated July 13, 2015 among the</w:t>
            </w: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ind w:left="180"/>
              <w:spacing w:after="0"/>
              <w:rPr>
                <w:sz w:val="20"/>
                <w:szCs w:val="20"/>
                <w:color w:val="auto"/>
              </w:rPr>
            </w:pPr>
            <w:r>
              <w:rPr>
                <w:rFonts w:ascii="Arial" w:cs="Arial" w:eastAsia="Arial" w:hAnsi="Arial"/>
                <w:sz w:val="18"/>
                <w:szCs w:val="18"/>
                <w:color w:val="auto"/>
              </w:rPr>
              <w:t>Registrant and certain of its stockholders, as amended.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Indemnification Agreement.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Between December 23, 2013 and December 23, 2016, the Registrant granted options to purchase 11,591,916 shares of common stock under its 2006 Equity Incentive Plan to its directors, officers, employees, consultants, and other service providers with per share exercise prices ranging from $0.10 to $1.60. In this same period, the Registrant issued 1,201,273 shares of common stock upon exercise of stock options previously issued under the 2006 Equity Incentive Plan to its directors, officers, employees, consultants, and other service providers for cash consideration in the aggregate amount of $190,786.78. 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Warrants to Purchase Preferred Stock</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December 2014, the Registrant issued warrants to accredited investors to purchase an aggregate of 288,462 shares of the Registrant’s Series C convertible preferred stock. The preferred stock warrants have a per share exercise price of $0.65. The securities issued in this transaction were exempt from the registration requirements of the Securities Act in reliance upon Section 4(2) under the Securities Act.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Sales of Preferred Stock</w:t>
      </w:r>
    </w:p>
    <w:p>
      <w:pPr>
        <w:spacing w:after="0" w:line="117" w:lineRule="exact"/>
        <w:rPr>
          <w:sz w:val="20"/>
          <w:szCs w:val="20"/>
          <w:color w:val="auto"/>
        </w:rPr>
      </w:pPr>
    </w:p>
    <w:p>
      <w:pPr>
        <w:ind w:firstLine="464"/>
        <w:spacing w:after="0" w:line="259" w:lineRule="auto"/>
        <w:tabs>
          <w:tab w:leader="none" w:pos="6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April 2014, the Registrant issued an aggregate of 3,318,054 shares of the Registrant’s Series C-1 convertible preferred stock at a purchase price of $0.65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78" w:lineRule="exact"/>
        <w:rPr>
          <w:rFonts w:ascii="Arial" w:cs="Arial" w:eastAsia="Arial" w:hAnsi="Arial"/>
          <w:sz w:val="18"/>
          <w:szCs w:val="18"/>
          <w:color w:val="auto"/>
        </w:rPr>
      </w:pPr>
    </w:p>
    <w:p>
      <w:pPr>
        <w:jc w:val="both"/>
        <w:ind w:firstLine="464"/>
        <w:spacing w:after="0" w:line="259" w:lineRule="auto"/>
        <w:tabs>
          <w:tab w:leader="none" w:pos="63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July 2015, the Registrant issued an aggregate of 38,436,851 shares of the Registrant’s Series D convertible preferred stock at a purchase price of $1.06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immediately following signature page.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 notes.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60"/>
          </w:cols>
          <w:pgMar w:left="240" w:top="460" w:right="29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right="120" w:firstLine="464"/>
        <w:spacing w:after="0" w:line="264" w:lineRule="auto"/>
        <w:tabs>
          <w:tab w:leader="none" w:pos="7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3" w:lineRule="exact"/>
        <w:rPr>
          <w:rFonts w:ascii="Arial" w:cs="Arial" w:eastAsia="Arial" w:hAnsi="Arial"/>
          <w:sz w:val="18"/>
          <w:szCs w:val="18"/>
          <w:color w:val="auto"/>
        </w:rPr>
      </w:pPr>
    </w:p>
    <w:p>
      <w:pPr>
        <w:ind w:right="240" w:firstLine="464"/>
        <w:spacing w:after="0" w:line="264" w:lineRule="auto"/>
        <w:tabs>
          <w:tab w:leader="none" w:pos="71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amendment to the registration statement on Form S-1 to be signed on its behalf by the undersigned, thereunto duly authorized, in San Diego, California, on the 28th day of December, 2016.</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62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3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3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8"/>
                <w:szCs w:val="18"/>
                <w:color w:val="auto"/>
                <w:w w:val="90"/>
              </w:rPr>
              <w:t>/s/ Hamza Suria</w:t>
            </w:r>
          </w:p>
        </w:tc>
        <w:tc>
          <w:tcPr>
            <w:tcW w:w="300" w:type="dxa"/>
            <w:vAlign w:val="bottom"/>
          </w:tcPr>
          <w:p>
            <w:pPr>
              <w:spacing w:after="0"/>
              <w:rPr>
                <w:sz w:val="24"/>
                <w:szCs w:val="24"/>
                <w:color w:val="auto"/>
              </w:rPr>
            </w:pPr>
          </w:p>
        </w:tc>
        <w:tc>
          <w:tcPr>
            <w:tcW w:w="482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President, Chief Executive Officer and Director</w:t>
            </w:r>
          </w:p>
        </w:tc>
        <w:tc>
          <w:tcPr>
            <w:tcW w:w="18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December 28,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Hamza Suria</w:t>
            </w:r>
          </w:p>
        </w:tc>
        <w:tc>
          <w:tcPr>
            <w:tcW w:w="300" w:type="dxa"/>
            <w:vAlign w:val="bottom"/>
          </w:tcPr>
          <w:p>
            <w:pPr>
              <w:spacing w:after="0"/>
              <w:rPr>
                <w:sz w:val="19"/>
                <w:szCs w:val="19"/>
                <w:color w:val="auto"/>
              </w:rPr>
            </w:pPr>
          </w:p>
        </w:tc>
        <w:tc>
          <w:tcPr>
            <w:tcW w:w="482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(Principal Executive, Financial and Accounting Officer)</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December 28,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60"/>
              <w:spacing w:after="0"/>
              <w:rPr>
                <w:sz w:val="20"/>
                <w:szCs w:val="20"/>
                <w:color w:val="auto"/>
              </w:rPr>
            </w:pPr>
            <w:r>
              <w:rPr>
                <w:rFonts w:ascii="Arial" w:cs="Arial" w:eastAsia="Arial" w:hAnsi="Arial"/>
                <w:sz w:val="18"/>
                <w:szCs w:val="18"/>
                <w:color w:val="auto"/>
                <w:w w:val="91"/>
              </w:rPr>
              <w:t>Tiba Aynechi, Ph.D.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December 28,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91"/>
              </w:rPr>
              <w:t>Carol G. Gallagher, Pharm.D.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December 28,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92"/>
              </w:rPr>
              <w:t>Nicholas B. Lydon, Ph.D., FRS</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December 28,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94"/>
              </w:rPr>
              <w:t>Hollings Renton</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December 28,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88"/>
              </w:rPr>
              <w:t>John Schmid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December 28,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87"/>
              </w:rPr>
              <w:t>James A. Schoeneck</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1"/>
        </w:trPr>
        <w:tc>
          <w:tcPr>
            <w:tcW w:w="2440" w:type="dxa"/>
            <w:vAlign w:val="bottom"/>
            <w:tcBorders>
              <w:bottom w:val="single" w:sz="8" w:color="auto"/>
            </w:tcBorders>
            <w:gridSpan w:val="3"/>
          </w:tcPr>
          <w:p>
            <w:pPr>
              <w:jc w:val="center"/>
              <w:ind w:left="175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352"/>
              <w:spacing w:after="0"/>
              <w:rPr>
                <w:sz w:val="20"/>
                <w:szCs w:val="20"/>
                <w:color w:val="auto"/>
              </w:rPr>
            </w:pPr>
            <w:r>
              <w:rPr>
                <w:rFonts w:ascii="Arial" w:cs="Arial" w:eastAsia="Arial" w:hAnsi="Arial"/>
                <w:sz w:val="18"/>
                <w:szCs w:val="18"/>
                <w:color w:val="auto"/>
                <w:w w:val="89"/>
              </w:rPr>
              <w:t>December 28, 2016</w:t>
            </w:r>
          </w:p>
        </w:tc>
      </w:tr>
      <w:tr>
        <w:trPr>
          <w:trHeight w:val="224"/>
        </w:trPr>
        <w:tc>
          <w:tcPr>
            <w:tcW w:w="380" w:type="dxa"/>
            <w:vAlign w:val="bottom"/>
          </w:tcPr>
          <w:p>
            <w:pPr>
              <w:spacing w:after="0"/>
              <w:rPr>
                <w:sz w:val="19"/>
                <w:szCs w:val="19"/>
                <w:color w:val="auto"/>
              </w:rPr>
            </w:pPr>
          </w:p>
        </w:tc>
        <w:tc>
          <w:tcPr>
            <w:tcW w:w="390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James N. Topper, M.D., Ph.D.</w:t>
            </w:r>
          </w:p>
        </w:tc>
        <w:tc>
          <w:tcPr>
            <w:tcW w:w="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58"/>
        </w:trPr>
        <w:tc>
          <w:tcPr>
            <w:tcW w:w="4280" w:type="dxa"/>
            <w:vAlign w:val="bottom"/>
            <w:gridSpan w:val="4"/>
          </w:tcPr>
          <w:p>
            <w:pPr>
              <w:spacing w:after="0"/>
              <w:rPr>
                <w:sz w:val="20"/>
                <w:szCs w:val="20"/>
                <w:color w:val="auto"/>
              </w:rPr>
            </w:pPr>
            <w:r>
              <w:rPr>
                <w:rFonts w:ascii="Arial" w:cs="Arial" w:eastAsia="Arial" w:hAnsi="Arial"/>
                <w:sz w:val="18"/>
                <w:szCs w:val="18"/>
                <w:color w:val="auto"/>
              </w:rPr>
              <w:t>*  Pursuant to Power of Attorney</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2"/>
        </w:trPr>
        <w:tc>
          <w:tcPr>
            <w:tcW w:w="4280" w:type="dxa"/>
            <w:vAlign w:val="bottom"/>
            <w:gridSpan w:val="4"/>
          </w:tcPr>
          <w:p>
            <w:pPr>
              <w:spacing w:after="0"/>
              <w:rPr>
                <w:sz w:val="20"/>
                <w:szCs w:val="20"/>
                <w:color w:val="auto"/>
              </w:rPr>
            </w:pPr>
            <w:r>
              <w:rPr>
                <w:rFonts w:ascii="Arial" w:cs="Arial" w:eastAsia="Arial" w:hAnsi="Arial"/>
                <w:sz w:val="18"/>
                <w:szCs w:val="18"/>
                <w:color w:val="auto"/>
              </w:rPr>
              <w:t>By:  /s/ Hamza Suria</w:t>
            </w:r>
          </w:p>
        </w:tc>
        <w:tc>
          <w:tcPr>
            <w:tcW w:w="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09"/>
        </w:trPr>
        <w:tc>
          <w:tcPr>
            <w:tcW w:w="380" w:type="dxa"/>
            <w:vAlign w:val="bottom"/>
          </w:tcPr>
          <w:p>
            <w:pPr>
              <w:spacing w:after="0"/>
              <w:rPr>
                <w:sz w:val="18"/>
                <w:szCs w:val="18"/>
                <w:color w:val="auto"/>
              </w:rPr>
            </w:pPr>
          </w:p>
        </w:tc>
        <w:tc>
          <w:tcPr>
            <w:tcW w:w="3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Hamza Suria</w:t>
            </w:r>
          </w:p>
        </w:tc>
        <w:tc>
          <w:tcPr>
            <w:tcW w:w="30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Attorney-in-fact</w:t>
            </w:r>
          </w:p>
        </w:tc>
        <w:tc>
          <w:tcPr>
            <w:tcW w:w="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365"/>
        </w:trPr>
        <w:tc>
          <w:tcPr>
            <w:tcW w:w="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20" w:type="dxa"/>
            <w:vAlign w:val="bottom"/>
            <w:gridSpan w:val="3"/>
          </w:tcPr>
          <w:p>
            <w:pPr>
              <w:ind w:left="1000"/>
              <w:spacing w:after="0"/>
              <w:rPr>
                <w:sz w:val="20"/>
                <w:szCs w:val="20"/>
                <w:color w:val="auto"/>
              </w:rPr>
            </w:pPr>
            <w:r>
              <w:rPr>
                <w:rFonts w:ascii="Arial" w:cs="Arial" w:eastAsia="Arial" w:hAnsi="Arial"/>
                <w:sz w:val="18"/>
                <w:szCs w:val="18"/>
                <w:color w:val="auto"/>
              </w:rPr>
              <w:t>II-5</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260"/>
          </w:cols>
          <w:pgMar w:left="240" w:top="460" w:right="39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414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60" w:type="dxa"/>
            <w:vAlign w:val="bottom"/>
          </w:tcPr>
          <w:p>
            <w:pPr>
              <w:spacing w:after="0"/>
              <w:rPr>
                <w:sz w:val="24"/>
                <w:szCs w:val="2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Exhibit</w:t>
            </w: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85"/>
        </w:trPr>
        <w:tc>
          <w:tcPr>
            <w:tcW w:w="8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4640" w:type="dxa"/>
            <w:vAlign w:val="bottom"/>
          </w:tcPr>
          <w:p>
            <w:pPr>
              <w:spacing w:after="0"/>
              <w:rPr>
                <w:sz w:val="16"/>
                <w:szCs w:val="16"/>
                <w:color w:val="auto"/>
              </w:rPr>
            </w:pPr>
          </w:p>
        </w:tc>
        <w:tc>
          <w:tcPr>
            <w:tcW w:w="590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1.1†</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24"/>
        </w:trPr>
        <w:tc>
          <w:tcPr>
            <w:tcW w:w="6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3.1†</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Amended and Restated Certificate of Incorporation, as amended to date, as currently in effect.</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Bylaws, as currently in effect.</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Restated Bylaws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Common Stock Certificate.</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0"/>
              </w:rPr>
              <w:t>Fourth Amended and Restated Investors’ Rights Agreement, dated July 13, 2015, by and among the Registrant and certain of its stockholders.</w:t>
            </w:r>
          </w:p>
        </w:tc>
      </w:tr>
      <w:tr>
        <w:trPr>
          <w:trHeight w:val="324"/>
        </w:trPr>
        <w:tc>
          <w:tcPr>
            <w:tcW w:w="60" w:type="dxa"/>
            <w:vAlign w:val="bottom"/>
          </w:tcPr>
          <w:p>
            <w:pPr>
              <w:spacing w:after="0"/>
              <w:rPr>
                <w:sz w:val="24"/>
                <w:szCs w:val="2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5.1†</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Opinion of Fenwick &amp; West LLP.</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10.2†</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2006 Equity Incentive Plan, as amended, and forms of award agreements.</w:t>
            </w:r>
          </w:p>
        </w:tc>
      </w:tr>
      <w:tr>
        <w:trPr>
          <w:trHeight w:val="324"/>
        </w:trPr>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10.3†</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1"/>
              </w:rPr>
              <w:t>2016 Equity Incentive Plan, to become effective on the date the registration statement is declared effective, and forms of award agreements.</w:t>
            </w:r>
          </w:p>
        </w:tc>
      </w:tr>
      <w:tr>
        <w:trPr>
          <w:trHeight w:val="310"/>
        </w:trPr>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10.4†</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3"/>
              </w:rPr>
              <w:t>2016 Employee Stock Purchase Plan, to become effective on the date the registration statement is declared effective, and forms of award</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agreements.</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10.5*</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Employment Agreement, effective as of January 1, 2012, by and between the Registrant and Hamza Suria, as amended.</w:t>
            </w:r>
          </w:p>
        </w:tc>
      </w:tr>
      <w:tr>
        <w:trPr>
          <w:trHeight w:val="324"/>
        </w:trPr>
        <w:tc>
          <w:tcPr>
            <w:tcW w:w="560" w:type="dxa"/>
            <w:vAlign w:val="bottom"/>
            <w:gridSpan w:val="2"/>
          </w:tcPr>
          <w:p>
            <w:pPr>
              <w:jc w:val="right"/>
              <w:ind w:right="154"/>
              <w:spacing w:after="0"/>
              <w:rPr>
                <w:sz w:val="20"/>
                <w:szCs w:val="20"/>
                <w:color w:val="auto"/>
              </w:rPr>
            </w:pPr>
            <w:r>
              <w:rPr>
                <w:rFonts w:ascii="Arial" w:cs="Arial" w:eastAsia="Arial" w:hAnsi="Arial"/>
                <w:sz w:val="18"/>
                <w:szCs w:val="18"/>
                <w:color w:val="auto"/>
                <w:w w:val="85"/>
              </w:rPr>
              <w:t>10.6</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Employment Agreement, effective as of March 22, 2016, by and between the Registrant and Matthew Moyle.</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10.7*</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Employment Agreement, effective as of October 20, 2014, by and between the Registrant and Marco Londei.</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10.8*</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Office Lease, dated April 19, 2011, by and between the Registrant and Kilroy Realty, L.P., as 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87"/>
              </w:rPr>
              <w:t>10.9+</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8"/>
              </w:rPr>
              <w:t>Antibody Generation Agreement, dated December 22, 2011, by and between the Registrant and Celgene Corporation, as modified.</w:t>
            </w:r>
          </w:p>
        </w:tc>
      </w:tr>
      <w:tr>
        <w:trPr>
          <w:trHeight w:val="310"/>
        </w:trPr>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10.10*+</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7"/>
              </w:rPr>
              <w:t>Collaboration and Exclusive License Agreement, dated March 10, 2014, by and among the Registrant, TESARO, Inc. and TESARO</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Development, Ltd., as amended.</w:t>
            </w:r>
          </w:p>
        </w:tc>
      </w:tr>
      <w:tr>
        <w:trPr>
          <w:trHeight w:val="324"/>
        </w:trPr>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10.11*+</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License Agreement, dated August 30, 2006, by and between the Registrant and Medical Research Council, as amended.</w:t>
            </w:r>
          </w:p>
        </w:tc>
      </w:tr>
      <w:tr>
        <w:trPr>
          <w:trHeight w:val="324"/>
        </w:trPr>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w w:val="92"/>
              </w:rPr>
              <w:t>10.12*+</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0"/>
              </w:rPr>
              <w:t>Non-Exclusive Research and Commercial License Agreement, dated May 15, 2009, by and between the Registrant and Millipore Corporation.</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2"/>
              </w:rPr>
              <w:t>10.13*</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w w:val="93"/>
              </w:rPr>
              <w:t>Loan and Security Agreement, dated December 24, 2014, by and among the Registrant, Oxford Finance LLC and Silicon Valley Bank, as</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21.1*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60" w:type="dxa"/>
            <w:vAlign w:val="bottom"/>
            <w:gridSpan w:val="2"/>
          </w:tcPr>
          <w:p>
            <w:pPr>
              <w:jc w:val="right"/>
              <w:ind w:right="154"/>
              <w:spacing w:after="0"/>
              <w:rPr>
                <w:sz w:val="20"/>
                <w:szCs w:val="20"/>
                <w:color w:val="auto"/>
              </w:rPr>
            </w:pPr>
            <w:r>
              <w:rPr>
                <w:rFonts w:ascii="Arial" w:cs="Arial" w:eastAsia="Arial" w:hAnsi="Arial"/>
                <w:sz w:val="18"/>
                <w:szCs w:val="18"/>
                <w:color w:val="auto"/>
                <w:w w:val="85"/>
              </w:rPr>
              <w:t>23.1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Consent of KPMG LLP, an independent registered public accounting firm.</w:t>
            </w:r>
          </w:p>
        </w:tc>
      </w:tr>
      <w:tr>
        <w:trPr>
          <w:trHeight w:val="324"/>
        </w:trPr>
        <w:tc>
          <w:tcPr>
            <w:tcW w:w="880" w:type="dxa"/>
            <w:vAlign w:val="bottom"/>
            <w:gridSpan w:val="3"/>
          </w:tcPr>
          <w:p>
            <w:pPr>
              <w:jc w:val="right"/>
              <w:ind w:right="460"/>
              <w:spacing w:after="0"/>
              <w:rPr>
                <w:sz w:val="20"/>
                <w:szCs w:val="20"/>
                <w:color w:val="auto"/>
              </w:rPr>
            </w:pPr>
            <w:r>
              <w:rPr>
                <w:rFonts w:ascii="Arial" w:cs="Arial" w:eastAsia="Arial" w:hAnsi="Arial"/>
                <w:sz w:val="18"/>
                <w:szCs w:val="18"/>
                <w:color w:val="auto"/>
                <w:w w:val="88"/>
              </w:rPr>
              <w:t>23.2†</w:t>
            </w: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24.1*</w:t>
            </w:r>
          </w:p>
        </w:tc>
        <w:tc>
          <w:tcPr>
            <w:tcW w:w="320" w:type="dxa"/>
            <w:vAlign w:val="bottom"/>
          </w:tcPr>
          <w:p>
            <w:pPr>
              <w:spacing w:after="0"/>
              <w:rPr>
                <w:sz w:val="24"/>
                <w:szCs w:val="24"/>
                <w:color w:val="auto"/>
              </w:rPr>
            </w:pPr>
          </w:p>
        </w:tc>
        <w:tc>
          <w:tcPr>
            <w:tcW w:w="10540" w:type="dxa"/>
            <w:vAlign w:val="bottom"/>
            <w:gridSpan w:val="3"/>
          </w:tcPr>
          <w:p>
            <w:pPr>
              <w:ind w:left="280"/>
              <w:spacing w:after="0"/>
              <w:rPr>
                <w:sz w:val="20"/>
                <w:szCs w:val="20"/>
                <w:color w:val="auto"/>
              </w:rPr>
            </w:pPr>
            <w:r>
              <w:rPr>
                <w:rFonts w:ascii="Arial" w:cs="Arial" w:eastAsia="Arial" w:hAnsi="Arial"/>
                <w:sz w:val="18"/>
                <w:szCs w:val="18"/>
                <w:color w:val="auto"/>
              </w:rPr>
              <w:t>Power of Attorney.</w:t>
            </w:r>
          </w:p>
        </w:tc>
      </w:tr>
    </w:tbl>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9" w:lineRule="exact"/>
        <w:rPr>
          <w:sz w:val="20"/>
          <w:szCs w:val="20"/>
          <w:color w:val="auto"/>
        </w:rPr>
      </w:pPr>
    </w:p>
    <w:p>
      <w:pPr>
        <w:ind w:left="220" w:hanging="212"/>
        <w:spacing w:after="0" w:line="261" w:lineRule="auto"/>
        <w:tabs>
          <w:tab w:leader="none" w:pos="2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220"/>
          </w:cols>
          <w:pgMar w:left="240" w:top="459" w:right="4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07"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effective from March 22, 2016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among </w:t>
      </w: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5"/>
          <w:szCs w:val="15"/>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Matthew Moyle (“</w:t>
      </w:r>
      <w:r>
        <w:rPr>
          <w:rFonts w:ascii="Arial" w:cs="Arial" w:eastAsia="Arial" w:hAnsi="Arial"/>
          <w:sz w:val="18"/>
          <w:szCs w:val="18"/>
          <w:b w:val="1"/>
          <w:bCs w:val="1"/>
          <w:i w:val="1"/>
          <w:iCs w:val="1"/>
          <w:color w:val="auto"/>
        </w:rPr>
        <w:t>CSO</w:t>
      </w:r>
      <w:r>
        <w:rPr>
          <w:rFonts w:ascii="Arial" w:cs="Arial" w:eastAsia="Arial" w:hAnsi="Arial"/>
          <w:sz w:val="18"/>
          <w:szCs w:val="18"/>
          <w:color w:val="auto"/>
        </w:rPr>
        <w:t>”). The Company and CSO are hereinafter collectively referred to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desires to continue to employ CSO, and CSO is willing to continue to accept such employment by Company, on the terms and subject to the conditions set forth in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foregoing Recitals and the mutual promises and covenants herein contained, and for other good and valuable consideration,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Parties, intending to be legally bound, agree as follows:</w:t>
      </w:r>
    </w:p>
    <w:p>
      <w:pPr>
        <w:spacing w:after="0" w:line="99" w:lineRule="exact"/>
        <w:rPr>
          <w:sz w:val="20"/>
          <w:szCs w:val="20"/>
          <w:color w:val="auto"/>
        </w:rPr>
      </w:pPr>
    </w:p>
    <w:p>
      <w:pPr>
        <w:ind w:left="640" w:hanging="176"/>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MPLOYMENT</w:t>
      </w:r>
      <w:r>
        <w:rPr>
          <w:rFonts w:ascii="Arial" w:cs="Arial" w:eastAsia="Arial" w:hAnsi="Arial"/>
          <w:sz w:val="18"/>
          <w:szCs w:val="18"/>
          <w:b w:val="1"/>
          <w:bCs w:val="1"/>
          <w:color w:val="auto"/>
        </w:rPr>
        <w:t>.</w:t>
      </w:r>
    </w:p>
    <w:p>
      <w:pPr>
        <w:spacing w:after="0" w:line="117"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1.1 Title. </w:t>
      </w:r>
      <w:r>
        <w:rPr>
          <w:rFonts w:ascii="Arial" w:cs="Arial" w:eastAsia="Arial" w:hAnsi="Arial"/>
          <w:sz w:val="18"/>
          <w:szCs w:val="18"/>
          <w:color w:val="auto"/>
        </w:rPr>
        <w:t>Effective as of the Effective Date, CSO’s position shall be Chief Scientific Officer of the Company, subject to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this Agreement.</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1.2 Term. </w:t>
      </w:r>
      <w:r>
        <w:rPr>
          <w:rFonts w:ascii="Arial" w:cs="Arial" w:eastAsia="Arial" w:hAnsi="Arial"/>
          <w:sz w:val="16"/>
          <w:szCs w:val="16"/>
          <w:color w:val="auto"/>
        </w:rPr>
        <w:t>The term of this Agreement shall begin on the Effective Date and shall continue until it is terminated pursuant to Section 4 herein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99"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 xml:space="preserve">1.3 Duties. </w:t>
      </w:r>
      <w:r>
        <w:rPr>
          <w:rFonts w:ascii="Arial" w:cs="Arial" w:eastAsia="Arial" w:hAnsi="Arial"/>
          <w:sz w:val="18"/>
          <w:szCs w:val="18"/>
          <w:color w:val="auto"/>
        </w:rPr>
        <w:t>CSO shall do and perform all services, acts or things necessary or advisable to manage and conduct the business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normally associated with the position of Chief Scientific Officer. CSO shall report to the Chief Executive Officer.</w:t>
      </w:r>
    </w:p>
    <w:p>
      <w:pPr>
        <w:spacing w:after="0" w:line="54" w:lineRule="exact"/>
        <w:rPr>
          <w:sz w:val="20"/>
          <w:szCs w:val="20"/>
          <w:color w:val="auto"/>
        </w:rPr>
      </w:pPr>
    </w:p>
    <w:p>
      <w:pPr>
        <w:ind w:right="120" w:firstLine="913"/>
        <w:spacing w:after="0" w:line="289" w:lineRule="auto"/>
        <w:rPr>
          <w:sz w:val="20"/>
          <w:szCs w:val="20"/>
          <w:color w:val="auto"/>
        </w:rPr>
      </w:pPr>
      <w:r>
        <w:rPr>
          <w:rFonts w:ascii="Arial" w:cs="Arial" w:eastAsia="Arial" w:hAnsi="Arial"/>
          <w:sz w:val="17"/>
          <w:szCs w:val="17"/>
          <w:b w:val="1"/>
          <w:bCs w:val="1"/>
          <w:color w:val="auto"/>
        </w:rPr>
        <w:t xml:space="preserve">1.4 Policies and Practices. </w:t>
      </w:r>
      <w:r>
        <w:rPr>
          <w:rFonts w:ascii="Arial" w:cs="Arial" w:eastAsia="Arial" w:hAnsi="Arial"/>
          <w:sz w:val="17"/>
          <w:szCs w:val="17"/>
          <w:color w:val="auto"/>
        </w:rPr>
        <w:t>The employment relationship between the Parties shall be governed by this Agreement and by the policies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practices established by the Company and/or the Board, or any designated committee thereof. In the event that the terms of this Agreement differ from or are in conflict with the Company’s policies or practices or the Company’s Employee Handbook, this Agreement shall control.</w:t>
      </w:r>
    </w:p>
    <w:p>
      <w:pPr>
        <w:spacing w:after="0" w:line="50"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b w:val="1"/>
          <w:bCs w:val="1"/>
          <w:color w:val="auto"/>
        </w:rPr>
        <w:t>1.5 Location</w:t>
      </w:r>
      <w:r>
        <w:rPr>
          <w:rFonts w:ascii="Arial" w:cs="Arial" w:eastAsia="Arial" w:hAnsi="Arial"/>
          <w:sz w:val="18"/>
          <w:szCs w:val="18"/>
          <w:color w:val="auto"/>
        </w:rPr>
        <w:t>. Unless the Parties otherwise agree in writing, during the Term CSO shall perform the services CSO is required to perform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this Agreement at the Company’s offices in San Diego, California, </w:t>
      </w:r>
      <w:r>
        <w:rPr>
          <w:rFonts w:ascii="Arial" w:cs="Arial" w:eastAsia="Arial" w:hAnsi="Arial"/>
          <w:sz w:val="18"/>
          <w:szCs w:val="18"/>
          <w:b w:val="1"/>
          <w:bCs w:val="1"/>
          <w:i w:val="1"/>
          <w:iCs w:val="1"/>
          <w:color w:val="auto"/>
        </w:rPr>
        <w:t>provided, however</w:t>
      </w:r>
      <w:r>
        <w:rPr>
          <w:rFonts w:ascii="Arial" w:cs="Arial" w:eastAsia="Arial" w:hAnsi="Arial"/>
          <w:sz w:val="18"/>
          <w:szCs w:val="18"/>
          <w:b w:val="1"/>
          <w:bCs w:val="1"/>
          <w:color w:val="auto"/>
        </w:rPr>
        <w:t>,</w:t>
      </w:r>
      <w:r>
        <w:rPr>
          <w:rFonts w:ascii="Arial" w:cs="Arial" w:eastAsia="Arial" w:hAnsi="Arial"/>
          <w:sz w:val="18"/>
          <w:szCs w:val="18"/>
          <w:color w:val="auto"/>
        </w:rPr>
        <w:t xml:space="preserve"> that the Company may from time to time require CSO to travel temporarily to other locations in connection with the Company’s business.</w:t>
      </w:r>
    </w:p>
    <w:p>
      <w:pPr>
        <w:sectPr>
          <w:pgSz w:w="11900" w:h="16838" w:orient="portrait"/>
          <w:cols w:equalWidth="0" w:num="1">
            <w:col w:w="11420"/>
          </w:cols>
          <w:pgMar w:left="240" w:top="121" w:right="239" w:bottom="1440" w:gutter="0" w:footer="0" w:header="0"/>
        </w:sectPr>
      </w:pPr>
    </w:p>
    <w:bookmarkStart w:id="220" w:name="page221"/>
    <w:bookmarkEnd w:id="220"/>
    <w:p>
      <w:pPr>
        <w:ind w:left="640" w:hanging="176"/>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w:t>
      </w:r>
      <w:r>
        <w:rPr>
          <w:rFonts w:ascii="Arial" w:cs="Arial" w:eastAsia="Arial" w:hAnsi="Arial"/>
          <w:sz w:val="15"/>
          <w:szCs w:val="15"/>
          <w:b w:val="1"/>
          <w:bCs w:val="1"/>
          <w:color w:val="auto"/>
        </w:rPr>
        <w:t>OYALTY</w:t>
      </w:r>
      <w:r>
        <w:rPr>
          <w:rFonts w:ascii="Arial" w:cs="Arial" w:eastAsia="Arial" w:hAnsi="Arial"/>
          <w:sz w:val="18"/>
          <w:szCs w:val="18"/>
          <w:b w:val="1"/>
          <w:bCs w:val="1"/>
          <w:color w:val="auto"/>
        </w:rPr>
        <w:t>; N</w:t>
      </w:r>
      <w:r>
        <w:rPr>
          <w:rFonts w:ascii="Arial" w:cs="Arial" w:eastAsia="Arial" w:hAnsi="Arial"/>
          <w:sz w:val="15"/>
          <w:szCs w:val="15"/>
          <w:b w:val="1"/>
          <w:bCs w:val="1"/>
          <w:color w:val="auto"/>
        </w:rPr>
        <w:t>ONCOMPETITION</w:t>
      </w:r>
      <w:r>
        <w:rPr>
          <w:rFonts w:ascii="Arial" w:cs="Arial" w:eastAsia="Arial" w:hAnsi="Arial"/>
          <w:sz w:val="18"/>
          <w:szCs w:val="18"/>
          <w:b w:val="1"/>
          <w:bCs w:val="1"/>
          <w:color w:val="auto"/>
        </w:rPr>
        <w:t>; N</w:t>
      </w:r>
      <w:r>
        <w:rPr>
          <w:rFonts w:ascii="Arial" w:cs="Arial" w:eastAsia="Arial" w:hAnsi="Arial"/>
          <w:sz w:val="15"/>
          <w:szCs w:val="15"/>
          <w:b w:val="1"/>
          <w:bCs w:val="1"/>
          <w:color w:val="auto"/>
        </w:rPr>
        <w:t>ONSOLICITATION</w:t>
      </w:r>
      <w:r>
        <w:rPr>
          <w:rFonts w:ascii="Arial" w:cs="Arial" w:eastAsia="Arial" w:hAnsi="Arial"/>
          <w:sz w:val="18"/>
          <w:szCs w:val="18"/>
          <w:b w:val="1"/>
          <w:bCs w:val="1"/>
          <w:color w:val="auto"/>
        </w:rPr>
        <w:t>.</w:t>
      </w:r>
    </w:p>
    <w:p>
      <w:pPr>
        <w:spacing w:after="0" w:line="117"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 xml:space="preserve">2.1 Loyalty. </w:t>
      </w:r>
      <w:r>
        <w:rPr>
          <w:rFonts w:ascii="Arial" w:cs="Arial" w:eastAsia="Arial" w:hAnsi="Arial"/>
          <w:sz w:val="18"/>
          <w:szCs w:val="18"/>
          <w:color w:val="auto"/>
        </w:rPr>
        <w:t>During CSO’s employment with the Company, CSO shall devote CSO’s full business energies, interest, abilities and productive</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the proper and efficient performance of CSO’s duties under this Agreement.</w:t>
      </w:r>
    </w:p>
    <w:p>
      <w:pPr>
        <w:spacing w:after="0" w:line="5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b w:val="1"/>
          <w:bCs w:val="1"/>
          <w:color w:val="auto"/>
        </w:rPr>
        <w:t xml:space="preserve">2.2 Agreement not to Participate in Company’s Competitors. </w:t>
      </w:r>
      <w:r>
        <w:rPr>
          <w:rFonts w:ascii="Arial" w:cs="Arial" w:eastAsia="Arial" w:hAnsi="Arial"/>
          <w:sz w:val="16"/>
          <w:szCs w:val="16"/>
          <w:color w:val="auto"/>
        </w:rPr>
        <w:t>During CSO’s employment with the Company, CSO agrees not to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assume or participate in, directly or indirectly, any position, investment or interest known by CSO to be adverse or antagonistic to the Company, its business, or prospects, financial or otherwise, or in any company, person, or entity that is, directly or indirectly, in competition with the business of the Company or any of its Affiliates (as defined below). Ownership by CSO, in professionally managed funds over which CSO does not have control or discretion in investment decisions, or as a passive investment, of less than two percent (2%) of the outstanding shares of capital stock of any corporation with one or more classes of its capital stock listed on a national securities exchange or publicly traded on a national securities exchange or in the over-the-counter market shall not constitute a breach of this Section. For purposes of this Agreement, “</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means, with respect to any specific entity, any other entity that, directly or indirectly, through one or more intermediaries, controls, is controlled by or is under common control with such specified entity.</w:t>
      </w:r>
    </w:p>
    <w:p>
      <w:pPr>
        <w:spacing w:after="0" w:line="52" w:lineRule="exact"/>
        <w:rPr>
          <w:sz w:val="20"/>
          <w:szCs w:val="20"/>
          <w:color w:val="auto"/>
        </w:rPr>
      </w:pPr>
    </w:p>
    <w:p>
      <w:pPr>
        <w:ind w:right="40" w:firstLine="913"/>
        <w:spacing w:after="0" w:line="261" w:lineRule="auto"/>
        <w:rPr>
          <w:sz w:val="20"/>
          <w:szCs w:val="20"/>
          <w:color w:val="auto"/>
        </w:rPr>
      </w:pPr>
      <w:r>
        <w:rPr>
          <w:rFonts w:ascii="Arial" w:cs="Arial" w:eastAsia="Arial" w:hAnsi="Arial"/>
          <w:sz w:val="18"/>
          <w:szCs w:val="18"/>
          <w:b w:val="1"/>
          <w:bCs w:val="1"/>
          <w:color w:val="auto"/>
        </w:rPr>
        <w:t xml:space="preserve">2.3 Covenant not to Compete. </w:t>
      </w:r>
      <w:r>
        <w:rPr>
          <w:rFonts w:ascii="Arial" w:cs="Arial" w:eastAsia="Arial" w:hAnsi="Arial"/>
          <w:sz w:val="18"/>
          <w:szCs w:val="18"/>
          <w:color w:val="auto"/>
        </w:rPr>
        <w:t>During CSO’s employment with the Company, CSO shall not engage in competition with the Company and/or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Affiliates in any manner or capacity, as adviser, principal, agent, affiliate, promoter, partner, officer, director, employee, stockholder, owner, co-owner, consultant, in any phase of the business of developing, manufacturing and marketing of products or services that directly compete with the products or services of the Company, except with the prior written consent of the Board.</w:t>
      </w:r>
    </w:p>
    <w:p>
      <w:pPr>
        <w:spacing w:after="0" w:line="72" w:lineRule="exact"/>
        <w:rPr>
          <w:sz w:val="20"/>
          <w:szCs w:val="20"/>
          <w:color w:val="auto"/>
        </w:rPr>
      </w:pPr>
    </w:p>
    <w:p>
      <w:pPr>
        <w:ind w:left="640" w:hanging="176"/>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OMPENSATION OF</w:t>
      </w:r>
      <w:r>
        <w:rPr>
          <w:rFonts w:ascii="Arial" w:cs="Arial" w:eastAsia="Arial" w:hAnsi="Arial"/>
          <w:sz w:val="18"/>
          <w:szCs w:val="18"/>
          <w:b w:val="1"/>
          <w:bCs w:val="1"/>
          <w:color w:val="auto"/>
        </w:rPr>
        <w:t xml:space="preserve"> CSO.</w:t>
      </w:r>
    </w:p>
    <w:p>
      <w:pPr>
        <w:spacing w:after="0" w:line="117" w:lineRule="exact"/>
        <w:rPr>
          <w:sz w:val="20"/>
          <w:szCs w:val="20"/>
          <w:color w:val="auto"/>
        </w:rPr>
      </w:pPr>
    </w:p>
    <w:p>
      <w:pPr>
        <w:ind w:right="160" w:firstLine="913"/>
        <w:spacing w:after="0" w:line="266" w:lineRule="auto"/>
        <w:rPr>
          <w:sz w:val="20"/>
          <w:szCs w:val="20"/>
          <w:color w:val="auto"/>
        </w:rPr>
      </w:pPr>
      <w:r>
        <w:rPr>
          <w:rFonts w:ascii="Arial" w:cs="Arial" w:eastAsia="Arial" w:hAnsi="Arial"/>
          <w:sz w:val="18"/>
          <w:szCs w:val="18"/>
          <w:b w:val="1"/>
          <w:bCs w:val="1"/>
          <w:color w:val="auto"/>
        </w:rPr>
        <w:t xml:space="preserve">3.1 Base Salary. </w:t>
      </w:r>
      <w:r>
        <w:rPr>
          <w:rFonts w:ascii="Arial" w:cs="Arial" w:eastAsia="Arial" w:hAnsi="Arial"/>
          <w:sz w:val="18"/>
          <w:szCs w:val="18"/>
          <w:color w:val="auto"/>
        </w:rPr>
        <w:t>The Company shall pay CSO a base salary at the annualized rate of $290,000 (the “</w:t>
      </w: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less payroll deductions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required withholdings, payable in regular periodic installments in accordance with the Company’s normal payroll practices. The Base Salary shall be prorated for any partial year of employment on the basis of a 365-day fiscal year.</w:t>
      </w:r>
    </w:p>
    <w:p>
      <w:pPr>
        <w:spacing w:after="0" w:line="6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b w:val="1"/>
          <w:bCs w:val="1"/>
          <w:color w:val="auto"/>
        </w:rPr>
        <w:t xml:space="preserve">3.2 Discretionary Bonus. </w:t>
      </w:r>
      <w:r>
        <w:rPr>
          <w:rFonts w:ascii="Arial" w:cs="Arial" w:eastAsia="Arial" w:hAnsi="Arial"/>
          <w:sz w:val="17"/>
          <w:szCs w:val="17"/>
          <w:color w:val="auto"/>
        </w:rPr>
        <w:t>At the sole discretion of the Board and Chief Executive Officer, promptly following each calendar year of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CSO shall be eligible to receive a discretionary cash bonus of up to 30% of CSO’s then-current base salary (the “</w:t>
      </w:r>
      <w:r>
        <w:rPr>
          <w:rFonts w:ascii="Arial" w:cs="Arial" w:eastAsia="Arial" w:hAnsi="Arial"/>
          <w:sz w:val="17"/>
          <w:szCs w:val="17"/>
          <w:b w:val="1"/>
          <w:bCs w:val="1"/>
          <w:i w:val="1"/>
          <w:iCs w:val="1"/>
          <w:color w:val="auto"/>
        </w:rPr>
        <w:t>Bonus</w:t>
      </w:r>
      <w:r>
        <w:rPr>
          <w:rFonts w:ascii="Arial" w:cs="Arial" w:eastAsia="Arial" w:hAnsi="Arial"/>
          <w:sz w:val="17"/>
          <w:szCs w:val="17"/>
          <w:color w:val="auto"/>
        </w:rPr>
        <w:t>”), based on CSO’s achievement relative to certain performance goals (“</w:t>
      </w:r>
      <w:r>
        <w:rPr>
          <w:rFonts w:ascii="Arial" w:cs="Arial" w:eastAsia="Arial" w:hAnsi="Arial"/>
          <w:sz w:val="17"/>
          <w:szCs w:val="17"/>
          <w:b w:val="1"/>
          <w:bCs w:val="1"/>
          <w:i w:val="1"/>
          <w:iCs w:val="1"/>
          <w:color w:val="auto"/>
        </w:rPr>
        <w:t>Performance Goals</w:t>
      </w:r>
      <w:r>
        <w:rPr>
          <w:rFonts w:ascii="Arial" w:cs="Arial" w:eastAsia="Arial" w:hAnsi="Arial"/>
          <w:sz w:val="17"/>
          <w:szCs w:val="17"/>
          <w:color w:val="auto"/>
        </w:rPr>
        <w:t>”) to be established by the Chief Executive Officer in writing in a manner reasonably consistent with the Company’s priorities. The determination of whether CSO has met the Performance Goals for any given year, and if so, the amount of any Bonus that will be paid for such year (if any), shall be determined by the Board and Chief Executive Officer in their sole and absolute discretion. In order to be eligible to earn or receive any Bonus, CSO must remain employed by the Company through and including the date of payment of such Bonus. For the first calendar year of CSO’s employment with Company, the Bonus payable shall be pro-rated in</w:t>
      </w:r>
    </w:p>
    <w:p>
      <w:pPr>
        <w:sectPr>
          <w:pgSz w:w="11900" w:h="16838" w:orient="portrait"/>
          <w:cols w:equalWidth="0" w:num="1">
            <w:col w:w="11420"/>
          </w:cols>
          <w:pgMar w:left="240" w:top="270"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percentage of the calendar year that the CSO is an employee of the Company.</w:t>
      </w:r>
    </w:p>
    <w:p>
      <w:pPr>
        <w:spacing w:after="0" w:line="113"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b w:val="1"/>
          <w:bCs w:val="1"/>
          <w:color w:val="auto"/>
        </w:rPr>
        <w:t xml:space="preserve">3.3 Relocation. </w:t>
      </w:r>
      <w:r>
        <w:rPr>
          <w:rFonts w:ascii="Arial" w:cs="Arial" w:eastAsia="Arial" w:hAnsi="Arial"/>
          <w:sz w:val="17"/>
          <w:szCs w:val="17"/>
          <w:color w:val="auto"/>
        </w:rPr>
        <w:t>CSO in good faith intends to relocate his household to the San Diego area as soon as practical, but no later than May 2017. Until</w:t>
      </w:r>
      <w:r>
        <w:rPr>
          <w:rFonts w:ascii="Arial" w:cs="Arial" w:eastAsia="Arial" w:hAnsi="Arial"/>
          <w:sz w:val="17"/>
          <w:szCs w:val="17"/>
          <w:b w:val="1"/>
          <w:bCs w:val="1"/>
          <w:color w:val="auto"/>
        </w:rPr>
        <w:t xml:space="preserve"> </w:t>
      </w:r>
      <w:r>
        <w:rPr>
          <w:rFonts w:ascii="Arial" w:cs="Arial" w:eastAsia="Arial" w:hAnsi="Arial"/>
          <w:sz w:val="17"/>
          <w:szCs w:val="17"/>
          <w:color w:val="auto"/>
        </w:rPr>
        <w:t>such time as CSO relocates, CSO agrees to spend at least 3 weeks per month in San Diego at the Company’s offices, unless if otherwise approved on a month-by-month basis by the Chief Executive Officer. The Company will cover the actual and reasonable costs associated with CSO’s monthly commute to San Diego and housing in San Diego, until such time as CSO relocates to the San Diego area, up to a maximum of $40,000 in the aggregate, provided that no greater than one round-trip flight per month from CSO’s location in Connecticut to San Diego shall be reimbursed, and no greater than $4,000 shall be accrued in housing expenses per month against this aggregate. Upon the relocation of the CSO’s household to the San Diego area, the Company will reimburse CSO for actual and reasonable relocation expenses directly associated with the relocation up to an additional $135,000, to include airfare for up to 2 family trips to San Diego in addition to a final relocation trip airfare, closing costs associated with the sale of the family home in Connecticut, fees associated with the purchase of a family home in San Diego upon household relocation, transportation of personal household items and up to 2 vehicles. The Chief Executive Officer will have discretion on what expenses are included within this allowance. CSO must remain employed by the Company through and including the date of payment of any such amounts payable under this Section 3.3, and all such payments will be subject to any necessary payroll deductions and all required withholdings.</w:t>
      </w:r>
    </w:p>
    <w:p>
      <w:pPr>
        <w:spacing w:after="0" w:line="7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b w:val="1"/>
          <w:bCs w:val="1"/>
          <w:color w:val="auto"/>
        </w:rPr>
        <w:t xml:space="preserve">3.4 Stock Option. </w:t>
      </w:r>
      <w:r>
        <w:rPr>
          <w:rFonts w:ascii="Arial" w:cs="Arial" w:eastAsia="Arial" w:hAnsi="Arial"/>
          <w:sz w:val="16"/>
          <w:szCs w:val="16"/>
          <w:color w:val="auto"/>
        </w:rPr>
        <w:t>As soon as practicable following the Effective Date, CSO will be granted an option to purchase up to 1,185,925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Common Stock (the “</w:t>
      </w:r>
      <w:r>
        <w:rPr>
          <w:rFonts w:ascii="Arial" w:cs="Arial" w:eastAsia="Arial" w:hAnsi="Arial"/>
          <w:sz w:val="16"/>
          <w:szCs w:val="16"/>
          <w:b w:val="1"/>
          <w:bCs w:val="1"/>
          <w:i w:val="1"/>
          <w:iCs w:val="1"/>
          <w:color w:val="auto"/>
        </w:rPr>
        <w:t>Base Option</w:t>
      </w:r>
      <w:r>
        <w:rPr>
          <w:rFonts w:ascii="Arial" w:cs="Arial" w:eastAsia="Arial" w:hAnsi="Arial"/>
          <w:sz w:val="16"/>
          <w:szCs w:val="16"/>
          <w:color w:val="auto"/>
        </w:rPr>
        <w:t>”) pursuant to the terms of the Company’s 2006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For purposes of this Section 3.3, “</w:t>
      </w:r>
      <w:r>
        <w:rPr>
          <w:rFonts w:ascii="Arial" w:cs="Arial" w:eastAsia="Arial" w:hAnsi="Arial"/>
          <w:sz w:val="16"/>
          <w:szCs w:val="16"/>
          <w:b w:val="1"/>
          <w:bCs w:val="1"/>
          <w:i w:val="1"/>
          <w:iCs w:val="1"/>
          <w:color w:val="auto"/>
        </w:rPr>
        <w:t>fully-diluted capitalization of the Company</w:t>
      </w:r>
      <w:r>
        <w:rPr>
          <w:rFonts w:ascii="Arial" w:cs="Arial" w:eastAsia="Arial" w:hAnsi="Arial"/>
          <w:sz w:val="16"/>
          <w:szCs w:val="16"/>
          <w:color w:val="auto"/>
        </w:rPr>
        <w:t>” means (1) all issued and outstanding equity securities of the Company, (2) all shares issuable upon the conversion, exercise, or exchange of any outstanding options, warrants, or other convertible or exchangeable securities of the Company and (3) all shares reserved for future issuance pursuant to the Plan. The Base Option shall be subject to vesting such that, subject to CSO’s continued employment with the Company, 1/4 of the shares subject to the Base Option shall vest as of the first anniversary of the Effective Date and 1/48</w:t>
      </w:r>
      <w:r>
        <w:rPr>
          <w:rFonts w:ascii="Arial" w:cs="Arial" w:eastAsia="Arial" w:hAnsi="Arial"/>
          <w:sz w:val="13"/>
          <w:szCs w:val="13"/>
          <w:color w:val="auto"/>
        </w:rPr>
        <w:t>th</w:t>
      </w:r>
      <w:r>
        <w:rPr>
          <w:rFonts w:ascii="Arial" w:cs="Arial" w:eastAsia="Arial" w:hAnsi="Arial"/>
          <w:sz w:val="16"/>
          <w:szCs w:val="16"/>
          <w:color w:val="auto"/>
        </w:rPr>
        <w:t xml:space="preserve"> of the shares subject to the Base Option shall vest in equal monthly installments on the monthly anniversary of the Effective Date of each month for the 36 months thereafter. The exercise price per share of the Base Option will be equal to the fair market value of a single share of Common Stock on the date the Base Option is granted, as determined in good faith by the Board. The Base Option will be governed by the Plan and shall be granted pursuant to a separate stock option grant notice and stock option agreement. For clarity, any and all preferred shares of the Company purchased by CSO, prior to or following the Effective Date, are not included in the aforementioned consideration due to CSO.</w:t>
      </w:r>
    </w:p>
    <w:p>
      <w:pPr>
        <w:spacing w:after="0" w:line="56" w:lineRule="exact"/>
        <w:rPr>
          <w:sz w:val="20"/>
          <w:szCs w:val="20"/>
          <w:color w:val="auto"/>
        </w:rPr>
      </w:pPr>
    </w:p>
    <w:p>
      <w:pPr>
        <w:ind w:right="80" w:firstLine="913"/>
        <w:spacing w:after="0" w:line="289" w:lineRule="auto"/>
        <w:rPr>
          <w:sz w:val="20"/>
          <w:szCs w:val="20"/>
          <w:color w:val="auto"/>
        </w:rPr>
      </w:pPr>
      <w:r>
        <w:rPr>
          <w:rFonts w:ascii="Arial" w:cs="Arial" w:eastAsia="Arial" w:hAnsi="Arial"/>
          <w:sz w:val="17"/>
          <w:szCs w:val="17"/>
          <w:b w:val="1"/>
          <w:bCs w:val="1"/>
          <w:color w:val="auto"/>
        </w:rPr>
        <w:t xml:space="preserve">3.5 Expense Reimbursements. </w:t>
      </w:r>
      <w:r>
        <w:rPr>
          <w:rFonts w:ascii="Arial" w:cs="Arial" w:eastAsia="Arial" w:hAnsi="Arial"/>
          <w:sz w:val="17"/>
          <w:szCs w:val="17"/>
          <w:color w:val="auto"/>
        </w:rPr>
        <w:t>The Company will reimburse CSO for all reasonable business expenses CSO incurs in conducting his duties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pursuant to the Company’s usual expense reimbursement policies; provided that CSO supplies the appropriate substantiation for such expenses no later than the end of the calendar month following the month in which such expenses were incurred by CSO.</w:t>
      </w:r>
    </w:p>
    <w:p>
      <w:pPr>
        <w:sectPr>
          <w:pgSz w:w="11900" w:h="16838" w:orient="portrait"/>
          <w:cols w:equalWidth="0" w:num="1">
            <w:col w:w="11400"/>
          </w:cols>
          <w:pgMar w:left="240" w:top="274" w:right="259" w:bottom="1440" w:gutter="0" w:footer="0" w:header="0"/>
        </w:sectPr>
      </w:pPr>
    </w:p>
    <w:bookmarkStart w:id="222" w:name="page223"/>
    <w:bookmarkEnd w:id="222"/>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3.6 Changes to Compensation. </w:t>
      </w:r>
      <w:r>
        <w:rPr>
          <w:rFonts w:ascii="Arial" w:cs="Arial" w:eastAsia="Arial" w:hAnsi="Arial"/>
          <w:sz w:val="16"/>
          <w:szCs w:val="16"/>
          <w:color w:val="auto"/>
        </w:rPr>
        <w:t>CSO’s compensation will be reviewed annually and may be changed from time to time in the Company’s sole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99" w:lineRule="exact"/>
        <w:rPr>
          <w:sz w:val="20"/>
          <w:szCs w:val="20"/>
          <w:color w:val="auto"/>
        </w:rPr>
      </w:pPr>
    </w:p>
    <w:p>
      <w:pPr>
        <w:ind w:right="360" w:firstLine="913"/>
        <w:spacing w:after="0" w:line="282" w:lineRule="auto"/>
        <w:rPr>
          <w:sz w:val="20"/>
          <w:szCs w:val="20"/>
          <w:color w:val="auto"/>
        </w:rPr>
      </w:pPr>
      <w:r>
        <w:rPr>
          <w:rFonts w:ascii="Arial" w:cs="Arial" w:eastAsia="Arial" w:hAnsi="Arial"/>
          <w:sz w:val="18"/>
          <w:szCs w:val="18"/>
          <w:b w:val="1"/>
          <w:bCs w:val="1"/>
          <w:color w:val="auto"/>
        </w:rPr>
        <w:t xml:space="preserve">3.7 Employment Taxes. </w:t>
      </w:r>
      <w:r>
        <w:rPr>
          <w:rFonts w:ascii="Arial" w:cs="Arial" w:eastAsia="Arial" w:hAnsi="Arial"/>
          <w:sz w:val="18"/>
          <w:szCs w:val="18"/>
          <w:color w:val="auto"/>
        </w:rPr>
        <w:t>All of CSO’s compensation shall be subject to customary withholding taxes and any other employment taxes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commonly required to be collected or withheld by the Company.</w:t>
      </w:r>
    </w:p>
    <w:p>
      <w:pPr>
        <w:spacing w:after="0" w:line="54" w:lineRule="exact"/>
        <w:rPr>
          <w:sz w:val="20"/>
          <w:szCs w:val="20"/>
          <w:color w:val="auto"/>
        </w:rPr>
      </w:pPr>
    </w:p>
    <w:p>
      <w:pPr>
        <w:ind w:firstLine="913"/>
        <w:spacing w:after="0" w:line="347" w:lineRule="auto"/>
        <w:rPr>
          <w:sz w:val="20"/>
          <w:szCs w:val="20"/>
          <w:color w:val="auto"/>
        </w:rPr>
      </w:pPr>
      <w:r>
        <w:rPr>
          <w:rFonts w:ascii="Arial" w:cs="Arial" w:eastAsia="Arial" w:hAnsi="Arial"/>
          <w:sz w:val="16"/>
          <w:szCs w:val="16"/>
          <w:b w:val="1"/>
          <w:bCs w:val="1"/>
          <w:color w:val="auto"/>
        </w:rPr>
        <w:t>3.8 Benefits</w:t>
      </w:r>
      <w:r>
        <w:rPr>
          <w:rFonts w:ascii="Arial" w:cs="Arial" w:eastAsia="Arial" w:hAnsi="Arial"/>
          <w:sz w:val="16"/>
          <w:szCs w:val="16"/>
          <w:color w:val="auto"/>
        </w:rPr>
        <w:t>. CSO shall, in accordance with Company policy and the terms of the applicable plan documents, be eligible to participate in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benefit plan or arrangement that may be in effect from time to time and made available to the Company’s senior management employees.</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3.9 Holidays and Vacation. </w:t>
      </w:r>
      <w:r>
        <w:rPr>
          <w:rFonts w:ascii="Arial" w:cs="Arial" w:eastAsia="Arial" w:hAnsi="Arial"/>
          <w:sz w:val="16"/>
          <w:szCs w:val="16"/>
          <w:color w:val="auto"/>
        </w:rPr>
        <w:t>CSO shall be eligible for paid holiday and vacation time in accordance with Company policy as in effect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99" w:lineRule="exact"/>
        <w:rPr>
          <w:sz w:val="20"/>
          <w:szCs w:val="20"/>
          <w:color w:val="auto"/>
        </w:rPr>
      </w:pPr>
    </w:p>
    <w:p>
      <w:pPr>
        <w:ind w:left="640" w:hanging="176"/>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 xml:space="preserve">4.1 Termination by the Company. </w:t>
      </w:r>
      <w:r>
        <w:rPr>
          <w:rFonts w:ascii="Arial" w:cs="Arial" w:eastAsia="Arial" w:hAnsi="Arial"/>
          <w:sz w:val="18"/>
          <w:szCs w:val="18"/>
          <w:color w:val="auto"/>
        </w:rPr>
        <w:t>CSO’s employment with the Company is at will and may be terminated by the Company at any time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 or for no reason, including, but not limited to, under the following conditions:</w:t>
      </w:r>
    </w:p>
    <w:p>
      <w:pPr>
        <w:spacing w:after="0" w:line="54" w:lineRule="exact"/>
        <w:rPr>
          <w:sz w:val="20"/>
          <w:szCs w:val="20"/>
          <w:color w:val="auto"/>
        </w:rPr>
      </w:pPr>
    </w:p>
    <w:p>
      <w:pPr>
        <w:ind w:right="40" w:firstLine="1484"/>
        <w:spacing w:after="0" w:line="266" w:lineRule="auto"/>
        <w:rPr>
          <w:sz w:val="20"/>
          <w:szCs w:val="20"/>
          <w:color w:val="auto"/>
        </w:rPr>
      </w:pPr>
      <w:r>
        <w:rPr>
          <w:rFonts w:ascii="Arial" w:cs="Arial" w:eastAsia="Arial" w:hAnsi="Arial"/>
          <w:sz w:val="18"/>
          <w:szCs w:val="18"/>
          <w:b w:val="1"/>
          <w:bCs w:val="1"/>
          <w:color w:val="auto"/>
        </w:rPr>
        <w:t xml:space="preserve">4.1.1 Termination by the Company for Cause. </w:t>
      </w:r>
      <w:r>
        <w:rPr>
          <w:rFonts w:ascii="Arial" w:cs="Arial" w:eastAsia="Arial" w:hAnsi="Arial"/>
          <w:sz w:val="18"/>
          <w:szCs w:val="18"/>
          <w:color w:val="auto"/>
        </w:rPr>
        <w:t>The Company may terminate CSO’s employment under this Agreement for “Cause”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by delivery of written notice to CSO. Any notice of termination given pursuant to this section shall effect termination as of the date of the notice, or as of such other date specified in the notice.</w:t>
      </w:r>
    </w:p>
    <w:p>
      <w:pPr>
        <w:spacing w:after="0" w:line="68" w:lineRule="exact"/>
        <w:rPr>
          <w:sz w:val="20"/>
          <w:szCs w:val="20"/>
          <w:color w:val="auto"/>
        </w:rPr>
      </w:pPr>
    </w:p>
    <w:p>
      <w:pPr>
        <w:jc w:val="both"/>
        <w:ind w:right="220" w:firstLine="1484"/>
        <w:spacing w:after="0" w:line="266" w:lineRule="auto"/>
        <w:rPr>
          <w:sz w:val="20"/>
          <w:szCs w:val="20"/>
          <w:color w:val="auto"/>
        </w:rPr>
      </w:pPr>
      <w:r>
        <w:rPr>
          <w:rFonts w:ascii="Arial" w:cs="Arial" w:eastAsia="Arial" w:hAnsi="Arial"/>
          <w:sz w:val="18"/>
          <w:szCs w:val="18"/>
          <w:b w:val="1"/>
          <w:bCs w:val="1"/>
          <w:color w:val="auto"/>
        </w:rPr>
        <w:t xml:space="preserve">4.1.2 Termination by the Company without Cause. </w:t>
      </w:r>
      <w:r>
        <w:rPr>
          <w:rFonts w:ascii="Arial" w:cs="Arial" w:eastAsia="Arial" w:hAnsi="Arial"/>
          <w:sz w:val="18"/>
          <w:szCs w:val="18"/>
          <w:color w:val="auto"/>
        </w:rPr>
        <w:t>The Company may terminate CSO’s employment under this Agreement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Cause at any time and for any reason, or for no reason. Such termination shall be effective on the date CSO is so informed, or as otherwise specified by the Company.</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4.2 Termination by CSO</w:t>
      </w:r>
      <w:r>
        <w:rPr>
          <w:rFonts w:ascii="Arial" w:cs="Arial" w:eastAsia="Arial" w:hAnsi="Arial"/>
          <w:sz w:val="16"/>
          <w:szCs w:val="16"/>
          <w:color w:val="auto"/>
        </w:rPr>
        <w:t>. CSO may terminate his employment with the Company at any time and for any reason, or for no reason, upon thirty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(30) days written notice to the Company.</w:t>
      </w:r>
    </w:p>
    <w:p>
      <w:pPr>
        <w:spacing w:after="0" w:line="99" w:lineRule="exact"/>
        <w:rPr>
          <w:sz w:val="20"/>
          <w:szCs w:val="20"/>
          <w:color w:val="auto"/>
        </w:rPr>
      </w:pPr>
    </w:p>
    <w:p>
      <w:pPr>
        <w:ind w:right="60" w:firstLine="913"/>
        <w:spacing w:after="0" w:line="282" w:lineRule="auto"/>
        <w:rPr>
          <w:sz w:val="20"/>
          <w:szCs w:val="20"/>
          <w:color w:val="auto"/>
        </w:rPr>
      </w:pPr>
      <w:r>
        <w:rPr>
          <w:rFonts w:ascii="Arial" w:cs="Arial" w:eastAsia="Arial" w:hAnsi="Arial"/>
          <w:sz w:val="18"/>
          <w:szCs w:val="18"/>
          <w:b w:val="1"/>
          <w:bCs w:val="1"/>
          <w:color w:val="auto"/>
        </w:rPr>
        <w:t xml:space="preserve">4.3 Termination for Death or Disability. </w:t>
      </w:r>
      <w:r>
        <w:rPr>
          <w:rFonts w:ascii="Arial" w:cs="Arial" w:eastAsia="Arial" w:hAnsi="Arial"/>
          <w:sz w:val="18"/>
          <w:szCs w:val="18"/>
          <w:color w:val="auto"/>
        </w:rPr>
        <w:t>CSO’s employment with the Company shall automatically terminate effective upon the date of CSO’s</w:t>
      </w:r>
      <w:r>
        <w:rPr>
          <w:rFonts w:ascii="Arial" w:cs="Arial" w:eastAsia="Arial" w:hAnsi="Arial"/>
          <w:sz w:val="18"/>
          <w:szCs w:val="18"/>
          <w:b w:val="1"/>
          <w:bCs w:val="1"/>
          <w:color w:val="auto"/>
        </w:rPr>
        <w:t xml:space="preserve"> </w:t>
      </w:r>
      <w:r>
        <w:rPr>
          <w:rFonts w:ascii="Arial" w:cs="Arial" w:eastAsia="Arial" w:hAnsi="Arial"/>
          <w:sz w:val="18"/>
          <w:szCs w:val="18"/>
          <w:color w:val="auto"/>
        </w:rPr>
        <w:t>death or Disability (as defined in the Plan).</w:t>
      </w:r>
    </w:p>
    <w:p>
      <w:pPr>
        <w:spacing w:after="0" w:line="54" w:lineRule="exact"/>
        <w:rPr>
          <w:sz w:val="20"/>
          <w:szCs w:val="20"/>
          <w:color w:val="auto"/>
        </w:rPr>
      </w:pPr>
    </w:p>
    <w:p>
      <w:pPr>
        <w:ind w:right="260" w:firstLine="913"/>
        <w:spacing w:after="0" w:line="313" w:lineRule="auto"/>
        <w:rPr>
          <w:sz w:val="20"/>
          <w:szCs w:val="20"/>
          <w:color w:val="auto"/>
        </w:rPr>
      </w:pPr>
      <w:r>
        <w:rPr>
          <w:rFonts w:ascii="Arial" w:cs="Arial" w:eastAsia="Arial" w:hAnsi="Arial"/>
          <w:sz w:val="17"/>
          <w:szCs w:val="17"/>
          <w:b w:val="1"/>
          <w:bCs w:val="1"/>
          <w:color w:val="auto"/>
        </w:rPr>
        <w:t xml:space="preserve">4.4 Termination by Mutual Agreement of the Parties. </w:t>
      </w:r>
      <w:r>
        <w:rPr>
          <w:rFonts w:ascii="Arial" w:cs="Arial" w:eastAsia="Arial" w:hAnsi="Arial"/>
          <w:sz w:val="17"/>
          <w:szCs w:val="17"/>
          <w:color w:val="auto"/>
        </w:rPr>
        <w:t>CSO’s employment with the Company may be terminated at any time upon a mutual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 writing of the Parties. Any such termination of employment shall have the consequences specified in such agreement.</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4.5 Compensation upon Termination.</w:t>
      </w:r>
    </w:p>
    <w:p>
      <w:pPr>
        <w:spacing w:after="0" w:line="117" w:lineRule="exact"/>
        <w:rPr>
          <w:sz w:val="20"/>
          <w:szCs w:val="20"/>
          <w:color w:val="auto"/>
        </w:rPr>
      </w:pPr>
    </w:p>
    <w:p>
      <w:pPr>
        <w:ind w:right="100" w:firstLine="1484"/>
        <w:spacing w:after="0" w:line="282" w:lineRule="auto"/>
        <w:rPr>
          <w:sz w:val="20"/>
          <w:szCs w:val="20"/>
          <w:color w:val="auto"/>
        </w:rPr>
      </w:pPr>
      <w:r>
        <w:rPr>
          <w:rFonts w:ascii="Arial" w:cs="Arial" w:eastAsia="Arial" w:hAnsi="Arial"/>
          <w:sz w:val="18"/>
          <w:szCs w:val="18"/>
          <w:b w:val="1"/>
          <w:bCs w:val="1"/>
          <w:color w:val="auto"/>
        </w:rPr>
        <w:t xml:space="preserve">4.5.1 Death or Disability. </w:t>
      </w:r>
      <w:r>
        <w:rPr>
          <w:rFonts w:ascii="Arial" w:cs="Arial" w:eastAsia="Arial" w:hAnsi="Arial"/>
          <w:sz w:val="18"/>
          <w:szCs w:val="18"/>
          <w:color w:val="auto"/>
        </w:rPr>
        <w:t>If CSO’s employment is terminated by death or Disability, the Company shall pay to CSO, or to CSO’s heirs,</w:t>
      </w:r>
      <w:r>
        <w:rPr>
          <w:rFonts w:ascii="Arial" w:cs="Arial" w:eastAsia="Arial" w:hAnsi="Arial"/>
          <w:sz w:val="18"/>
          <w:szCs w:val="18"/>
          <w:b w:val="1"/>
          <w:bCs w:val="1"/>
          <w:color w:val="auto"/>
        </w:rPr>
        <w:t xml:space="preserve"> </w:t>
      </w:r>
      <w:r>
        <w:rPr>
          <w:rFonts w:ascii="Arial" w:cs="Arial" w:eastAsia="Arial" w:hAnsi="Arial"/>
          <w:sz w:val="18"/>
          <w:szCs w:val="18"/>
          <w:color w:val="auto"/>
        </w:rPr>
        <w:t>CSO’s accrued and unpaid base</w:t>
      </w:r>
    </w:p>
    <w:p>
      <w:pPr>
        <w:sectPr>
          <w:pgSz w:w="11900" w:h="16838" w:orient="portrait"/>
          <w:cols w:equalWidth="0" w:num="1">
            <w:col w:w="11400"/>
          </w:cols>
          <w:pgMar w:left="240" w:top="270" w:right="259" w:bottom="1440" w:gutter="0" w:footer="0" w:header="0"/>
        </w:sectPr>
      </w:pPr>
    </w:p>
    <w:bookmarkStart w:id="223" w:name="page224"/>
    <w:bookmarkEnd w:id="22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salary and accrued and unused vacation benefits earned through the date of termination at the rate in effect at the time of termination, less standard deductions and withholdings. The Company shall thereafter have no further obligations to CSO and/or CSO’s heirs under this Agreement, except as otherwise provided by law.</w:t>
      </w:r>
    </w:p>
    <w:p>
      <w:pPr>
        <w:spacing w:after="0" w:line="69" w:lineRule="exact"/>
        <w:rPr>
          <w:sz w:val="20"/>
          <w:szCs w:val="20"/>
          <w:color w:val="auto"/>
        </w:rPr>
      </w:pPr>
    </w:p>
    <w:p>
      <w:pPr>
        <w:ind w:right="80" w:firstLine="1484"/>
        <w:spacing w:after="0" w:line="261" w:lineRule="auto"/>
        <w:rPr>
          <w:sz w:val="20"/>
          <w:szCs w:val="20"/>
          <w:color w:val="auto"/>
        </w:rPr>
      </w:pPr>
      <w:r>
        <w:rPr>
          <w:rFonts w:ascii="Arial" w:cs="Arial" w:eastAsia="Arial" w:hAnsi="Arial"/>
          <w:sz w:val="18"/>
          <w:szCs w:val="18"/>
          <w:b w:val="1"/>
          <w:bCs w:val="1"/>
          <w:color w:val="auto"/>
        </w:rPr>
        <w:t xml:space="preserve">4.5.2 Termination For Cause. </w:t>
      </w:r>
      <w:r>
        <w:rPr>
          <w:rFonts w:ascii="Arial" w:cs="Arial" w:eastAsia="Arial" w:hAnsi="Arial"/>
          <w:sz w:val="18"/>
          <w:szCs w:val="18"/>
          <w:color w:val="auto"/>
        </w:rPr>
        <w:t>If the Company terminates CSO’s employment for Cause, then the Company shall pay CSO’s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and unpaid base salary and accrued and unused vacation benefits earned through the date of termination, at the rate in effect at the time of termination, less standard deductions and withholdings. The Company shall thereafter have no further obligations to CSO under this Agreement, except as otherwise provided by law.</w:t>
      </w:r>
    </w:p>
    <w:p>
      <w:pPr>
        <w:spacing w:after="0" w:line="72" w:lineRule="exact"/>
        <w:rPr>
          <w:sz w:val="20"/>
          <w:szCs w:val="20"/>
          <w:color w:val="auto"/>
        </w:rPr>
      </w:pPr>
    </w:p>
    <w:p>
      <w:pPr>
        <w:ind w:firstLine="1484"/>
        <w:spacing w:after="0" w:line="285" w:lineRule="auto"/>
        <w:rPr>
          <w:sz w:val="20"/>
          <w:szCs w:val="20"/>
          <w:color w:val="auto"/>
        </w:rPr>
      </w:pPr>
      <w:r>
        <w:rPr>
          <w:rFonts w:ascii="Arial" w:cs="Arial" w:eastAsia="Arial" w:hAnsi="Arial"/>
          <w:sz w:val="16"/>
          <w:szCs w:val="16"/>
          <w:b w:val="1"/>
          <w:bCs w:val="1"/>
          <w:color w:val="auto"/>
        </w:rPr>
        <w:t xml:space="preserve">4.5.3 Termination by Company Without Cause or by CSO for Good Reason Not In Connection with a Change in Control. </w:t>
      </w:r>
      <w:r>
        <w:rPr>
          <w:rFonts w:ascii="Arial" w:cs="Arial" w:eastAsia="Arial" w:hAnsi="Arial"/>
          <w:sz w:val="16"/>
          <w:szCs w:val="16"/>
          <w:color w:val="auto"/>
        </w:rPr>
        <w:t>If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terminates CSO’s employment without Cause or if CSO resigns his employment for Good Reason, in either case at any time other than upon the occurrence of, or within the 13 months immediately following, the effective date of a Change in Control, the Company shall pay CSO’s accrued and unpaid base salary and accrued and unused vacation benefits earned through the date of termination, at the rate in effect at the time of termination, less standard deductions and withholdings. Provided that CSO has permanently relocated his household to the San Diego area prior to such date of termination or resignation, then in addition to the above, if CSO furnishes to the Company an executed waiver and release of claims in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(or in such other form as may be specified by the Company) (the “</w:t>
      </w:r>
      <w:r>
        <w:rPr>
          <w:rFonts w:ascii="Arial" w:cs="Arial" w:eastAsia="Arial" w:hAnsi="Arial"/>
          <w:sz w:val="16"/>
          <w:szCs w:val="16"/>
          <w:b w:val="1"/>
          <w:bCs w:val="1"/>
          <w:i w:val="1"/>
          <w:iCs w:val="1"/>
          <w:color w:val="auto"/>
        </w:rPr>
        <w:t>Release</w:t>
      </w:r>
      <w:r>
        <w:rPr>
          <w:rFonts w:ascii="Arial" w:cs="Arial" w:eastAsia="Arial" w:hAnsi="Arial"/>
          <w:sz w:val="16"/>
          <w:szCs w:val="16"/>
          <w:color w:val="auto"/>
        </w:rPr>
        <w:t>”) within the time period specified therein, but in no event later than 45 days following CSO’s termination, and if CSO allows such Release to become effective in accordance with its terms, then (i) CSO shall be entitled to severance in the form of continuation of his base salary, at the base salary rate equal to the greater of the rate in effect at the time of termination or immediately prior to the event giving rise to the Good Reason (the “</w:t>
      </w:r>
      <w:r>
        <w:rPr>
          <w:rFonts w:ascii="Arial" w:cs="Arial" w:eastAsia="Arial" w:hAnsi="Arial"/>
          <w:sz w:val="16"/>
          <w:szCs w:val="16"/>
          <w:b w:val="1"/>
          <w:bCs w:val="1"/>
          <w:i w:val="1"/>
          <w:iCs w:val="1"/>
          <w:color w:val="auto"/>
        </w:rPr>
        <w:t>Severance Payments</w:t>
      </w:r>
      <w:r>
        <w:rPr>
          <w:rFonts w:ascii="Arial" w:cs="Arial" w:eastAsia="Arial" w:hAnsi="Arial"/>
          <w:sz w:val="16"/>
          <w:szCs w:val="16"/>
          <w:color w:val="auto"/>
        </w:rPr>
        <w:t>”), for a period of nine (9) months following the termination date (the “</w:t>
      </w:r>
      <w:r>
        <w:rPr>
          <w:rFonts w:ascii="Arial" w:cs="Arial" w:eastAsia="Arial" w:hAnsi="Arial"/>
          <w:sz w:val="16"/>
          <w:szCs w:val="16"/>
          <w:b w:val="1"/>
          <w:bCs w:val="1"/>
          <w:i w:val="1"/>
          <w:iCs w:val="1"/>
          <w:color w:val="auto"/>
        </w:rPr>
        <w:t>Severance Period</w:t>
      </w:r>
      <w:r>
        <w:rPr>
          <w:rFonts w:ascii="Arial" w:cs="Arial" w:eastAsia="Arial" w:hAnsi="Arial"/>
          <w:sz w:val="16"/>
          <w:szCs w:val="16"/>
          <w:color w:val="auto"/>
        </w:rPr>
        <w:t xml:space="preserve">”), and (ii) the Company will pay directly to the insurance provider the premium for COBRA continuation coverage for CSO and CSO’s family during the Severance Period or until he obtains new employment, whichever comes first (the </w:t>
      </w:r>
      <w:r>
        <w:rPr>
          <w:rFonts w:ascii="Arial" w:cs="Arial" w:eastAsia="Arial" w:hAnsi="Arial"/>
          <w:sz w:val="16"/>
          <w:szCs w:val="16"/>
          <w:b w:val="1"/>
          <w:bCs w:val="1"/>
          <w:i w:val="1"/>
          <w:iCs w:val="1"/>
          <w:color w:val="auto"/>
        </w:rPr>
        <w:t>“COBRA Coverage”</w:t>
      </w:r>
      <w:r>
        <w:rPr>
          <w:rFonts w:ascii="Arial" w:cs="Arial" w:eastAsia="Arial" w:hAnsi="Arial"/>
          <w:sz w:val="16"/>
          <w:szCs w:val="16"/>
          <w:color w:val="auto"/>
        </w:rPr>
        <w:t>); provided, however, that notwithstanding anything herein, if the Company determines in its sole discretion that it cannot provide the foregoing COBRA Coverage benefit without potentially violating, or being subject to an excise tax under, applicable law (including, without limitation, Section 2716 of the Public Health Service Act), the Company will in lieu thereof provide to CSO a taxable monthly payment, payable on the last day of a given month, in an amount equal to the monthly COBRA Coverage that CSO would be required to pay to continue CSO’s group health coverage in effect on the termination of employment date (which amount will be based on the premium for the first month of COBRA coverage). The Severance Payments will be subject to standard payroll deductions and withholdings and will be made on the Company’s regular payroll cycle, provided, however, that any Severance Payments otherwise scheduled to be made prior to the effective date of the Release shall accrue and be paid in the first payroll period that follows such effective date. The Company shall thereafter have no further obligations to CSO under this Agreement, except as otherwise provided by law.</w:t>
      </w:r>
    </w:p>
    <w:p>
      <w:pPr>
        <w:spacing w:after="0" w:line="279" w:lineRule="exact"/>
        <w:rPr>
          <w:sz w:val="20"/>
          <w:szCs w:val="20"/>
          <w:color w:val="auto"/>
        </w:rPr>
      </w:pPr>
    </w:p>
    <w:p>
      <w:pPr>
        <w:ind w:right="500" w:firstLine="1484"/>
        <w:spacing w:after="0" w:line="282" w:lineRule="auto"/>
        <w:rPr>
          <w:sz w:val="20"/>
          <w:szCs w:val="20"/>
          <w:color w:val="auto"/>
        </w:rPr>
      </w:pPr>
      <w:r>
        <w:rPr>
          <w:rFonts w:ascii="Arial" w:cs="Arial" w:eastAsia="Arial" w:hAnsi="Arial"/>
          <w:sz w:val="18"/>
          <w:szCs w:val="18"/>
          <w:b w:val="1"/>
          <w:bCs w:val="1"/>
          <w:color w:val="auto"/>
        </w:rPr>
        <w:t xml:space="preserve">4.5.4 Termination by Company Without Cause or by CSO for Good Reason In Connection with a Change in Control. </w:t>
      </w:r>
      <w:r>
        <w:rPr>
          <w:rFonts w:ascii="Arial" w:cs="Arial" w:eastAsia="Arial" w:hAnsi="Arial"/>
          <w:sz w:val="18"/>
          <w:szCs w:val="18"/>
          <w:color w:val="auto"/>
        </w:rPr>
        <w:t>If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terminates CSO’s</w:t>
      </w:r>
    </w:p>
    <w:p>
      <w:pPr>
        <w:sectPr>
          <w:pgSz w:w="11900" w:h="16838" w:orient="portrait"/>
          <w:cols w:equalWidth="0" w:num="1">
            <w:col w:w="11400"/>
          </w:cols>
          <w:pgMar w:left="240" w:top="274" w:right="259" w:bottom="1440" w:gutter="0" w:footer="0" w:header="0"/>
        </w:sectPr>
      </w:pPr>
    </w:p>
    <w:bookmarkStart w:id="224" w:name="page225"/>
    <w:bookmarkEnd w:id="224"/>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without Cause or if CSO resigns his employment for Good Reason, in either case upon the occurrence of, or within the 13 months immediately following, the effective date of a Change in Control, the Company shall pay CSO’s accrued and unpaid base salary and accrued and unused vacation benefits earned through the date of termination, at the rate in effect at the time of termination, less standard deductions and withholdings. Provided that CSO has permanently relocated his household to the San Diego area prior to such date of termination or resignation, then in addition, if CSO furnishes to the Company an executed Release within the time period specified therein, but in no event later than 45 days following CSO’s termination, and if CSO allows such Release to become effective in accordance with its terms, then CSO shall be entitled to: (1) the Severance Payments and COBRA coverage described in Section 4.5.3 above and (2) accelerated vesting of any unvested shares subject to the Base Option such that CSO shall become vested in 100% of the shares subject to such Base Option on the effective date of the Release. The Company shall thereafter have no further obligations to CSO under this Agreement, except as otherwise provided by law.</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4.6 Definitions. </w:t>
      </w:r>
      <w:r>
        <w:rPr>
          <w:rFonts w:ascii="Arial" w:cs="Arial" w:eastAsia="Arial" w:hAnsi="Arial"/>
          <w:sz w:val="18"/>
          <w:szCs w:val="18"/>
          <w:color w:val="auto"/>
        </w:rPr>
        <w:t>For purposes of this Agreement, the following terms shall have the following meanings:</w:t>
      </w:r>
    </w:p>
    <w:p>
      <w:pPr>
        <w:spacing w:after="0" w:line="117" w:lineRule="exact"/>
        <w:rPr>
          <w:sz w:val="20"/>
          <w:szCs w:val="20"/>
          <w:color w:val="auto"/>
        </w:rPr>
      </w:pPr>
    </w:p>
    <w:p>
      <w:pPr>
        <w:ind w:firstLine="1484"/>
        <w:spacing w:after="0" w:line="290" w:lineRule="auto"/>
        <w:rPr>
          <w:sz w:val="20"/>
          <w:szCs w:val="20"/>
          <w:color w:val="auto"/>
        </w:rPr>
      </w:pPr>
      <w:r>
        <w:rPr>
          <w:rFonts w:ascii="Arial" w:cs="Arial" w:eastAsia="Arial" w:hAnsi="Arial"/>
          <w:sz w:val="16"/>
          <w:szCs w:val="16"/>
          <w:b w:val="1"/>
          <w:bCs w:val="1"/>
          <w:color w:val="auto"/>
        </w:rPr>
        <w:t xml:space="preserve">4.6.1 </w:t>
      </w:r>
      <w:r>
        <w:rPr>
          <w:rFonts w:ascii="Arial" w:cs="Arial" w:eastAsia="Arial" w:hAnsi="Arial"/>
          <w:sz w:val="16"/>
          <w:szCs w:val="16"/>
          <w:b w:val="1"/>
          <w:bCs w:val="1"/>
          <w:i w:val="1"/>
          <w:iCs w:val="1"/>
          <w:color w:val="auto"/>
        </w:rPr>
        <w:t>“Cause”</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occurrence of any one or more of the following: (i) CSO’s commission of any crime involving fraud,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dishonesty or moral turpitude; (ii) CSO’s attempted commission of or participation in a fraud or act of dishonesty against the Company that results in (or might have reasonably resulted in) material harm to the business of the Company; (iii) CSO’s intentional, material violation of any contract or agreement between CSO and the Company or any statutory duty CSO owes to the Company; or (iv) CSO’s conduct that constitutes gross insubordination, incompetence or habitual neglect of duties and that results in (or might have reasonably resulted in) material harm to the business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action or conduct described in clauses (iii) and (iv) above will constitute “Cause” only if such action or conduct continues after the Company has provided CSO with written notice thereof and thirty (30) days to cure, or otherwise remedy to the extent possible under direct control of the CSO, the same. An occurrence of “Cause” as set forth in the preceding sentence shall be based upon a good faith determination by the Board. CSO’s Disability shall not constitute Cause as set forth herein. The determination that a termination is for Cause shall be by the Board in its sole and exclusive judgment and discretion.</w:t>
      </w:r>
    </w:p>
    <w:p>
      <w:pPr>
        <w:spacing w:after="0" w:line="52" w:lineRule="exact"/>
        <w:rPr>
          <w:sz w:val="20"/>
          <w:szCs w:val="20"/>
          <w:color w:val="auto"/>
        </w:rPr>
      </w:pPr>
    </w:p>
    <w:p>
      <w:pPr>
        <w:ind w:right="60" w:firstLine="1484"/>
        <w:spacing w:after="0" w:line="291" w:lineRule="auto"/>
        <w:rPr>
          <w:sz w:val="20"/>
          <w:szCs w:val="20"/>
          <w:color w:val="auto"/>
        </w:rPr>
      </w:pPr>
      <w:r>
        <w:rPr>
          <w:rFonts w:ascii="Arial" w:cs="Arial" w:eastAsia="Arial" w:hAnsi="Arial"/>
          <w:sz w:val="16"/>
          <w:szCs w:val="16"/>
          <w:b w:val="1"/>
          <w:bCs w:val="1"/>
          <w:color w:val="auto"/>
        </w:rPr>
        <w:t xml:space="preserve">4.6.2 </w:t>
      </w: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shall mean any of the following actions: (i) the assignment to CSO of any duties or responsibilities that results in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material diminution in CSO’s function (for Section 4.5.4, as in effect immediately prior to the effective date of the Change in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change in CSO’s title or reporting relationships shall not provide the basis for a voluntary termination with Good Reason; (ii) a material reduction by the Company in CSO’s annual base salary as in effect on the effective date of the Change in Control; </w:t>
      </w:r>
      <w:r>
        <w:rPr>
          <w:rFonts w:ascii="Arial" w:cs="Arial" w:eastAsia="Arial" w:hAnsi="Arial"/>
          <w:sz w:val="16"/>
          <w:szCs w:val="16"/>
          <w:i w:val="1"/>
          <w:iCs w:val="1"/>
          <w:color w:val="auto"/>
        </w:rPr>
        <w:t>provided, however</w:t>
      </w:r>
      <w:r>
        <w:rPr>
          <w:rFonts w:ascii="Arial" w:cs="Arial" w:eastAsia="Arial" w:hAnsi="Arial"/>
          <w:sz w:val="16"/>
          <w:szCs w:val="16"/>
          <w:color w:val="auto"/>
        </w:rPr>
        <w:t>, that Good Reason shall not be deemed to have occurred in the event of a reduction in CSO’s annual base salary that is pursuant to a salary reduction program affecting substantially all of the employees of the Company and that does not adversely affect CSO to a greater extent than other similarly situated employees; or (iii) a relocation of CSO’s primary business office to a location more than 50 miles from the location of CSO’s primary business office and which increases the CSO’s commute (for Section 4.5.4, as of the effective date of the Change in Control), except for required travel by CSO on the Company’s business to an extent</w:t>
      </w:r>
    </w:p>
    <w:p>
      <w:pPr>
        <w:sectPr>
          <w:pgSz w:w="11900" w:h="16838" w:orient="portrait"/>
          <w:cols w:equalWidth="0" w:num="1">
            <w:col w:w="11400"/>
          </w:cols>
          <w:pgMar w:left="240" w:top="274" w:right="259" w:bottom="1440" w:gutter="0" w:footer="0" w:header="0"/>
        </w:sectPr>
      </w:pPr>
    </w:p>
    <w:bookmarkStart w:id="225" w:name="page226"/>
    <w:bookmarkEnd w:id="22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substantially consistent with CSO’s business travel obligations prior to the effective date of the Change in Control;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CSO may not resign for Good Reason without first providing the Company with written notice within ninety (90) days of the date of the initial existence of the condition that CSO believes constitutes Good Reason specifically identifying the acts or omissions constituting the grounds for Good Reason and a reasonable cure period of not less than thirty (30) days and not more than ninety (90) days following the date of such notice</w:t>
      </w:r>
      <w:r>
        <w:rPr>
          <w:rFonts w:ascii="Arial" w:cs="Arial" w:eastAsia="Arial" w:hAnsi="Arial"/>
          <w:sz w:val="18"/>
          <w:szCs w:val="18"/>
          <w:i w:val="1"/>
          <w:iCs w:val="1"/>
          <w:color w:val="auto"/>
        </w:rPr>
        <w:t>.</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4.7 Survival of Certain Sections</w:t>
      </w:r>
      <w:r>
        <w:rPr>
          <w:rFonts w:ascii="Arial" w:cs="Arial" w:eastAsia="Arial" w:hAnsi="Arial"/>
          <w:sz w:val="17"/>
          <w:szCs w:val="17"/>
          <w:color w:val="auto"/>
        </w:rPr>
        <w:t>. Sections 2, 3.4 and 4 through 18 of this Agreement will survive the termination of this Agreement.</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4.8 Parachute Payment</w:t>
      </w:r>
      <w:r>
        <w:rPr>
          <w:rFonts w:ascii="Arial" w:cs="Arial" w:eastAsia="Arial" w:hAnsi="Arial"/>
          <w:sz w:val="17"/>
          <w:szCs w:val="17"/>
          <w:color w:val="auto"/>
        </w:rPr>
        <w:t>. If any payment or benefit CSO would receive pursuant to this Agreement (</w:t>
      </w:r>
      <w:r>
        <w:rPr>
          <w:rFonts w:ascii="Arial" w:cs="Arial" w:eastAsia="Arial" w:hAnsi="Arial"/>
          <w:sz w:val="17"/>
          <w:szCs w:val="17"/>
          <w:b w:val="1"/>
          <w:bCs w:val="1"/>
          <w:i w:val="1"/>
          <w:iCs w:val="1"/>
          <w:color w:val="auto"/>
        </w:rPr>
        <w:t>“Payment”</w:t>
      </w:r>
      <w:r>
        <w:rPr>
          <w:rFonts w:ascii="Arial" w:cs="Arial" w:eastAsia="Arial" w:hAnsi="Arial"/>
          <w:sz w:val="17"/>
          <w:szCs w:val="17"/>
          <w:color w:val="auto"/>
        </w:rPr>
        <w:t>) would (i) constitute a</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Parachute Payment</w:t>
      </w:r>
      <w:r>
        <w:rPr>
          <w:rFonts w:ascii="Arial" w:cs="Arial" w:eastAsia="Arial" w:hAnsi="Arial"/>
          <w:sz w:val="16"/>
          <w:szCs w:val="16"/>
          <w:color w:val="auto"/>
        </w:rPr>
        <w:t>” within the meaning of Section 280G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(ii) but for this sentence,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excise tax imposed by Section 4999 of the Code (the “</w:t>
      </w:r>
      <w:r>
        <w:rPr>
          <w:rFonts w:ascii="Arial" w:cs="Arial" w:eastAsia="Arial" w:hAnsi="Arial"/>
          <w:sz w:val="16"/>
          <w:szCs w:val="16"/>
          <w:b w:val="1"/>
          <w:bCs w:val="1"/>
          <w:i w:val="1"/>
          <w:iCs w:val="1"/>
          <w:color w:val="auto"/>
        </w:rPr>
        <w:t>Excise Tax</w:t>
      </w:r>
      <w:r>
        <w:rPr>
          <w:rFonts w:ascii="Arial" w:cs="Arial" w:eastAsia="Arial" w:hAnsi="Arial"/>
          <w:sz w:val="16"/>
          <w:szCs w:val="16"/>
          <w:color w:val="auto"/>
        </w:rPr>
        <w:t>”), then such Payment shall be equal to the Reduced Amount. The “</w:t>
      </w:r>
      <w:r>
        <w:rPr>
          <w:rFonts w:ascii="Arial" w:cs="Arial" w:eastAsia="Arial" w:hAnsi="Arial"/>
          <w:sz w:val="16"/>
          <w:szCs w:val="16"/>
          <w:b w:val="1"/>
          <w:bCs w:val="1"/>
          <w:i w:val="1"/>
          <w:iCs w:val="1"/>
          <w:color w:val="auto"/>
        </w:rPr>
        <w:t>Reduced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w:t>
      </w:r>
      <w:r>
        <w:rPr>
          <w:rFonts w:ascii="Arial" w:cs="Arial" w:eastAsia="Arial" w:hAnsi="Arial"/>
          <w:sz w:val="16"/>
          <w:szCs w:val="16"/>
          <w:color w:val="auto"/>
        </w:rPr>
        <w:t>” shall be either (x) the largest portion of the Payment that would result in no portion of the Payment being subject to the Excise Tax or (y) the largest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up to and including the total of the Payment, whichever amount, after taking into account all applicable federal, state and local employment taxes,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taxes, and the Excise Tax (all computed at the highest applicable marginal rate), results in CSO’s receipt, on an after-tax basis, of the greatest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economic benefit notwithstanding that all or some portion of the Payment may be subject to the Excise Tax. If a reduction in payments or benefits constituting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Parachute Payments is necessary so that the Payment equals the Reduced Amount, reduction shall occur in the manner that results in the greatest economic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benefit for CSO. If more than one method of reduction will result in the same economic benefit, the items so reduced will be reduced pro rata.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it is subsequently determined by the Internal Revenue Service that some portion of the Reduced Amount (as determined pursuant to clause</w:t>
      </w:r>
    </w:p>
    <w:p>
      <w:pPr>
        <w:spacing w:after="0" w:line="46" w:lineRule="exact"/>
        <w:rPr>
          <w:sz w:val="20"/>
          <w:szCs w:val="20"/>
          <w:color w:val="auto"/>
        </w:rPr>
      </w:pPr>
    </w:p>
    <w:p>
      <w:pPr>
        <w:jc w:val="both"/>
        <w:ind w:right="360" w:firstLine="8"/>
        <w:spacing w:after="0" w:line="281" w:lineRule="auto"/>
        <w:tabs>
          <w:tab w:leader="none" w:pos="2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in the preceding paragraph) is subject to the Excise Tax, CSO agrees to promptly return to the Company a sufficient amount of the Payment so that no portion of the Reduced Amount is subject to the Excise Tax. For the avoidance of doubt, if the Reduced Amount is determined in accordance with clause</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preceding paragraph, CSO will have no obligation to return any portion of the Payment pursuant to the preceding sentence.</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Unless CSO and the Company agree on an alternative accounting or law firm, the accounting firm then engaged by the Company for general tax compliance purposes shall perform the foregoing calculations. If the accounting firm so engaged by the Company is serving as accountant or auditor for the individual, entity or group effecting the Change in Control, the Company shall appoint a nationally recognized accounting, law or consulting firm to make the determinations required hereunder. The Company shall bear all expenses with respect to the determinations by such accounting, law or consulting firm required to be made hereunder.</w:t>
      </w:r>
    </w:p>
    <w:p>
      <w:pPr>
        <w:spacing w:after="0" w:line="18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The Company shall use commercially reasonable efforts such that the accounting, law or consulting firm engaged to make the determinations hereunder shall provide its calculations, together with detailed supporting documentation, to CSO and the Company within 15 calendar days after the date on which CSO’s right to a Payment is triggered (if requested at that time by CSO or the Company) or such other time as requested by CSO or the Company.</w:t>
      </w:r>
    </w:p>
    <w:p>
      <w:pPr>
        <w:sectPr>
          <w:pgSz w:w="11900" w:h="16838" w:orient="portrait"/>
          <w:cols w:equalWidth="0" w:num="1">
            <w:col w:w="11420"/>
          </w:cols>
          <w:pgMar w:left="240" w:top="274" w:right="239" w:bottom="1440" w:gutter="0" w:footer="0" w:header="0"/>
        </w:sectPr>
      </w:pPr>
    </w:p>
    <w:bookmarkStart w:id="226" w:name="page227"/>
    <w:bookmarkEnd w:id="226"/>
    <w:p>
      <w:pPr>
        <w:ind w:right="60" w:firstLine="913"/>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4.9 Application of Internal Revenue Code Section 409A. </w:t>
      </w:r>
      <w:r>
        <w:rPr>
          <w:rFonts w:ascii="Arial" w:cs="Arial" w:eastAsia="Arial" w:hAnsi="Arial"/>
          <w:sz w:val="16"/>
          <w:szCs w:val="16"/>
          <w:color w:val="auto"/>
        </w:rPr>
        <w:t>Notwithstanding anything to the contrary set forth herein, any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under this Agreement (the “</w:t>
      </w:r>
      <w:r>
        <w:rPr>
          <w:rFonts w:ascii="Arial" w:cs="Arial" w:eastAsia="Arial" w:hAnsi="Arial"/>
          <w:sz w:val="16"/>
          <w:szCs w:val="16"/>
          <w:b w:val="1"/>
          <w:bCs w:val="1"/>
          <w:i w:val="1"/>
          <w:iCs w:val="1"/>
          <w:color w:val="auto"/>
        </w:rPr>
        <w:t>Severance Benefits</w:t>
      </w:r>
      <w:r>
        <w:rPr>
          <w:rFonts w:ascii="Arial" w:cs="Arial" w:eastAsia="Arial" w:hAnsi="Arial"/>
          <w:sz w:val="16"/>
          <w:szCs w:val="16"/>
          <w:color w:val="auto"/>
        </w:rPr>
        <w:t>”) that constitute “deferred compensation” within the meaning of Section 409A of the Code and the regulations and other guidance thereunder and any state law of similar effect (collectively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shall not commence in connection with CSO’s termination of employment unless and until CSO has also incurred a “separation from service” (as such term is defined in Treasury Regulation</w:t>
      </w:r>
    </w:p>
    <w:p>
      <w:pPr>
        <w:spacing w:after="0" w:line="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Section 1.409A-1(h) (“</w:t>
      </w:r>
      <w:r>
        <w:rPr>
          <w:rFonts w:ascii="Arial" w:cs="Arial" w:eastAsia="Arial" w:hAnsi="Arial"/>
          <w:sz w:val="18"/>
          <w:szCs w:val="18"/>
          <w:b w:val="1"/>
          <w:bCs w:val="1"/>
          <w:i w:val="1"/>
          <w:iCs w:val="1"/>
          <w:color w:val="auto"/>
        </w:rPr>
        <w:t>Separation From Service</w:t>
      </w:r>
      <w:r>
        <w:rPr>
          <w:rFonts w:ascii="Arial" w:cs="Arial" w:eastAsia="Arial" w:hAnsi="Arial"/>
          <w:sz w:val="18"/>
          <w:szCs w:val="18"/>
          <w:color w:val="auto"/>
        </w:rPr>
        <w:t>”), unless the Company reasonably determines that such amounts may be provided to CSO without causing CSO to incur the additional 20% tax under Section 409A.</w:t>
      </w:r>
    </w:p>
    <w:p>
      <w:pPr>
        <w:spacing w:after="0" w:line="184"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It is intended that each installment of the Severance Benefits payments provided for in this Agreement is a separate “payment” for purposes of Treasury Regulation Section 1.409A-2(b)(2)(i). For the avoidance of doubt, it is intended that payments of the Severance Benefits set forth in this Agreement satisfy, to the greatest extent possible, the exemptions from the application of Section 409A provided under Treasury Regulation Sections 1.409A-1(b)(4), 1.409A-1(b)</w:t>
      </w:r>
    </w:p>
    <w:p>
      <w:pPr>
        <w:ind w:firstLine="8"/>
        <w:spacing w:after="0" w:line="268" w:lineRule="auto"/>
        <w:tabs>
          <w:tab w:leader="none" w:pos="25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and 1.409A-1(b)(9). However, if the Company (or, if applicable, the successor entity thereto) determines that the Severance Benefits constitute “deferred compensation” under Section 409A and CSO is, on the termination of service, a “specified employee” of the Company or any successor entity thereto, as such term is defined in Section 409A(a)(2)(B)(i) of the Code, then, solely to the extent necessary to avoid the incurrence of the adverse personal tax consequences under Section 409A, the timing of the Severance Benefit payments shall be delayed until the earlier to occur of: (i) the date that is six months and one day after CSO’s Separation From Service, or (ii) the date of CSO’s death (such applicable date, the “</w:t>
      </w:r>
      <w:r>
        <w:rPr>
          <w:rFonts w:ascii="Arial" w:cs="Arial" w:eastAsia="Arial" w:hAnsi="Arial"/>
          <w:sz w:val="17"/>
          <w:szCs w:val="17"/>
          <w:b w:val="1"/>
          <w:bCs w:val="1"/>
          <w:i w:val="1"/>
          <w:iCs w:val="1"/>
          <w:color w:val="auto"/>
        </w:rPr>
        <w:t>Specified Employee Initial Payment Date</w:t>
      </w:r>
      <w:r>
        <w:rPr>
          <w:rFonts w:ascii="Arial" w:cs="Arial" w:eastAsia="Arial" w:hAnsi="Arial"/>
          <w:sz w:val="17"/>
          <w:szCs w:val="17"/>
          <w:color w:val="auto"/>
        </w:rPr>
        <w:t>”), the Company (or the successor entity thereto, as applicable) shall (A) pay to CSO a lump sum amount equal to the sum of the Severance Benefit payments that CSO would otherwise have received through the Specified Employee Initial Payment Date if the commencement of the payment of the Severance Benefits had not been so delayed pursuant to this Section and (B) commence paying the balance of the Severance Benefits in accordance with the applicable payment schedules set forth in this Agreement.</w:t>
      </w:r>
    </w:p>
    <w:p>
      <w:pPr>
        <w:spacing w:after="0" w:line="18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Notwithstanding anything to the contrary set forth herein, CSO shall receive the Severance Benefits described above, if and only if CSO duly executes and returns to the Company within the applicable time period set forth therein, but in no event more than forty-five days following Separation From Service, the Release and permits the Release to become effective in accordance with its terms. Notwithstanding any other payment schedule set forth in this Agreement, none of the Severance Benefits will be paid or otherwise delivered prior to the effective date of the Release. Except to the extent that payments may be delayed until the Specified Employee Initial Payment Date pursuant to the preceding paragraph, on the first regular payroll pay day following the effective date of the Release, the Company will pay CSO the Severance Benefits CSO would otherwise have received under the Agreement on or prior to such date but for the delay in payment related to the effectiveness of the Release, with the balance of the Severance Benefits being paid as originally scheduled. All amounts payable under the Agreement will be subject to standard payroll taxes and deductions.</w:t>
      </w:r>
    </w:p>
    <w:p>
      <w:pPr>
        <w:sectPr>
          <w:pgSz w:w="11900" w:h="16838" w:orient="portrait"/>
          <w:cols w:equalWidth="0" w:num="1">
            <w:col w:w="11420"/>
          </w:cols>
          <w:pgMar w:left="240" w:top="270" w:right="239" w:bottom="1440" w:gutter="0" w:footer="0" w:header="0"/>
        </w:sectPr>
      </w:pPr>
    </w:p>
    <w:bookmarkStart w:id="227" w:name="page228"/>
    <w:bookmarkEnd w:id="227"/>
    <w:p>
      <w:pPr>
        <w:ind w:left="640" w:hanging="176"/>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rFonts w:ascii="Arial" w:cs="Arial" w:eastAsia="Arial" w:hAnsi="Arial"/>
          <w:sz w:val="15"/>
          <w:szCs w:val="15"/>
          <w:b w:val="1"/>
          <w:bCs w:val="1"/>
          <w:color w:val="auto"/>
        </w:rPr>
        <w:t>ONFIDENTIAL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ROPRIETARY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CSO has already executed, as a condition of CSO’s employment with the Company, the Company’s standard form of Proprietary Information and Inventions Agreement (the “</w:t>
      </w:r>
      <w:r>
        <w:rPr>
          <w:rFonts w:ascii="Arial" w:cs="Arial" w:eastAsia="Arial" w:hAnsi="Arial"/>
          <w:sz w:val="18"/>
          <w:szCs w:val="18"/>
          <w:b w:val="1"/>
          <w:bCs w:val="1"/>
          <w:i w:val="1"/>
          <w:iCs w:val="1"/>
          <w:color w:val="auto"/>
        </w:rPr>
        <w:t>PIIA</w:t>
      </w:r>
      <w:r>
        <w:rPr>
          <w:rFonts w:ascii="Arial" w:cs="Arial" w:eastAsia="Arial" w:hAnsi="Arial"/>
          <w:sz w:val="18"/>
          <w:szCs w:val="18"/>
          <w:color w:val="auto"/>
        </w:rPr>
        <w:t>”). The PIIA remains in full force and effect.</w:t>
      </w:r>
    </w:p>
    <w:p>
      <w:pPr>
        <w:spacing w:after="0" w:line="58" w:lineRule="exact"/>
        <w:rPr>
          <w:sz w:val="20"/>
          <w:szCs w:val="20"/>
          <w:color w:val="auto"/>
        </w:rPr>
      </w:pPr>
    </w:p>
    <w:p>
      <w:pPr>
        <w:ind w:left="640" w:hanging="17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SSIGNMENT AND</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INDING</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FFECT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This Agreement shall be binding upon and inure to the benefit of CSO and CSO’s heirs, executors, personal representatives, assigns, administrators and legal representatives. Because of the unique and personal nature of CSO’s duties under this Agreement, neither this Agreement nor any rights or obligations under this Agreement shall be assignable by CSO. This Agreement shall be binding upon and inure to the benefit of the Company and its successors, assigns and legal representatives.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w:t>
      </w:r>
    </w:p>
    <w:p>
      <w:pPr>
        <w:spacing w:after="0" w:line="66" w:lineRule="exact"/>
        <w:rPr>
          <w:sz w:val="20"/>
          <w:szCs w:val="20"/>
          <w:color w:val="auto"/>
        </w:rPr>
      </w:pPr>
    </w:p>
    <w:p>
      <w:pPr>
        <w:ind w:left="640" w:hanging="17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OTICES</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All notices or demands of any kind required or permitted to be given by the Company or CSO under this Agreement shall be given in writing and shall be personally delivered (and receipted for) or faxed during normal business hours or mailed by certified mail, return receipt requested, postage prepaid, addressed as follows: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the Company: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10421 Pacific Center Court, Suite 200</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Executive Officer</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If to CSO:</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Matthew Moyle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31521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238125</wp:posOffset>
            </wp:positionV>
            <wp:extent cx="231521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Any such written notice shall be deemed given on the earlier of the date on which such notice is personally delivered or three days after its deposit in the United States mail as specified above. Either Party may change its address for notices by giving notice to the other Party in the manner specified in this Section.</w:t>
      </w:r>
    </w:p>
    <w:p>
      <w:pPr>
        <w:spacing w:after="0" w:line="69" w:lineRule="exact"/>
        <w:rPr>
          <w:sz w:val="20"/>
          <w:szCs w:val="20"/>
          <w:color w:val="auto"/>
        </w:rPr>
      </w:pPr>
    </w:p>
    <w:p>
      <w:pPr>
        <w:ind w:left="640" w:hanging="176"/>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This Agreement shall be construed and interpreted in accordance with the internal laws of the State of California without regard to its conflict of laws principles.</w:t>
      </w:r>
    </w:p>
    <w:p>
      <w:pPr>
        <w:sectPr>
          <w:pgSz w:w="11900" w:h="16838" w:orient="portrait"/>
          <w:cols w:equalWidth="0" w:num="1">
            <w:col w:w="11400"/>
          </w:cols>
          <w:pgMar w:left="240" w:top="270" w:right="259" w:bottom="1440" w:gutter="0" w:footer="0" w:header="0"/>
        </w:sectPr>
      </w:pPr>
    </w:p>
    <w:bookmarkStart w:id="228" w:name="page229"/>
    <w:bookmarkEnd w:id="228"/>
    <w:p>
      <w:pPr>
        <w:ind w:left="640" w:hanging="176"/>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NTEGRATION</w:t>
      </w:r>
      <w:r>
        <w:rPr>
          <w:rFonts w:ascii="Arial" w:cs="Arial" w:eastAsia="Arial" w:hAnsi="Arial"/>
          <w:sz w:val="18"/>
          <w:szCs w:val="18"/>
          <w:b w:val="1"/>
          <w:bCs w:val="1"/>
          <w:color w:val="auto"/>
        </w:rPr>
        <w:t>.</w:t>
      </w:r>
    </w:p>
    <w:p>
      <w:pPr>
        <w:spacing w:after="0" w:line="117" w:lineRule="exact"/>
        <w:rPr>
          <w:sz w:val="20"/>
          <w:szCs w:val="20"/>
          <w:color w:val="auto"/>
        </w:rPr>
      </w:pPr>
    </w:p>
    <w:p>
      <w:pPr>
        <w:ind w:firstLine="913"/>
        <w:spacing w:after="0" w:line="266" w:lineRule="auto"/>
        <w:rPr>
          <w:sz w:val="20"/>
          <w:szCs w:val="20"/>
          <w:color w:val="auto"/>
        </w:rPr>
      </w:pPr>
      <w:r>
        <w:rPr>
          <w:rFonts w:ascii="Arial" w:cs="Arial" w:eastAsia="Arial" w:hAnsi="Arial"/>
          <w:sz w:val="18"/>
          <w:szCs w:val="18"/>
          <w:color w:val="auto"/>
        </w:rPr>
        <w:t xml:space="preserve">This Agreement, including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and the PIIA, contains the complete, final and exclusive agreement of the Parties relating to the terms and conditions of CSO’s employment and the termination of CSO’s employment, and supersedes any and all prior and/or contemporaneous oral and written employment agreements or arrangements between the Parties.</w:t>
      </w:r>
    </w:p>
    <w:p>
      <w:pPr>
        <w:spacing w:after="0" w:line="68" w:lineRule="exact"/>
        <w:rPr>
          <w:sz w:val="20"/>
          <w:szCs w:val="20"/>
          <w:color w:val="auto"/>
        </w:rPr>
      </w:pPr>
    </w:p>
    <w:p>
      <w:pPr>
        <w:ind w:left="740" w:hanging="276"/>
        <w:spacing w:after="0"/>
        <w:tabs>
          <w:tab w:leader="none" w:pos="7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This Agreement cannot be amended or modified except by a written agreement signed by CSO and the Company.</w:t>
      </w:r>
    </w:p>
    <w:p>
      <w:pPr>
        <w:spacing w:after="0" w:line="113" w:lineRule="exact"/>
        <w:rPr>
          <w:sz w:val="20"/>
          <w:szCs w:val="20"/>
          <w:color w:val="auto"/>
        </w:rPr>
      </w:pPr>
    </w:p>
    <w:p>
      <w:pPr>
        <w:ind w:left="720" w:hanging="256"/>
        <w:spacing w:after="0"/>
        <w:tabs>
          <w:tab w:leader="none" w:pos="7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No term, covenant or condition of this Agreement or any breach thereof shall be deemed waived, except with the written consent of the Party against whom the wavier is claimed, and any waiver or any such term, covenant, condition or breach shall not be deemed to be a waiver of any preceding or succeeding breach of the same or any other term, covenant, condition or breach.</w:t>
      </w:r>
    </w:p>
    <w:p>
      <w:pPr>
        <w:spacing w:after="0" w:line="69" w:lineRule="exact"/>
        <w:rPr>
          <w:sz w:val="20"/>
          <w:szCs w:val="20"/>
          <w:color w:val="auto"/>
        </w:rPr>
      </w:pPr>
    </w:p>
    <w:p>
      <w:pPr>
        <w:ind w:left="740" w:hanging="276"/>
        <w:spacing w:after="0"/>
        <w:tabs>
          <w:tab w:leader="none" w:pos="7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EVERABILITY</w:t>
      </w:r>
      <w:r>
        <w:rPr>
          <w:rFonts w:ascii="Arial" w:cs="Arial" w:eastAsia="Arial" w:hAnsi="Arial"/>
          <w:sz w:val="18"/>
          <w:szCs w:val="18"/>
          <w:b w:val="1"/>
          <w:bCs w:val="1"/>
          <w:color w:val="auto"/>
        </w:rPr>
        <w:t>.</w:t>
      </w:r>
    </w:p>
    <w:p>
      <w:pPr>
        <w:spacing w:after="0" w:line="12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finding by a court of competent jurisdiction of the unenforceability, invalidity or illegality of any provision of this Agreement shall not render any other provision of this Agreement unenforceable, invalid or illegal. Such court shall have the authority to modify or replace the invalid or unenforceable term or provision with a valid and enforceable term or provision, which most accurately represents the Parties’ intention with respect to the invalid or unenforceable term, or provision.</w:t>
      </w:r>
    </w:p>
    <w:p>
      <w:pPr>
        <w:spacing w:after="0" w:line="75" w:lineRule="exact"/>
        <w:rPr>
          <w:sz w:val="20"/>
          <w:szCs w:val="20"/>
          <w:color w:val="auto"/>
        </w:rPr>
      </w:pPr>
    </w:p>
    <w:p>
      <w:pPr>
        <w:ind w:left="740" w:hanging="276"/>
        <w:spacing w:after="0"/>
        <w:tabs>
          <w:tab w:leader="none" w:pos="7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NTERPRETATION</w:t>
      </w:r>
      <w:r>
        <w:rPr>
          <w:rFonts w:ascii="Arial" w:cs="Arial" w:eastAsia="Arial" w:hAnsi="Arial"/>
          <w:sz w:val="18"/>
          <w:szCs w:val="18"/>
          <w:b w:val="1"/>
          <w:bCs w:val="1"/>
          <w:color w:val="auto"/>
        </w:rPr>
        <w:t>; C</w:t>
      </w:r>
      <w:r>
        <w:rPr>
          <w:rFonts w:ascii="Arial" w:cs="Arial" w:eastAsia="Arial" w:hAnsi="Arial"/>
          <w:sz w:val="15"/>
          <w:szCs w:val="15"/>
          <w:b w:val="1"/>
          <w:bCs w:val="1"/>
          <w:color w:val="auto"/>
        </w:rPr>
        <w:t>ONSTRUCTION</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headings set forth in this Agreement are for convenience of reference only and shall not be used in interpreting this Agreement. This Agreement has been drafted by legal counsel representing the Company, but CSO has been encouraged to consult with, and has consulted with, CSO’s own independent counsel and tax advisors with respect to the terms of this Agreement. The Parties acknowledge that each Party and its counsel has reviewed and revised, or had an opportunity to review and revise, this Agreement, and any rule of construction to the effect that any ambiguities are to be resolved against the drafting party shall not be employed in the interpretation of this Agreement.</w:t>
      </w:r>
    </w:p>
    <w:p>
      <w:pPr>
        <w:spacing w:after="0" w:line="60" w:lineRule="exact"/>
        <w:rPr>
          <w:sz w:val="20"/>
          <w:szCs w:val="20"/>
          <w:color w:val="auto"/>
        </w:rPr>
      </w:pPr>
    </w:p>
    <w:p>
      <w:pPr>
        <w:ind w:left="740" w:hanging="276"/>
        <w:spacing w:after="0"/>
        <w:tabs>
          <w:tab w:leader="none" w:pos="7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CSO represents and warrants that CSO is not restricted or prohibited, contractually or otherwise, from entering into and performing each of the terms and covenants contained in this Agreement, and that CSO’s execution and performance of this Agreement will not violate or breach any other agreements between CSO and any other person or entity.</w:t>
      </w:r>
    </w:p>
    <w:p>
      <w:pPr>
        <w:spacing w:after="0" w:line="69" w:lineRule="exact"/>
        <w:rPr>
          <w:sz w:val="20"/>
          <w:szCs w:val="20"/>
          <w:color w:val="auto"/>
        </w:rPr>
      </w:pPr>
    </w:p>
    <w:p>
      <w:pPr>
        <w:ind w:left="740" w:hanging="276"/>
        <w:spacing w:after="0"/>
        <w:tabs>
          <w:tab w:leader="none" w:pos="7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OUNTERPARTS</w:t>
      </w:r>
      <w:r>
        <w:rPr>
          <w:rFonts w:ascii="Arial" w:cs="Arial" w:eastAsia="Arial" w:hAnsi="Arial"/>
          <w:sz w:val="18"/>
          <w:szCs w:val="18"/>
          <w:b w:val="1"/>
          <w:bCs w:val="1"/>
          <w:color w:val="auto"/>
        </w:rPr>
        <w:t>.</w:t>
      </w:r>
    </w:p>
    <w:p>
      <w:pPr>
        <w:sectPr>
          <w:pgSz w:w="11900" w:h="16838" w:orient="portrait"/>
          <w:cols w:equalWidth="0" w:num="1">
            <w:col w:w="11300"/>
          </w:cols>
          <w:pgMar w:left="240" w:top="270" w:right="359" w:bottom="1440" w:gutter="0" w:footer="0" w:header="0"/>
        </w:sectPr>
      </w:pPr>
    </w:p>
    <w:bookmarkStart w:id="229" w:name="page230"/>
    <w:bookmarkEnd w:id="229"/>
    <w:p>
      <w:pPr>
        <w:ind w:right="1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may be executed in two counterparts, each of which shall be deemed an original, all of which together shall contribute one and the same instrument.</w:t>
      </w:r>
    </w:p>
    <w:p>
      <w:pPr>
        <w:spacing w:after="0" w:line="58" w:lineRule="exact"/>
        <w:rPr>
          <w:sz w:val="20"/>
          <w:szCs w:val="20"/>
          <w:color w:val="auto"/>
        </w:rPr>
      </w:pPr>
    </w:p>
    <w:p>
      <w:pPr>
        <w:ind w:left="740" w:hanging="276"/>
        <w:spacing w:after="0"/>
        <w:tabs>
          <w:tab w:leader="none" w:pos="7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RBITRATION</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To ensure the rapid and economical resolution of disputes that may arise in connection with CSO’s employment with the Company, CSO and the Company agree that any and all disputes, claims, or causes of action, in law or equity, arising from or relating to CSO’s employment, or the termination of that employment, will be resolved, to the fullest extent permitted by law, by final, binding and confidential arbitration pursuant to both the substantive and procedural provisions of the Federal Arbitration Act in San Diego, California conducted by the Judicial Arbitration and Mediation Services/Endispute, Inc.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or its successors, under the then current rules of JAMS for employment disputes; provided that the arbitrator shall: (a) have the authority to compel adequate discovery for the resolution of the dispute and to award such relief as would otherwise be permitted by law; and (b) issue a written arbitration decision including the arbitrator’s essential findings and conclusions and a statement of the award. Accordingly, CSO and the Company hereby waive any right to a jury trial. Both CSO and the Company shall be entitled to all rights and remedies that either CSO or the Company would be entitled to pursue in a court of law. The Company shall pay any JAMS filing fee and shall pay the arbitrator’s fee. Nothing in this Agreement is intended to prevent either CSO or the Company from obtaining injunctive relief in court to prevent irreparable harm pending the conclusion of any such arbitration. Notwithstanding the foregoing, CSO and the Company each have the right to resolve any issue or dispute involving confidential, proprietary or trade secret information, or intellectual property rights, by Court action instead of arbitration.</w:t>
      </w:r>
    </w:p>
    <w:p>
      <w:pPr>
        <w:spacing w:after="0" w:line="68" w:lineRule="exact"/>
        <w:rPr>
          <w:sz w:val="20"/>
          <w:szCs w:val="20"/>
          <w:color w:val="auto"/>
        </w:rPr>
      </w:pPr>
    </w:p>
    <w:p>
      <w:pPr>
        <w:ind w:left="740" w:hanging="276"/>
        <w:spacing w:after="0"/>
        <w:tabs>
          <w:tab w:leader="none" w:pos="7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RADE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ECRETS</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It is the understanding of both the Company and CSO that CSO shall not divulge to the Company and/or its subsidiaries any confidential information or trade secrets belonging to others, including CSO’s former employers, nor shall the Company and/or its Affiliates seek to elicit from CSO any such information. Consistent with the foregoing, CSO shall not provide to the Company and/or its Affiliates, and the Company and/or its Affiliates shall not request, any documents or copies of documents containing such information.</w:t>
      </w:r>
    </w:p>
    <w:p>
      <w:pPr>
        <w:spacing w:after="0" w:line="75" w:lineRule="exact"/>
        <w:rPr>
          <w:sz w:val="20"/>
          <w:szCs w:val="20"/>
          <w:color w:val="auto"/>
        </w:rPr>
      </w:pPr>
    </w:p>
    <w:p>
      <w:pPr>
        <w:ind w:left="740" w:hanging="276"/>
        <w:spacing w:after="0"/>
        <w:tabs>
          <w:tab w:leader="none" w:pos="7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DVERTISING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AIVER</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CSO agrees to permit the Company, and persons or other organizations authorized by the Company, to use, publish and distribute advertising or sales promotional literature concerning the products and/or services of the Company, or the machinery and equipment used in the provision thereof, in which CSO’s name and/or pictures of CSO taken in the course of CSO’s provision of services to the Company appear. CSO hereby waives and releases any claim or right CSO may otherwise have arising out of such use, publication or distribution.</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EMAINDER OF THIS PAGE INTENTIONALLY LEFT BLANK</w:t>
      </w:r>
      <w:r>
        <w:rPr>
          <w:rFonts w:ascii="Arial" w:cs="Arial" w:eastAsia="Arial" w:hAnsi="Arial"/>
          <w:sz w:val="18"/>
          <w:szCs w:val="18"/>
          <w:color w:val="auto"/>
        </w:rPr>
        <w:t>]</w:t>
      </w:r>
    </w:p>
    <w:p>
      <w:pPr>
        <w:sectPr>
          <w:pgSz w:w="11900" w:h="16838" w:orient="portrait"/>
          <w:cols w:equalWidth="0" w:num="1">
            <w:col w:w="11380"/>
          </w:cols>
          <w:pgMar w:left="240" w:top="274" w:right="279" w:bottom="1440" w:gutter="0" w:footer="0" w:header="0"/>
        </w:sectPr>
      </w:pPr>
    </w:p>
    <w:bookmarkStart w:id="230" w:name="page231"/>
    <w:bookmarkEnd w:id="23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executed this Agreement as of the dates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Its:</w:t>
        <w:tab/>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14605</wp:posOffset>
            </wp:positionV>
            <wp:extent cx="263271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5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Dated:</w:t>
        <w:tab/>
        <w:t>March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CSO: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Matthew Moyle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ATTHEW</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OYLE</w:t>
      </w:r>
    </w:p>
    <w:p>
      <w:pPr>
        <w:spacing w:after="0" w:line="24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Dated:</w:t>
        <w:tab/>
        <w:t>March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jc w:val="right"/>
        <w:ind w:right="261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E</w:t>
      </w:r>
      <w:r>
        <w:rPr>
          <w:rFonts w:ascii="Arial" w:cs="Arial" w:eastAsia="Arial" w:hAnsi="Arial"/>
          <w:sz w:val="15"/>
          <w:szCs w:val="15"/>
          <w:color w:val="auto"/>
        </w:rPr>
        <w:t>MPLOYMENT</w:t>
      </w:r>
      <w:r>
        <w:rPr>
          <w:rFonts w:ascii="Arial" w:cs="Arial" w:eastAsia="Arial" w:hAnsi="Arial"/>
          <w:sz w:val="18"/>
          <w:szCs w:val="18"/>
          <w:color w:val="auto"/>
        </w:rPr>
        <w:t xml:space="preserve"> A</w:t>
      </w:r>
      <w:r>
        <w:rPr>
          <w:rFonts w:ascii="Arial" w:cs="Arial" w:eastAsia="Arial" w:hAnsi="Arial"/>
          <w:sz w:val="15"/>
          <w:szCs w:val="15"/>
          <w:color w:val="auto"/>
        </w:rPr>
        <w:t>GREEMENT</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31" w:name="page232"/>
    <w:bookmarkEnd w:id="2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RELEASE AND WAIVER OF CLAIMS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SIGNED ON OR FOLLOWING THE SEPARATION DATE ONLY</w:t>
      </w:r>
    </w:p>
    <w:p>
      <w:pPr>
        <w:spacing w:after="0" w:line="229"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 xml:space="preserve">In consideration of the payments and other benefits set forth in the Employment Agreement effective , 201 , to which this form is attached, I, Matthew Moyle, hereby furnish </w:t>
      </w:r>
      <w:r>
        <w:rPr>
          <w:rFonts w:ascii="Arial" w:cs="Arial" w:eastAsia="Arial" w:hAnsi="Arial"/>
          <w:sz w:val="17"/>
          <w:szCs w:val="17"/>
          <w:b w:val="1"/>
          <w:bCs w:val="1"/>
          <w:color w:val="auto"/>
        </w:rPr>
        <w:t>A</w:t>
      </w:r>
      <w:r>
        <w:rPr>
          <w:rFonts w:ascii="Arial" w:cs="Arial" w:eastAsia="Arial" w:hAnsi="Arial"/>
          <w:sz w:val="14"/>
          <w:szCs w:val="14"/>
          <w:b w:val="1"/>
          <w:bCs w:val="1"/>
          <w:color w:val="auto"/>
        </w:rPr>
        <w:t>NAPTYS</w:t>
      </w:r>
      <w:r>
        <w:rPr>
          <w:rFonts w:ascii="Arial" w:cs="Arial" w:eastAsia="Arial" w:hAnsi="Arial"/>
          <w:sz w:val="17"/>
          <w:szCs w:val="17"/>
          <w:b w:val="1"/>
          <w:bCs w:val="1"/>
          <w:color w:val="auto"/>
        </w:rPr>
        <w:t>B</w:t>
      </w:r>
      <w:r>
        <w:rPr>
          <w:rFonts w:ascii="Arial" w:cs="Arial" w:eastAsia="Arial" w:hAnsi="Arial"/>
          <w:sz w:val="14"/>
          <w:szCs w:val="14"/>
          <w:b w:val="1"/>
          <w:bCs w:val="1"/>
          <w:color w:val="auto"/>
        </w:rPr>
        <w:t>IO</w:t>
      </w:r>
      <w:r>
        <w:rPr>
          <w:rFonts w:ascii="Arial" w:cs="Arial" w:eastAsia="Arial" w:hAnsi="Arial"/>
          <w:sz w:val="17"/>
          <w:szCs w:val="17"/>
          <w:b w:val="1"/>
          <w:bCs w:val="1"/>
          <w:color w:val="auto"/>
        </w:rPr>
        <w:t>, I</w:t>
      </w:r>
      <w:r>
        <w:rPr>
          <w:rFonts w:ascii="Arial" w:cs="Arial" w:eastAsia="Arial" w:hAnsi="Arial"/>
          <w:sz w:val="14"/>
          <w:szCs w:val="14"/>
          <w:b w:val="1"/>
          <w:bCs w:val="1"/>
          <w:color w:val="auto"/>
        </w:rPr>
        <w:t>NC</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with the following release and waiver (</w:t>
      </w:r>
      <w:r>
        <w:rPr>
          <w:rFonts w:ascii="Arial" w:cs="Arial" w:eastAsia="Arial" w:hAnsi="Arial"/>
          <w:sz w:val="17"/>
          <w:szCs w:val="17"/>
          <w:b w:val="1"/>
          <w:bCs w:val="1"/>
          <w:i w:val="1"/>
          <w:iCs w:val="1"/>
          <w:color w:val="auto"/>
        </w:rPr>
        <w:t>“Release and Waiver”</w:t>
      </w:r>
      <w:r>
        <w:rPr>
          <w:rFonts w:ascii="Arial" w:cs="Arial" w:eastAsia="Arial" w:hAnsi="Arial"/>
          <w:sz w:val="17"/>
          <w:szCs w:val="17"/>
          <w:color w:val="auto"/>
        </w:rPr>
        <w: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exchange for the consideration provided to me by the Employment Agreement that I am not otherwise entitled to receive, I hereby generally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completely release the Company and its current and former directors, officers, employees, stockholders, partners, agents, attorneys, predecessors, successors,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parent and subsidiary entities, insurers, affiliates, and assigns (collectively, the “</w:t>
      </w:r>
      <w:r>
        <w:rPr>
          <w:rFonts w:ascii="Arial" w:cs="Arial" w:eastAsia="Arial" w:hAnsi="Arial"/>
          <w:sz w:val="16"/>
          <w:szCs w:val="16"/>
          <w:b w:val="1"/>
          <w:bCs w:val="1"/>
          <w:i w:val="1"/>
          <w:iCs w:val="1"/>
          <w:color w:val="auto"/>
        </w:rPr>
        <w:t>Released Parties</w:t>
      </w:r>
      <w:r>
        <w:rPr>
          <w:rFonts w:ascii="Arial" w:cs="Arial" w:eastAsia="Arial" w:hAnsi="Arial"/>
          <w:sz w:val="16"/>
          <w:szCs w:val="16"/>
          <w:color w:val="auto"/>
        </w:rPr>
        <w:t>”) from any and all claims, liabilities and obligations, both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known and unknown, that arise out of or are in any way related to events, acts, conduct, or omissions occurring prior to or on the date that I sign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(collectively, the “</w:t>
      </w:r>
      <w:r>
        <w:rPr>
          <w:rFonts w:ascii="Arial" w:cs="Arial" w:eastAsia="Arial" w:hAnsi="Arial"/>
          <w:sz w:val="16"/>
          <w:szCs w:val="16"/>
          <w:b w:val="1"/>
          <w:bCs w:val="1"/>
          <w:i w:val="1"/>
          <w:iCs w:val="1"/>
          <w:color w:val="auto"/>
        </w:rPr>
        <w:t>Released Claims</w:t>
      </w:r>
      <w:r>
        <w:rPr>
          <w:rFonts w:ascii="Arial" w:cs="Arial" w:eastAsia="Arial" w:hAnsi="Arial"/>
          <w:sz w:val="16"/>
          <w:szCs w:val="16"/>
          <w:color w:val="auto"/>
        </w:rPr>
        <w:t>”). The Released Claims include, but are not limited to: (a) all claims arising out of or in any way related to my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employment with the Company, or the termination of that employment; (b) all claims related to my compensation or benefits from the Company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salary, bonuses, commissions, vacation pay, expense reimbursements, severance pay, fringe benefits, stock, stock options, or any other ownership interests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 all claims for breach of contract, wrongful termination, and breach of the implied covenant of good faith and fair dealing; (d) all tort claims,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fraud, defamation, emotional distress, and discharge in violation of public policy; and (e) all federal, state, and local statutory claims,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claims for discrimination, harassment, retaliation, misclassification, attorneys’ fees, or other claims arising under the federal Civil Rights Act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1964 (as amended), the federal Americans with Disabilities Act of 1990, the federal Age Discrimination in Employment Act of 1967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ADEA</w:t>
      </w:r>
      <w:r>
        <w:rPr>
          <w:rFonts w:ascii="Arial" w:cs="Arial" w:eastAsia="Arial" w:hAnsi="Arial"/>
          <w:sz w:val="16"/>
          <w:szCs w:val="16"/>
          <w:color w:val="auto"/>
        </w:rPr>
        <w:t>”), the California Labor Code, and the California Fair Employment and Housing Act (as amended). Notwithstanding the foregoing, the following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included in the Released Claims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(a) any rights or claims for indemnification I may have pursuant to the charter or bylaws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or under applicable law; (b) any rights or claims to unemployment compensation, funds accrued in my 401k account, or any vested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incentives; (c) any rights that are not waivable as a matter of law; or (d) any claims arising from the breach of this Agreement. I hereby represent and warrant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other than the Excluded Claims, I am not aware of any claims I have or might have against any of the Released Parties that are not included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Released Claims.</w:t>
      </w:r>
    </w:p>
    <w:p>
      <w:pPr>
        <w:spacing w:after="0" w:line="207"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color w:val="auto"/>
        </w:rPr>
        <w:t>I also acknowledge that I have read and understand Section 1542 of the California Civil Code which reads as follows: “</w:t>
      </w:r>
      <w:r>
        <w:rPr>
          <w:rFonts w:ascii="Arial" w:cs="Arial" w:eastAsia="Arial" w:hAnsi="Arial"/>
          <w:sz w:val="16"/>
          <w:szCs w:val="16"/>
          <w:b w:val="1"/>
          <w:bCs w:val="1"/>
          <w:color w:val="auto"/>
        </w:rPr>
        <w:t>A general release does not</w:t>
      </w:r>
      <w:r>
        <w:rPr>
          <w:rFonts w:ascii="Arial" w:cs="Arial" w:eastAsia="Arial" w:hAnsi="Arial"/>
          <w:sz w:val="16"/>
          <w:szCs w:val="16"/>
          <w:color w:val="auto"/>
        </w:rPr>
        <w:t xml:space="preserve"> </w:t>
      </w:r>
      <w:r>
        <w:rPr>
          <w:rFonts w:ascii="Arial" w:cs="Arial" w:eastAsia="Arial" w:hAnsi="Arial"/>
          <w:sz w:val="16"/>
          <w:szCs w:val="16"/>
          <w:b w:val="1"/>
          <w:bCs w:val="1"/>
          <w:color w:val="auto"/>
        </w:rPr>
        <w:t>extend to claims which the creditor does not know or suspect to exist in his or her favor at the time of executing the release, which if known by him or her must have materially affected his or her settlement with the debtor.</w:t>
      </w:r>
      <w:r>
        <w:rPr>
          <w:rFonts w:ascii="Arial" w:cs="Arial" w:eastAsia="Arial" w:hAnsi="Arial"/>
          <w:sz w:val="16"/>
          <w:szCs w:val="16"/>
          <w:color w:val="auto"/>
        </w:rPr>
        <w:t>” I hereby expressly waive and relinquish all rights and benefits under that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and any law of any jurisdiction, including New York, of similar effect with respect to any claims I may have against the Company.</w:t>
      </w:r>
    </w:p>
    <w:p>
      <w:pPr>
        <w:sectPr>
          <w:pgSz w:w="11900" w:h="16838" w:orient="portrait"/>
          <w:cols w:equalWidth="0" w:num="1">
            <w:col w:w="11400"/>
          </w:cols>
          <w:pgMar w:left="240" w:top="270" w:right="259" w:bottom="1440" w:gutter="0" w:footer="0" w:header="0"/>
        </w:sectPr>
      </w:pPr>
    </w:p>
    <w:bookmarkStart w:id="232" w:name="page233"/>
    <w:bookmarkEnd w:id="232"/>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acknowledge that, among other rights, I am waiving and releasing any rights I may have under ADEA, that this Release and Waiver is knowing and voluntary, and that the consideration given for this Release and Waiver is in addition to anything of value to which I was already entitled as an executive of the Company. I further acknowledge that I have been advised, as required by the Older Workers Benefit Protection Act, that: (a) the release and waiver granted herein does not relate to claims under the ADEA which may arise after this Release and Waiver is executed; (b) I should consult with an attorney prior to executing this Release and Waiver; and (c) if I am age 40 or older at the time of execution of this release, I have 21 days from the date of termination of my employment with the Company in which to consider this Release and Waiver (although I may choose voluntarily to execute this Release and Waiver earlier); and (d) if I am age 40 or older at the time of execution of this release, I have seven days following the execution of this Release and Waiver to revoke my consent to this Release and Waiver and this Release and Waiver shall not be effective until the seven day revocation period has expired without my having previously revoked this Release and Waiver.</w:t>
      </w:r>
    </w:p>
    <w:p>
      <w:pPr>
        <w:spacing w:after="0" w:line="18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I agree not to disparage the Company and its officers, directors, employees, shareholders and/or agents, in any manner likely to be harmful to them or their business, business reputations or personal reputations; provided that I may respond accurately and fully to any question, inquiry or request for information when required by legal process (e.g., a valid subpoena or other similar compulsion of law) or as part of a government investigation.</w:t>
      </w:r>
    </w:p>
    <w:p>
      <w:pPr>
        <w:spacing w:after="0" w:line="14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 acknowledge my continuing obligations under my Proprietary Information and Inventions Agreement. Pursuant to the Proprietary Information and Inventions Agreement I understand that among other things, I must not use or disclose any confidential or proprietary information of the Company and I must immediately return all Company property and documents (including all embodiments of proprietary information) and all copies thereof in my possession or control. I understand and agree that my right to the severance pay I am receiving in exchange for my agreement to the terms of this Release and Waiver is contingent upon my continued compliance with my Proprietary Information and Inventions Agreement.</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Release and Waiver constitutes the complete, final and exclusive embodiment of the entire agreement between the Company and me with regard to the subject matter hereof. I am not relying on any promise or representation by the Company that is not expressly stated herein. This Release and Waiver may only be modified by a writing signed by both me and a duly authorized officer of the Company.</w:t>
      </w:r>
    </w:p>
    <w:p>
      <w:pPr>
        <w:spacing w:after="0" w:line="208"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-10160</wp:posOffset>
            </wp:positionV>
            <wp:extent cx="222885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228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8572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Moyle</w:t>
      </w:r>
    </w:p>
    <w:p>
      <w:pPr>
        <w:sectPr>
          <w:pgSz w:w="11900" w:h="16838" w:orient="portrait"/>
          <w:cols w:equalWidth="0" w:num="1">
            <w:col w:w="11400"/>
          </w:cols>
          <w:pgMar w:left="240" w:top="274" w:right="259" w:bottom="1440" w:gutter="0" w:footer="0" w:header="0"/>
        </w:sectPr>
      </w:pPr>
    </w:p>
    <w:bookmarkStart w:id="233" w:name="page234"/>
    <w:bookmarkEnd w:id="233"/>
    <w:p>
      <w:pPr>
        <w:ind w:left="10280"/>
        <w:spacing w:after="0"/>
        <w:rPr>
          <w:sz w:val="20"/>
          <w:szCs w:val="20"/>
          <w:color w:val="auto"/>
        </w:rPr>
      </w:pPr>
      <w:r>
        <w:rPr>
          <w:rFonts w:ascii="Arial" w:cs="Arial" w:eastAsia="Arial" w:hAnsi="Arial"/>
          <w:sz w:val="18"/>
          <w:szCs w:val="18"/>
          <w:b w:val="1"/>
          <w:bCs w:val="1"/>
          <w:color w:val="auto"/>
        </w:rPr>
        <w:t>EXHIBIT 10.9</w:t>
      </w:r>
    </w:p>
    <w:p>
      <w:pPr>
        <w:spacing w:after="0" w:line="25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 Certain confidential information contained in</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this document, marked by brackets, has been</w:t>
      </w:r>
    </w:p>
    <w:p>
      <w:pPr>
        <w:spacing w:after="0" w:line="21" w:lineRule="exact"/>
        <w:rPr>
          <w:sz w:val="20"/>
          <w:szCs w:val="20"/>
          <w:color w:val="auto"/>
        </w:rPr>
      </w:pPr>
    </w:p>
    <w:p>
      <w:pPr>
        <w:ind w:left="7900"/>
        <w:spacing w:after="0"/>
        <w:rPr>
          <w:sz w:val="20"/>
          <w:szCs w:val="20"/>
          <w:color w:val="auto"/>
        </w:rPr>
      </w:pPr>
      <w:r>
        <w:rPr>
          <w:rFonts w:ascii="Arial" w:cs="Arial" w:eastAsia="Arial" w:hAnsi="Arial"/>
          <w:sz w:val="17"/>
          <w:szCs w:val="17"/>
          <w:color w:val="auto"/>
        </w:rPr>
        <w:t>omitted and filed separately with the Securities</w:t>
      </w:r>
    </w:p>
    <w:p>
      <w:pPr>
        <w:spacing w:after="0" w:line="21"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and Exchange Commission pursuant to Rule 406</w:t>
      </w:r>
    </w:p>
    <w:p>
      <w:pPr>
        <w:spacing w:after="0" w:line="3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of the Securities Act of 1933,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ANTIBODY GENERATION AGREEMENT</w:t>
      </w:r>
    </w:p>
    <w:p>
      <w:pPr>
        <w:spacing w:after="0" w:line="22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ANTIBODY GENERATION AGREEMENT is entered into and effective as of December 2011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ANAPTYSBIO, INC.</w:t>
      </w:r>
      <w:r>
        <w:rPr>
          <w:rFonts w:ascii="Arial" w:cs="Arial" w:eastAsia="Arial" w:hAnsi="Arial"/>
          <w:sz w:val="18"/>
          <w:szCs w:val="18"/>
          <w:color w:val="auto"/>
        </w:rPr>
        <w:t>, a Delaware corporation (“A</w:t>
      </w:r>
      <w:r>
        <w:rPr>
          <w:rFonts w:ascii="Arial" w:cs="Arial" w:eastAsia="Arial" w:hAnsi="Arial"/>
          <w:sz w:val="18"/>
          <w:szCs w:val="18"/>
          <w:b w:val="1"/>
          <w:bCs w:val="1"/>
          <w:i w:val="1"/>
          <w:iCs w:val="1"/>
          <w:color w:val="auto"/>
        </w:rPr>
        <w:t>naptysBio</w:t>
      </w:r>
      <w:r>
        <w:rPr>
          <w:rFonts w:ascii="Arial" w:cs="Arial" w:eastAsia="Arial" w:hAnsi="Arial"/>
          <w:sz w:val="18"/>
          <w:szCs w:val="18"/>
          <w:color w:val="auto"/>
        </w:rPr>
        <w:t>”), having its principal place of business at 10421 Pacific Center Court, Suite 200, San Diego,</w:t>
      </w:r>
      <w:r>
        <w:rPr>
          <w:rFonts w:ascii="Arial" w:cs="Arial" w:eastAsia="Arial" w:hAnsi="Arial"/>
          <w:sz w:val="18"/>
          <w:szCs w:val="18"/>
          <w:b w:val="1"/>
          <w:bCs w:val="1"/>
          <w:color w:val="auto"/>
        </w:rPr>
        <w:t xml:space="preserve"> </w:t>
      </w:r>
      <w:r>
        <w:rPr>
          <w:rFonts w:ascii="Arial" w:cs="Arial" w:eastAsia="Arial" w:hAnsi="Arial"/>
          <w:sz w:val="18"/>
          <w:szCs w:val="18"/>
          <w:color w:val="auto"/>
        </w:rPr>
        <w:t>CA 92121, and CELGENE CORPORATION, a Delaware corporation (together with its subsidiaries and affiliates hereinafter collectively referred to as “</w:t>
      </w:r>
      <w:r>
        <w:rPr>
          <w:rFonts w:ascii="Arial" w:cs="Arial" w:eastAsia="Arial" w:hAnsi="Arial"/>
          <w:sz w:val="18"/>
          <w:szCs w:val="18"/>
          <w:b w:val="1"/>
          <w:bCs w:val="1"/>
          <w:i w:val="1"/>
          <w:iCs w:val="1"/>
          <w:color w:val="auto"/>
        </w:rPr>
        <w:t>Client</w:t>
      </w:r>
      <w:r>
        <w:rPr>
          <w:rFonts w:ascii="Arial" w:cs="Arial" w:eastAsia="Arial" w:hAnsi="Arial"/>
          <w:sz w:val="18"/>
          <w:szCs w:val="18"/>
          <w:color w:val="auto"/>
        </w:rPr>
        <w:t>”), having its principal place of business at 86 Morris Avenue, Summit, NJ 07901.</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color w:val="auto"/>
        </w:rPr>
        <w:t>, AnaptysBio possesses proprietary technology useful for the discovery, modification, optimization and humanization of antibodies; and</w:t>
      </w:r>
    </w:p>
    <w:p>
      <w:pPr>
        <w:spacing w:after="0" w:line="237"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Client wishes to have AnaptysBio apply such technology to one or more biological targets and/or antibodies selected by Client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generating antibodies for use in the development of human therapeutic agents.</w:t>
      </w:r>
    </w:p>
    <w:p>
      <w:pPr>
        <w:spacing w:after="0" w:line="162"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foregoing premises and the mutual covenants contained herein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intending to be legally bound, agree as follows:</w:t>
      </w:r>
    </w:p>
    <w:p>
      <w:pPr>
        <w:spacing w:after="0" w:line="310"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EFINED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Accounting Standards</w:t>
      </w:r>
      <w:r>
        <w:rPr>
          <w:rFonts w:ascii="Arial" w:cs="Arial" w:eastAsia="Arial" w:hAnsi="Arial"/>
          <w:sz w:val="18"/>
          <w:szCs w:val="18"/>
          <w:color w:val="auto"/>
        </w:rPr>
        <w:t>” shall mean (a) GAAP (United States Generally Accepted Accounting Principles); or (b) IFRS (International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Standards), in either case, consistently applied.</w:t>
      </w:r>
    </w:p>
    <w:p>
      <w:pPr>
        <w:spacing w:after="0" w:line="16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any entity that, directly or indirectly through one or more intermediaries, is controlled by, controlling, or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a party hereto, for so long as such control exists, and shall include any entity more than 50% of whose voting stock or participating profit interest is owned or controlled, directly or indirectly, by a party, and any entity which owns or controls, directly or indirectly, more than 50% (or such lesser percentage that is the maximum allowed to be owned by a foreign entity in a particular jurisdiction) of the voting stock of a party. As used in this Section 1.1, “control” means to possess, directly or indirectly, the power to direct the management and policies of an entity, whether through ownership of voting securities or by contract relating to voting rights or corporate governance.</w:t>
      </w:r>
    </w:p>
    <w:p>
      <w:pPr>
        <w:spacing w:after="0" w:line="188"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AnaptysBio Platform</w:t>
      </w:r>
      <w:r>
        <w:rPr>
          <w:rFonts w:ascii="Arial" w:cs="Arial" w:eastAsia="Arial" w:hAnsi="Arial"/>
          <w:sz w:val="18"/>
          <w:szCs w:val="18"/>
          <w:color w:val="auto"/>
        </w:rPr>
        <w:t>” shall mean AnaptysBio’s proprietary technology that is generally applicable to the discovery, modification, optimization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and/or humanization of antibodies and/or other proteins, and/or nucleic acids relating thereto (including, without</w:t>
      </w:r>
    </w:p>
    <w:p>
      <w:pPr>
        <w:sectPr>
          <w:pgSz w:w="11900" w:h="16838" w:orient="portrait"/>
          <w:cols w:equalWidth="0" w:num="1">
            <w:col w:w="11420"/>
          </w:cols>
          <w:pgMar w:left="240" w:top="121" w:right="239" w:bottom="1440" w:gutter="0" w:footer="0" w:header="0"/>
        </w:sectPr>
      </w:pPr>
    </w:p>
    <w:bookmarkStart w:id="234" w:name="page235"/>
    <w:bookmarkEnd w:id="23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limitation, the expression, manufacture and formulation of any of the foregoing), such as, but not limited to, software, nucleic acids, vectors, cell lines, libraries, screening systems, reagents, methods, databases and instrumentation that, in each case, is Controlled by AnaptysBio on or after the Effective Date. The AnaptysBio Platform shall exclude Client Technology.</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AnaptysBio Technology</w:t>
      </w:r>
      <w:r>
        <w:rPr>
          <w:rFonts w:ascii="Arial" w:cs="Arial" w:eastAsia="Arial" w:hAnsi="Arial"/>
          <w:sz w:val="18"/>
          <w:szCs w:val="18"/>
          <w:color w:val="auto"/>
        </w:rPr>
        <w:t>” shall mean: (a) to the extent Controlled by AnaptysBio on the Effective Date or during the Research Period, all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relating to the AnaptysBio Platform; and (b) all patent and other intellectual property rights in any of the foregoing. Without limiting the generality of the foregoing, AnaptysBio Technology shall include any such Information generated, discovered or developed in whole or in part by employees or agents of AnaptysBio in performing any Project, or otherwise generated, discovered or developed in whole or in part by employees or agents of AnaptysBio during the term of this Agreement; in each case, to the extent any of the foregoing: (i) relate or apply to the AnaptysBio Platform, improvements to the AnaptysBio Platform, or the use of the AnaptysBio Platform or any such AnaptysBio Platform improvements; or (ii) are generally applicable to the discovery, modification, optimization or humanization of proteins and nucleic acids (including, without limitation, the expression and manufacture thereof). AnaptysBio Technology shall exclude Client Technology.</w:t>
      </w:r>
    </w:p>
    <w:p>
      <w:pPr>
        <w:spacing w:after="0" w:line="185"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Antibody</w:t>
      </w:r>
      <w:r>
        <w:rPr>
          <w:rFonts w:ascii="Arial" w:cs="Arial" w:eastAsia="Arial" w:hAnsi="Arial"/>
          <w:sz w:val="18"/>
          <w:szCs w:val="18"/>
          <w:color w:val="auto"/>
        </w:rPr>
        <w:t>” shall mean any immunoglobulin molecule, or fragment thereof, whether in monospecific or other form, and shall include any</w:t>
      </w:r>
      <w:r>
        <w:rPr>
          <w:rFonts w:ascii="Arial" w:cs="Arial" w:eastAsia="Arial" w:hAnsi="Arial"/>
          <w:sz w:val="18"/>
          <w:szCs w:val="18"/>
          <w:b w:val="1"/>
          <w:bCs w:val="1"/>
          <w:color w:val="auto"/>
        </w:rPr>
        <w:t xml:space="preserve"> </w:t>
      </w:r>
      <w:r>
        <w:rPr>
          <w:rFonts w:ascii="Arial" w:cs="Arial" w:eastAsia="Arial" w:hAnsi="Arial"/>
          <w:sz w:val="18"/>
          <w:szCs w:val="18"/>
          <w:color w:val="auto"/>
        </w:rPr>
        <w:t>immunoglobulin fragment (such as Fv, Fab, F(ab’)2) containing one or more complementarity determining regions (CDRs) or framework regions (FRs)), any fusion protein comprising an immunoglobulin molecule or immunoglobulin molecule fragment and any single chain antibody (such as scFv), any truncation of any of the foregoing, or any derivative or modification of any of the foregoing.</w:t>
      </w:r>
    </w:p>
    <w:p>
      <w:pPr>
        <w:spacing w:after="0" w:line="180"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BLA</w:t>
      </w:r>
      <w:r>
        <w:rPr>
          <w:rFonts w:ascii="Arial" w:cs="Arial" w:eastAsia="Arial" w:hAnsi="Arial"/>
          <w:sz w:val="18"/>
          <w:szCs w:val="18"/>
          <w:color w:val="auto"/>
        </w:rPr>
        <w:t>” shall mean a biologics license application, as defined in the United States Federal Food, Drug and Cosmetic Act of 1938, as amended from</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time, and all rules, regulations and guidance promulgated thereunder, or any successor application thereto, or any foreign equivalent application, registration, certification or approval that is required prior to the marketing, distribution, sale and/or other commercial exploitation of a biological product for human use in a regulatory jurisdiction.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1.7 </w:t>
      </w:r>
      <w:r>
        <w:rPr>
          <w:rFonts w:ascii="Arial" w:cs="Arial" w:eastAsia="Arial" w:hAnsi="Arial"/>
          <w:sz w:val="17"/>
          <w:szCs w:val="17"/>
          <w:color w:val="auto"/>
        </w:rPr>
        <w:t>“</w:t>
      </w:r>
      <w:r>
        <w:rPr>
          <w:rFonts w:ascii="Arial" w:cs="Arial" w:eastAsia="Arial" w:hAnsi="Arial"/>
          <w:sz w:val="17"/>
          <w:szCs w:val="17"/>
          <w:b w:val="1"/>
          <w:bCs w:val="1"/>
          <w:color w:val="auto"/>
        </w:rPr>
        <w:t>Client Antibody</w:t>
      </w:r>
      <w:r>
        <w:rPr>
          <w:rFonts w:ascii="Arial" w:cs="Arial" w:eastAsia="Arial" w:hAnsi="Arial"/>
          <w:sz w:val="17"/>
          <w:szCs w:val="17"/>
          <w:color w:val="auto"/>
        </w:rPr>
        <w:t>” shall mean, with respect to a particular Project, the starting Antibody (if any) identified in the applicable Research Plan.</w:t>
      </w:r>
    </w:p>
    <w:p>
      <w:pPr>
        <w:spacing w:after="0" w:line="237"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Client Assay</w:t>
      </w:r>
      <w:r>
        <w:rPr>
          <w:rFonts w:ascii="Arial" w:cs="Arial" w:eastAsia="Arial" w:hAnsi="Arial"/>
          <w:sz w:val="18"/>
          <w:szCs w:val="18"/>
          <w:color w:val="auto"/>
        </w:rPr>
        <w:t>” shall mean, with respect to a particular Project, any assay identified in the applicable Research Plan that is to be transferred by</w:t>
      </w:r>
      <w:r>
        <w:rPr>
          <w:rFonts w:ascii="Arial" w:cs="Arial" w:eastAsia="Arial" w:hAnsi="Arial"/>
          <w:sz w:val="18"/>
          <w:szCs w:val="18"/>
          <w:b w:val="1"/>
          <w:bCs w:val="1"/>
          <w:color w:val="auto"/>
        </w:rPr>
        <w:t xml:space="preserve"> </w:t>
      </w:r>
      <w:r>
        <w:rPr>
          <w:rFonts w:ascii="Arial" w:cs="Arial" w:eastAsia="Arial" w:hAnsi="Arial"/>
          <w:sz w:val="18"/>
          <w:szCs w:val="18"/>
          <w:color w:val="auto"/>
        </w:rPr>
        <w:t>Client to AnaptysBio (if any).</w:t>
      </w:r>
    </w:p>
    <w:p>
      <w:pPr>
        <w:spacing w:after="0" w:line="16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Client Information</w:t>
      </w:r>
      <w:r>
        <w:rPr>
          <w:rFonts w:ascii="Arial" w:cs="Arial" w:eastAsia="Arial" w:hAnsi="Arial"/>
          <w:sz w:val="18"/>
          <w:szCs w:val="18"/>
          <w:color w:val="auto"/>
        </w:rPr>
        <w:t>” shall mean, with respect to a particular Project: (a) the Information (other than chemical or biological materials)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applicable Research Plan that is to be provided by Client to AnaptysBio in connection with such Project, and (b) any additional Information disclosed by Client to AnaptysBio in connection with Client’s transfer to AnaptysBio of the Client Materials for such Project.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35" w:name="page236"/>
    <w:bookmarkEnd w:id="235"/>
    <w:p>
      <w:pPr>
        <w:jc w:val="both"/>
        <w:ind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1.10 </w:t>
      </w:r>
      <w:r>
        <w:rPr>
          <w:rFonts w:ascii="Arial" w:cs="Arial" w:eastAsia="Arial" w:hAnsi="Arial"/>
          <w:sz w:val="18"/>
          <w:szCs w:val="18"/>
          <w:color w:val="auto"/>
        </w:rPr>
        <w:t>“</w:t>
      </w:r>
      <w:r>
        <w:rPr>
          <w:rFonts w:ascii="Arial" w:cs="Arial" w:eastAsia="Arial" w:hAnsi="Arial"/>
          <w:sz w:val="18"/>
          <w:szCs w:val="18"/>
          <w:b w:val="1"/>
          <w:bCs w:val="1"/>
          <w:color w:val="auto"/>
        </w:rPr>
        <w:t>Client Materials</w:t>
      </w:r>
      <w:r>
        <w:rPr>
          <w:rFonts w:ascii="Arial" w:cs="Arial" w:eastAsia="Arial" w:hAnsi="Arial"/>
          <w:sz w:val="18"/>
          <w:szCs w:val="18"/>
          <w:color w:val="auto"/>
        </w:rPr>
        <w:t>” shall mean, with respect to a particular Project, collectively, the chemical or biological samples of Client Antibody and Client</w:t>
      </w:r>
      <w:r>
        <w:rPr>
          <w:rFonts w:ascii="Arial" w:cs="Arial" w:eastAsia="Arial" w:hAnsi="Arial"/>
          <w:sz w:val="18"/>
          <w:szCs w:val="18"/>
          <w:b w:val="1"/>
          <w:bCs w:val="1"/>
          <w:color w:val="auto"/>
        </w:rPr>
        <w:t xml:space="preserve"> </w:t>
      </w:r>
      <w:r>
        <w:rPr>
          <w:rFonts w:ascii="Arial" w:cs="Arial" w:eastAsia="Arial" w:hAnsi="Arial"/>
          <w:sz w:val="18"/>
          <w:szCs w:val="18"/>
          <w:color w:val="auto"/>
        </w:rPr>
        <w:t>Target to be provided, and the Client Assay(s) to be transferred, by Client to AnaptysBio for use in the performance of such Project, each as set forth in the applicable Research Plan.</w:t>
      </w:r>
    </w:p>
    <w:p>
      <w:pPr>
        <w:spacing w:after="0" w:line="176"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Client Results</w:t>
      </w:r>
      <w:r>
        <w:rPr>
          <w:rFonts w:ascii="Arial" w:cs="Arial" w:eastAsia="Arial" w:hAnsi="Arial"/>
          <w:sz w:val="18"/>
          <w:szCs w:val="18"/>
          <w:color w:val="auto"/>
        </w:rPr>
        <w:t>” shall mean, with respect to a particular Project, effective only upon and from such time as Client has made full and timely</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Success Fee for such Project to AnaptysBio:</w:t>
      </w:r>
    </w:p>
    <w:p>
      <w:pPr>
        <w:spacing w:after="0" w:line="166" w:lineRule="exact"/>
        <w:rPr>
          <w:sz w:val="20"/>
          <w:szCs w:val="20"/>
          <w:color w:val="auto"/>
        </w:rPr>
      </w:pPr>
    </w:p>
    <w:p>
      <w:pPr>
        <w:ind w:firstLine="921"/>
        <w:spacing w:after="0" w:line="277" w:lineRule="auto"/>
        <w:tabs>
          <w:tab w:leader="none" w:pos="1194"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any and all data and results generated, discovered or developed by or on behalf of Client as a result of performing the Evaluation (but excluding AnaptysBio Technology); and</w:t>
      </w:r>
    </w:p>
    <w:p>
      <w:pPr>
        <w:spacing w:after="0" w:line="170" w:lineRule="exact"/>
        <w:rPr>
          <w:rFonts w:ascii="Arial" w:cs="Arial" w:eastAsia="Arial" w:hAnsi="Arial"/>
          <w:sz w:val="18"/>
          <w:szCs w:val="18"/>
          <w:b w:val="1"/>
          <w:bCs w:val="1"/>
          <w:color w:val="auto"/>
        </w:rPr>
      </w:pPr>
    </w:p>
    <w:p>
      <w:pPr>
        <w:ind w:firstLine="921"/>
        <w:spacing w:after="0" w:line="277" w:lineRule="auto"/>
        <w:tabs>
          <w:tab w:leader="none" w:pos="1207" w:val="left"/>
        </w:tabs>
        <w:numPr>
          <w:ilvl w:val="0"/>
          <w:numId w:val="157"/>
        </w:numPr>
        <w:rPr>
          <w:rFonts w:ascii="Arial" w:cs="Arial" w:eastAsia="Arial" w:hAnsi="Arial"/>
          <w:sz w:val="18"/>
          <w:szCs w:val="18"/>
          <w:b w:val="1"/>
          <w:bCs w:val="1"/>
          <w:color w:val="auto"/>
        </w:rPr>
      </w:pPr>
      <w:r>
        <w:rPr>
          <w:rFonts w:ascii="Arial" w:cs="Arial" w:eastAsia="Arial" w:hAnsi="Arial"/>
          <w:sz w:val="18"/>
          <w:szCs w:val="18"/>
          <w:color w:val="auto"/>
        </w:rPr>
        <w:t>any and all data and results generated, discovered or developed by or on behalf of Client after payment of the Success Fee using any Delivered Antibody(ies) and/or Delivered Antibody Information.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Client Target</w:t>
      </w:r>
      <w:r>
        <w:rPr>
          <w:rFonts w:ascii="Arial" w:cs="Arial" w:eastAsia="Arial" w:hAnsi="Arial"/>
          <w:sz w:val="18"/>
          <w:szCs w:val="18"/>
          <w:color w:val="auto"/>
        </w:rPr>
        <w:t>” shall mean, with respect to a particular Project, the biological target identified in the applicable Research Plan.</w:t>
      </w:r>
    </w:p>
    <w:p>
      <w:pPr>
        <w:spacing w:after="0" w:line="225"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Client Technology</w:t>
      </w:r>
      <w:r>
        <w:rPr>
          <w:rFonts w:ascii="Arial" w:cs="Arial" w:eastAsia="Arial" w:hAnsi="Arial"/>
          <w:sz w:val="18"/>
          <w:szCs w:val="18"/>
          <w:color w:val="auto"/>
        </w:rPr>
        <w:t>” shall mean: (a) Client Materials and Client Information; (b) if applicable, Client Results; and (c) all patent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rights in any of the foregoing.</w:t>
      </w:r>
    </w:p>
    <w:p>
      <w:pPr>
        <w:spacing w:after="0" w:line="162"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all Information, tangible or intangible, whether in written, graphic, oral, visual or electronic form,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or made available by one party to the other party under this Agreement and is not subject to the exceptions set forth in Section 5.2. Confidential Information provided by a party to the other party in written, graphic or electronic form shall be marked “Confidential.” Confidential Information initially provided by a party to the other party orally or visually shall be summarized in a writing marked “Confidential” which shall be delivered to the other party within 30 days after the initial oral or visual disclosure.</w:t>
      </w:r>
    </w:p>
    <w:p>
      <w:pPr>
        <w:spacing w:after="0" w:line="184"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Controlled</w:t>
      </w:r>
      <w:r>
        <w:rPr>
          <w:rFonts w:ascii="Arial" w:cs="Arial" w:eastAsia="Arial" w:hAnsi="Arial"/>
          <w:sz w:val="18"/>
          <w:szCs w:val="18"/>
          <w:color w:val="auto"/>
        </w:rPr>
        <w:t>” shall mean, with respect to any Information or intellectual property rights, possession by a party of the ability (whether by</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license or otherwise) to grant a license or a sublicense of or under such Information or intellectual property rights without violating the terms of any agreement or other arrangement with any Third Party.</w:t>
      </w:r>
    </w:p>
    <w:p>
      <w:pPr>
        <w:spacing w:after="0" w:line="176"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Delivered Antibody</w:t>
      </w:r>
      <w:r>
        <w:rPr>
          <w:rFonts w:ascii="Arial" w:cs="Arial" w:eastAsia="Arial" w:hAnsi="Arial"/>
          <w:sz w:val="18"/>
          <w:szCs w:val="18"/>
          <w:color w:val="auto"/>
        </w:rPr>
        <w:t>” shall mean, with respect to a particular Project, any Antibody resulting from AnaptysBio’s performance of such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that is delivered to Client pursuant to Section 2.3(a).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color w:val="auto"/>
        </w:rPr>
        <w:t>“</w:t>
      </w:r>
      <w:r>
        <w:rPr>
          <w:rFonts w:ascii="Arial" w:cs="Arial" w:eastAsia="Arial" w:hAnsi="Arial"/>
          <w:sz w:val="16"/>
          <w:szCs w:val="16"/>
          <w:b w:val="1"/>
          <w:bCs w:val="1"/>
          <w:color w:val="auto"/>
        </w:rPr>
        <w:t>Delivered Antibody Information</w:t>
      </w:r>
      <w:r>
        <w:rPr>
          <w:rFonts w:ascii="Arial" w:cs="Arial" w:eastAsia="Arial" w:hAnsi="Arial"/>
          <w:sz w:val="16"/>
          <w:szCs w:val="16"/>
          <w:color w:val="auto"/>
        </w:rPr>
        <w:t>” shall mean, with respect to a particular Project: [*], as more fully described in the applicable Research Plan.</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Delivered Antibody Inventions</w:t>
      </w:r>
      <w:r>
        <w:rPr>
          <w:rFonts w:ascii="Arial" w:cs="Arial" w:eastAsia="Arial" w:hAnsi="Arial"/>
          <w:sz w:val="18"/>
          <w:szCs w:val="18"/>
          <w:color w:val="auto"/>
        </w:rPr>
        <w:t>” shall have the meaning provided in Section 4.4(a).</w:t>
      </w:r>
    </w:p>
    <w:p>
      <w:pPr>
        <w:spacing w:after="0" w:line="158"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36" w:name="page237"/>
    <w:bookmarkEnd w:id="236"/>
    <w:p>
      <w:pPr>
        <w:ind w:left="4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1.19 </w:t>
      </w:r>
      <w:r>
        <w:rPr>
          <w:rFonts w:ascii="Arial" w:cs="Arial" w:eastAsia="Arial" w:hAnsi="Arial"/>
          <w:sz w:val="17"/>
          <w:szCs w:val="17"/>
          <w:color w:val="auto"/>
        </w:rPr>
        <w:t>“</w:t>
      </w:r>
      <w:r>
        <w:rPr>
          <w:rFonts w:ascii="Arial" w:cs="Arial" w:eastAsia="Arial" w:hAnsi="Arial"/>
          <w:sz w:val="17"/>
          <w:szCs w:val="17"/>
          <w:b w:val="1"/>
          <w:bCs w:val="1"/>
          <w:color w:val="auto"/>
        </w:rPr>
        <w:t>Delivered Antibody Patents</w:t>
      </w:r>
      <w:r>
        <w:rPr>
          <w:rFonts w:ascii="Arial" w:cs="Arial" w:eastAsia="Arial" w:hAnsi="Arial"/>
          <w:sz w:val="17"/>
          <w:szCs w:val="17"/>
          <w:color w:val="auto"/>
        </w:rPr>
        <w:t>” shall mean all patents and patent applications claiming or disclosing any Delivered Antibody Invention(s).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Evaluation</w:t>
      </w:r>
      <w:r>
        <w:rPr>
          <w:rFonts w:ascii="Arial" w:cs="Arial" w:eastAsia="Arial" w:hAnsi="Arial"/>
          <w:sz w:val="18"/>
          <w:szCs w:val="18"/>
          <w:color w:val="auto"/>
        </w:rPr>
        <w:t>” shall have the meaning provided in Section 2.4(a).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Evaluation Period</w:t>
      </w:r>
      <w:r>
        <w:rPr>
          <w:rFonts w:ascii="Arial" w:cs="Arial" w:eastAsia="Arial" w:hAnsi="Arial"/>
          <w:sz w:val="18"/>
          <w:szCs w:val="18"/>
          <w:color w:val="auto"/>
        </w:rPr>
        <w:t>” shall have the meaning provided in Section 2.4(a).</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7"/>
          <w:szCs w:val="17"/>
          <w:b w:val="1"/>
          <w:bCs w:val="1"/>
          <w:color w:val="auto"/>
        </w:rPr>
        <w:t xml:space="preserve">1.22 </w:t>
      </w:r>
      <w:r>
        <w:rPr>
          <w:rFonts w:ascii="Arial" w:cs="Arial" w:eastAsia="Arial" w:hAnsi="Arial"/>
          <w:sz w:val="17"/>
          <w:szCs w:val="17"/>
          <w:color w:val="auto"/>
        </w:rPr>
        <w:t>“</w:t>
      </w:r>
      <w:r>
        <w:rPr>
          <w:rFonts w:ascii="Arial" w:cs="Arial" w:eastAsia="Arial" w:hAnsi="Arial"/>
          <w:sz w:val="17"/>
          <w:szCs w:val="17"/>
          <w:b w:val="1"/>
          <w:bCs w:val="1"/>
          <w:color w:val="auto"/>
        </w:rPr>
        <w:t>Excluded Costs</w:t>
      </w:r>
      <w:r>
        <w:rPr>
          <w:rFonts w:ascii="Arial" w:cs="Arial" w:eastAsia="Arial" w:hAnsi="Arial"/>
          <w:sz w:val="17"/>
          <w:szCs w:val="17"/>
          <w:color w:val="auto"/>
        </w:rPr>
        <w:t>” shall mean, with respect to a particular Project: (a) the reasonable out-of-pocket costs of specialized reagents, supplies or</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or specialized services performed by Third Party subcontractors of AnaptysBio, that, in each case, are needed specifically for such Project but are not generally required for other similar projects AnaptysBio performs on behalf of Third Parties; and (b) all reasonable out-of-pocket travel costs pre-approved by Client, that are in compliance with Client’s travel policy, and incurred by AnaptysBio in the event that Client requests, and AnaptysBio agrees, that any AnaptysBio personnel provide technical assistance at any location other than AnaptysBio’s facilities in connection with such Project.</w:t>
      </w:r>
    </w:p>
    <w:p>
      <w:pPr>
        <w:spacing w:after="0" w:line="168"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6"/>
          <w:szCs w:val="16"/>
          <w:b w:val="1"/>
          <w:bCs w:val="1"/>
          <w:color w:val="auto"/>
        </w:rPr>
        <w:t xml:space="preserve">1.23 </w:t>
      </w:r>
      <w:r>
        <w:rPr>
          <w:rFonts w:ascii="Arial" w:cs="Arial" w:eastAsia="Arial" w:hAnsi="Arial"/>
          <w:sz w:val="16"/>
          <w:szCs w:val="16"/>
          <w:color w:val="auto"/>
        </w:rPr>
        <w:t>“</w:t>
      </w:r>
      <w:r>
        <w:rPr>
          <w:rFonts w:ascii="Arial" w:cs="Arial" w:eastAsia="Arial" w:hAnsi="Arial"/>
          <w:sz w:val="16"/>
          <w:szCs w:val="16"/>
          <w:b w:val="1"/>
          <w:bCs w:val="1"/>
          <w:color w:val="auto"/>
        </w:rPr>
        <w:t>First Commercial Sale</w:t>
      </w:r>
      <w:r>
        <w:rPr>
          <w:rFonts w:ascii="Arial" w:cs="Arial" w:eastAsia="Arial" w:hAnsi="Arial"/>
          <w:sz w:val="16"/>
          <w:szCs w:val="16"/>
          <w:color w:val="auto"/>
        </w:rPr>
        <w:t>” shall mean the first sale of a Product by Client or any of its Affiliates, licensees or sublicensees to a Third Party for end</w:t>
      </w:r>
      <w:r>
        <w:rPr>
          <w:rFonts w:ascii="Arial" w:cs="Arial" w:eastAsia="Arial" w:hAnsi="Arial"/>
          <w:sz w:val="16"/>
          <w:szCs w:val="16"/>
          <w:b w:val="1"/>
          <w:bCs w:val="1"/>
          <w:color w:val="auto"/>
        </w:rPr>
        <w:t xml:space="preserve"> </w:t>
      </w:r>
      <w:r>
        <w:rPr>
          <w:rFonts w:ascii="Arial" w:cs="Arial" w:eastAsia="Arial" w:hAnsi="Arial"/>
          <w:sz w:val="16"/>
          <w:szCs w:val="16"/>
          <w:color w:val="auto"/>
        </w:rPr>
        <w:t>use or consumption in a country after the governing health regulatory authority of such country has granted marketing approval (</w:t>
      </w:r>
      <w:r>
        <w:rPr>
          <w:rFonts w:ascii="Arial" w:cs="Arial" w:eastAsia="Arial" w:hAnsi="Arial"/>
          <w:sz w:val="16"/>
          <w:szCs w:val="16"/>
          <w:i w:val="1"/>
          <w:iCs w:val="1"/>
          <w:color w:val="auto"/>
        </w:rPr>
        <w:t>e.g</w:t>
      </w:r>
      <w:r>
        <w:rPr>
          <w:rFonts w:ascii="Arial" w:cs="Arial" w:eastAsia="Arial" w:hAnsi="Arial"/>
          <w:sz w:val="16"/>
          <w:szCs w:val="16"/>
          <w:color w:val="auto"/>
        </w:rPr>
        <w:t>., BLA approval) with respect to such Product. Sale to an Affiliate or to a licensee or sublicensee of Client or any of its Affiliates shall not constitute a First Commercial Sale.</w:t>
      </w:r>
    </w:p>
    <w:p>
      <w:pPr>
        <w:spacing w:after="0" w:line="142" w:lineRule="exact"/>
        <w:rPr>
          <w:sz w:val="20"/>
          <w:szCs w:val="20"/>
          <w:color w:val="auto"/>
        </w:rPr>
      </w:pPr>
    </w:p>
    <w:p>
      <w:pPr>
        <w:jc w:val="both"/>
        <w:ind w:firstLine="456"/>
        <w:spacing w:after="0" w:line="313" w:lineRule="auto"/>
        <w:rPr>
          <w:sz w:val="20"/>
          <w:szCs w:val="20"/>
          <w:color w:val="auto"/>
        </w:rPr>
      </w:pPr>
      <w:r>
        <w:rPr>
          <w:rFonts w:ascii="Arial" w:cs="Arial" w:eastAsia="Arial" w:hAnsi="Arial"/>
          <w:sz w:val="17"/>
          <w:szCs w:val="17"/>
          <w:b w:val="1"/>
          <w:bCs w:val="1"/>
          <w:color w:val="auto"/>
        </w:rPr>
        <w:t xml:space="preserve">1.24 </w:t>
      </w:r>
      <w:r>
        <w:rPr>
          <w:rFonts w:ascii="Arial" w:cs="Arial" w:eastAsia="Arial" w:hAnsi="Arial"/>
          <w:sz w:val="17"/>
          <w:szCs w:val="17"/>
          <w:color w:val="auto"/>
        </w:rPr>
        <w:t>“</w:t>
      </w:r>
      <w:r>
        <w:rPr>
          <w:rFonts w:ascii="Arial" w:cs="Arial" w:eastAsia="Arial" w:hAnsi="Arial"/>
          <w:sz w:val="17"/>
          <w:szCs w:val="17"/>
          <w:b w:val="1"/>
          <w:bCs w:val="1"/>
          <w:color w:val="auto"/>
        </w:rPr>
        <w:t>Information</w:t>
      </w:r>
      <w:r>
        <w:rPr>
          <w:rFonts w:ascii="Arial" w:cs="Arial" w:eastAsia="Arial" w:hAnsi="Arial"/>
          <w:sz w:val="17"/>
          <w:szCs w:val="17"/>
          <w:color w:val="auto"/>
        </w:rPr>
        <w:t>” shall mean know-how, trade secrets, data, inventions, proprietary software, works of authorship, designs, techniques, methods,</w:t>
      </w:r>
      <w:r>
        <w:rPr>
          <w:rFonts w:ascii="Arial" w:cs="Arial" w:eastAsia="Arial" w:hAnsi="Arial"/>
          <w:sz w:val="17"/>
          <w:szCs w:val="17"/>
          <w:b w:val="1"/>
          <w:bCs w:val="1"/>
          <w:color w:val="auto"/>
        </w:rPr>
        <w:t xml:space="preserve"> </w:t>
      </w:r>
      <w:r>
        <w:rPr>
          <w:rFonts w:ascii="Arial" w:cs="Arial" w:eastAsia="Arial" w:hAnsi="Arial"/>
          <w:sz w:val="17"/>
          <w:szCs w:val="17"/>
          <w:color w:val="auto"/>
        </w:rPr>
        <w:t>processes, formulations, structure and other information relating to compounds, compositions, specifications, reagents, ideas and information.</w:t>
      </w:r>
    </w:p>
    <w:p>
      <w:pPr>
        <w:spacing w:after="0" w:line="138"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7"/>
          <w:szCs w:val="17"/>
          <w:b w:val="1"/>
          <w:bCs w:val="1"/>
          <w:color w:val="auto"/>
        </w:rPr>
        <w:t xml:space="preserve">1.25 </w:t>
      </w:r>
      <w:r>
        <w:rPr>
          <w:rFonts w:ascii="Arial" w:cs="Arial" w:eastAsia="Arial" w:hAnsi="Arial"/>
          <w:sz w:val="17"/>
          <w:szCs w:val="17"/>
          <w:color w:val="auto"/>
        </w:rPr>
        <w:t>“</w:t>
      </w:r>
      <w:r>
        <w:rPr>
          <w:rFonts w:ascii="Arial" w:cs="Arial" w:eastAsia="Arial" w:hAnsi="Arial"/>
          <w:sz w:val="17"/>
          <w:szCs w:val="17"/>
          <w:b w:val="1"/>
          <w:bCs w:val="1"/>
          <w:color w:val="auto"/>
        </w:rPr>
        <w:t>Joint Invention</w:t>
      </w:r>
      <w:r>
        <w:rPr>
          <w:rFonts w:ascii="Arial" w:cs="Arial" w:eastAsia="Arial" w:hAnsi="Arial"/>
          <w:sz w:val="17"/>
          <w:szCs w:val="17"/>
          <w:color w:val="auto"/>
        </w:rPr>
        <w:t>” shall mean any invention, whether or not patentable, that is made jointly (as determined in accordance with U.S.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inventorship) by one or more employees, consultants or contractors of Client and one or more employees, consultants or contractors of AnaptysBio, in the course of activities undertaken pursuant to this Agreement; but, in each case, excluding AnaptysBio Technology and Client Technology.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Joint Patents</w:t>
      </w:r>
      <w:r>
        <w:rPr>
          <w:rFonts w:ascii="Arial" w:cs="Arial" w:eastAsia="Arial" w:hAnsi="Arial"/>
          <w:sz w:val="18"/>
          <w:szCs w:val="18"/>
          <w:color w:val="auto"/>
        </w:rPr>
        <w:t>” shall have the meaning provided in Section 4.4(b).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shall have the meaning provided in Section 2.6.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shall mean [*].</w:t>
      </w:r>
    </w:p>
    <w:p>
      <w:pPr>
        <w:spacing w:after="0" w:line="225"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Phase 1 Trial</w:t>
      </w:r>
      <w:r>
        <w:rPr>
          <w:rFonts w:ascii="Arial" w:cs="Arial" w:eastAsia="Arial" w:hAnsi="Arial"/>
          <w:sz w:val="18"/>
          <w:szCs w:val="18"/>
          <w:color w:val="auto"/>
        </w:rPr>
        <w:t>” shall mean a human clinical trial that would satisfy the requirements for a Phase 1 study as defined in 21 CFR § 312.21(a)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regulation) or any foreign equivalent thereof.</w:t>
      </w:r>
    </w:p>
    <w:p>
      <w:pPr>
        <w:spacing w:after="0" w:line="162"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Phase 2 Trial</w:t>
      </w:r>
      <w:r>
        <w:rPr>
          <w:rFonts w:ascii="Arial" w:cs="Arial" w:eastAsia="Arial" w:hAnsi="Arial"/>
          <w:sz w:val="18"/>
          <w:szCs w:val="18"/>
          <w:color w:val="auto"/>
        </w:rPr>
        <w:t>” shall mean a human clinical trial that would satisfy the requirements for a Phase 2 study as defined in 21 CFR § 312.21(b)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regulation) or any foreign equivalent thereof.</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37" w:name="page238"/>
    <w:bookmarkEnd w:id="237"/>
    <w:p>
      <w:pPr>
        <w:jc w:val="both"/>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1.31 </w:t>
      </w:r>
      <w:r>
        <w:rPr>
          <w:rFonts w:ascii="Arial" w:cs="Arial" w:eastAsia="Arial" w:hAnsi="Arial"/>
          <w:sz w:val="18"/>
          <w:szCs w:val="18"/>
          <w:color w:val="auto"/>
        </w:rPr>
        <w:t>“</w:t>
      </w:r>
      <w:r>
        <w:rPr>
          <w:rFonts w:ascii="Arial" w:cs="Arial" w:eastAsia="Arial" w:hAnsi="Arial"/>
          <w:sz w:val="18"/>
          <w:szCs w:val="18"/>
          <w:b w:val="1"/>
          <w:bCs w:val="1"/>
          <w:color w:val="auto"/>
        </w:rPr>
        <w:t>Phase 3 Trial</w:t>
      </w:r>
      <w:r>
        <w:rPr>
          <w:rFonts w:ascii="Arial" w:cs="Arial" w:eastAsia="Arial" w:hAnsi="Arial"/>
          <w:sz w:val="18"/>
          <w:szCs w:val="18"/>
          <w:color w:val="auto"/>
        </w:rPr>
        <w:t>” shall mean a human clinical trial that would satisfy the requirements for a Phase 3 study as defined in 21 CFR § 312.2l(c)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regulation) or any foreign equivalent thereof.</w:t>
      </w:r>
    </w:p>
    <w:p>
      <w:pPr>
        <w:spacing w:after="0" w:line="16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any product, composition, method, device, or service (a) that comprises, contains or uses any Delivered Antibody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or modification of a Delivered Antibody), in whole or in part, or (b) the manufacture, use, sale, offer for sale or import of which is covered by any Delivered Antibody Patent.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Project</w:t>
      </w:r>
      <w:r>
        <w:rPr>
          <w:rFonts w:ascii="Arial" w:cs="Arial" w:eastAsia="Arial" w:hAnsi="Arial"/>
          <w:sz w:val="18"/>
          <w:szCs w:val="18"/>
          <w:color w:val="auto"/>
        </w:rPr>
        <w:t>” shall mean a project directed to either [*].</w:t>
      </w:r>
    </w:p>
    <w:p>
      <w:pPr>
        <w:spacing w:after="0" w:line="225"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Project Goals</w:t>
      </w:r>
      <w:r>
        <w:rPr>
          <w:rFonts w:ascii="Arial" w:cs="Arial" w:eastAsia="Arial" w:hAnsi="Arial"/>
          <w:sz w:val="18"/>
          <w:szCs w:val="18"/>
          <w:color w:val="auto"/>
        </w:rPr>
        <w:t>” shall mean, with respect to a particular Project, the specific design goals with respect to binding affinity and specificity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to be generated and characterized by AnaptysBio in such Project, as set forth in the applicable Research Plan.</w:t>
      </w:r>
    </w:p>
    <w:p>
      <w:pPr>
        <w:spacing w:after="0" w:line="162" w:lineRule="exact"/>
        <w:rPr>
          <w:sz w:val="20"/>
          <w:szCs w:val="20"/>
          <w:color w:val="auto"/>
        </w:rPr>
      </w:pPr>
    </w:p>
    <w:p>
      <w:pPr>
        <w:jc w:val="both"/>
        <w:ind w:firstLine="456"/>
        <w:spacing w:after="0" w:line="347" w:lineRule="auto"/>
        <w:rPr>
          <w:sz w:val="20"/>
          <w:szCs w:val="20"/>
          <w:color w:val="auto"/>
        </w:rPr>
      </w:pPr>
      <w:r>
        <w:rPr>
          <w:rFonts w:ascii="Arial" w:cs="Arial" w:eastAsia="Arial" w:hAnsi="Arial"/>
          <w:sz w:val="16"/>
          <w:szCs w:val="16"/>
          <w:b w:val="1"/>
          <w:bCs w:val="1"/>
          <w:color w:val="auto"/>
        </w:rPr>
        <w:t xml:space="preserve">1.35 </w:t>
      </w:r>
      <w:r>
        <w:rPr>
          <w:rFonts w:ascii="Arial" w:cs="Arial" w:eastAsia="Arial" w:hAnsi="Arial"/>
          <w:sz w:val="16"/>
          <w:szCs w:val="16"/>
          <w:color w:val="auto"/>
        </w:rPr>
        <w:t>“</w:t>
      </w:r>
      <w:r>
        <w:rPr>
          <w:rFonts w:ascii="Arial" w:cs="Arial" w:eastAsia="Arial" w:hAnsi="Arial"/>
          <w:sz w:val="16"/>
          <w:szCs w:val="16"/>
          <w:b w:val="1"/>
          <w:bCs w:val="1"/>
          <w:color w:val="auto"/>
        </w:rPr>
        <w:t>Remaining Materials</w:t>
      </w:r>
      <w:r>
        <w:rPr>
          <w:rFonts w:ascii="Arial" w:cs="Arial" w:eastAsia="Arial" w:hAnsi="Arial"/>
          <w:sz w:val="16"/>
          <w:szCs w:val="16"/>
          <w:color w:val="auto"/>
        </w:rPr>
        <w:t>” shall mean any and all biological or chemical materials derived from the Client Materials in the course and as a result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a Project by or on behalf of AnaptysBio. Notwithstanding the foregoing, Remaining Materials shall exclude the Delivered Antibodies.</w:t>
      </w:r>
    </w:p>
    <w:p>
      <w:pPr>
        <w:spacing w:after="0" w:line="116"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Research Period</w:t>
      </w:r>
      <w:r>
        <w:rPr>
          <w:rFonts w:ascii="Arial" w:cs="Arial" w:eastAsia="Arial" w:hAnsi="Arial"/>
          <w:sz w:val="18"/>
          <w:szCs w:val="18"/>
          <w:color w:val="auto"/>
        </w:rPr>
        <w:t>” shall mean the period commencing on the Effective Date and, subject to earlier termination of this Agreement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Article 7,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Research Plan</w:t>
      </w:r>
      <w:r>
        <w:rPr>
          <w:rFonts w:ascii="Arial" w:cs="Arial" w:eastAsia="Arial" w:hAnsi="Arial"/>
          <w:sz w:val="18"/>
          <w:szCs w:val="18"/>
          <w:color w:val="auto"/>
        </w:rPr>
        <w:t>” shall have the meaning provided in Section 2.1(b).</w:t>
      </w:r>
    </w:p>
    <w:p>
      <w:pPr>
        <w:spacing w:after="0" w:line="22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Results</w:t>
      </w:r>
      <w:r>
        <w:rPr>
          <w:rFonts w:ascii="Arial" w:cs="Arial" w:eastAsia="Arial" w:hAnsi="Arial"/>
          <w:sz w:val="18"/>
          <w:szCs w:val="18"/>
          <w:color w:val="auto"/>
        </w:rPr>
        <w:t>” shall mean, with respect to a particular Project: (a) any and all data and results generated, discovered or developed by or on behalf of</w:t>
      </w:r>
      <w:r>
        <w:rPr>
          <w:rFonts w:ascii="Arial" w:cs="Arial" w:eastAsia="Arial" w:hAnsi="Arial"/>
          <w:sz w:val="18"/>
          <w:szCs w:val="18"/>
          <w:b w:val="1"/>
          <w:bCs w:val="1"/>
          <w:color w:val="auto"/>
        </w:rPr>
        <w:t xml:space="preserve"> </w:t>
      </w:r>
      <w:r>
        <w:rPr>
          <w:rFonts w:ascii="Arial" w:cs="Arial" w:eastAsia="Arial" w:hAnsi="Arial"/>
          <w:sz w:val="18"/>
          <w:szCs w:val="18"/>
          <w:color w:val="auto"/>
        </w:rPr>
        <w:t>AnaptysBio in the course and as a result of performance of such Project, which data and results relate specifically and solely to the applicable Client Materials, Client Information and/or Delivered Antibodies; and (b) any and all data and results generated is covered or developed by or on behalf of Client as a result of performing the Evaluation of Delivered Antibodies from such Project (it being understood that upon payment of the Success Fee for such Project to AnaptysBio, the data and results described in this clause (b) shall be deemed Client Results). Notwithstanding the foregoing, the Results shall exclude the AnaptysBio Technology and the Client Technology.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Subject AnaptysBio Patent</w:t>
      </w:r>
      <w:r>
        <w:rPr>
          <w:rFonts w:ascii="Arial" w:cs="Arial" w:eastAsia="Arial" w:hAnsi="Arial"/>
          <w:sz w:val="18"/>
          <w:szCs w:val="18"/>
          <w:color w:val="auto"/>
        </w:rPr>
        <w:t>” shall mean any patent application or patent within the AnaptysBio Technology that:</w:t>
      </w:r>
    </w:p>
    <w:p>
      <w:pPr>
        <w:spacing w:after="0" w:line="229" w:lineRule="exact"/>
        <w:rPr>
          <w:sz w:val="20"/>
          <w:szCs w:val="20"/>
          <w:color w:val="auto"/>
        </w:rPr>
      </w:pPr>
    </w:p>
    <w:p>
      <w:pPr>
        <w:ind w:left="1220" w:hanging="299"/>
        <w:spacing w:after="0"/>
        <w:tabs>
          <w:tab w:leader="none" w:pos="1220" w:val="left"/>
        </w:tabs>
        <w:numPr>
          <w:ilvl w:val="1"/>
          <w:numId w:val="158"/>
        </w:numPr>
        <w:rPr>
          <w:rFonts w:ascii="Arial" w:cs="Arial" w:eastAsia="Arial" w:hAnsi="Arial"/>
          <w:sz w:val="17"/>
          <w:szCs w:val="17"/>
          <w:b w:val="1"/>
          <w:bCs w:val="1"/>
          <w:color w:val="auto"/>
        </w:rPr>
      </w:pPr>
      <w:r>
        <w:rPr>
          <w:rFonts w:ascii="Arial" w:cs="Arial" w:eastAsia="Arial" w:hAnsi="Arial"/>
          <w:sz w:val="17"/>
          <w:szCs w:val="17"/>
          <w:color w:val="auto"/>
        </w:rPr>
        <w:t>claims any invention that AnaptysBio either (i) used in generating a particular Delivered Antibody assigned to Client hereunder, or</w:t>
      </w:r>
    </w:p>
    <w:p>
      <w:pPr>
        <w:spacing w:after="0" w:line="34" w:lineRule="exact"/>
        <w:rPr>
          <w:rFonts w:ascii="Arial" w:cs="Arial" w:eastAsia="Arial" w:hAnsi="Arial"/>
          <w:sz w:val="17"/>
          <w:szCs w:val="17"/>
          <w:b w:val="1"/>
          <w:bCs w:val="1"/>
          <w:color w:val="auto"/>
        </w:rPr>
      </w:pPr>
    </w:p>
    <w:p>
      <w:pPr>
        <w:ind w:left="280" w:hanging="272"/>
        <w:spacing w:after="0"/>
        <w:tabs>
          <w:tab w:leader="none" w:pos="2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incorporated into a particular Delivered Antibody assigned to Client hereunder; and</w:t>
      </w:r>
    </w:p>
    <w:p>
      <w:pPr>
        <w:spacing w:after="0" w:line="210" w:lineRule="exact"/>
        <w:rPr>
          <w:rFonts w:ascii="Arial" w:cs="Arial" w:eastAsia="Arial" w:hAnsi="Arial"/>
          <w:sz w:val="18"/>
          <w:szCs w:val="18"/>
          <w:color w:val="auto"/>
        </w:rPr>
      </w:pPr>
    </w:p>
    <w:p>
      <w:pPr>
        <w:ind w:left="1180" w:hanging="259"/>
        <w:spacing w:after="0"/>
        <w:tabs>
          <w:tab w:leader="none" w:pos="1180" w:val="left"/>
        </w:tabs>
        <w:numPr>
          <w:ilvl w:val="1"/>
          <w:numId w:val="159"/>
        </w:numPr>
        <w:rPr>
          <w:rFonts w:ascii="Arial" w:cs="Arial" w:eastAsia="Arial" w:hAnsi="Arial"/>
          <w:sz w:val="16"/>
          <w:szCs w:val="16"/>
          <w:b w:val="1"/>
          <w:bCs w:val="1"/>
          <w:color w:val="auto"/>
        </w:rPr>
      </w:pPr>
      <w:r>
        <w:rPr>
          <w:rFonts w:ascii="Arial" w:cs="Arial" w:eastAsia="Arial" w:hAnsi="Arial"/>
          <w:sz w:val="16"/>
          <w:szCs w:val="16"/>
          <w:color w:val="auto"/>
        </w:rPr>
        <w:t>would, in the absence of a license thereunder, be infringed by the manufacture, use, sale, offer for sale or import of such Delivered Antibody.</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Success Fee</w:t>
      </w:r>
      <w:r>
        <w:rPr>
          <w:rFonts w:ascii="Arial" w:cs="Arial" w:eastAsia="Arial" w:hAnsi="Arial"/>
          <w:sz w:val="18"/>
          <w:szCs w:val="18"/>
          <w:color w:val="auto"/>
        </w:rPr>
        <w:t>” shall have the meaning provided in Section 3.3.</w:t>
      </w:r>
    </w:p>
    <w:p>
      <w:pPr>
        <w:spacing w:after="0" w:line="158"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38" w:name="page239"/>
    <w:bookmarkEnd w:id="238"/>
    <w:p>
      <w:pPr>
        <w:jc w:val="both"/>
        <w:ind w:right="2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1.41 </w:t>
      </w:r>
      <w:r>
        <w:rPr>
          <w:rFonts w:ascii="Arial" w:cs="Arial" w:eastAsia="Arial" w:hAnsi="Arial"/>
          <w:sz w:val="18"/>
          <w:szCs w:val="18"/>
          <w:color w:val="auto"/>
        </w:rPr>
        <w:t>“</w:t>
      </w:r>
      <w:r>
        <w:rPr>
          <w:rFonts w:ascii="Arial" w:cs="Arial" w:eastAsia="Arial" w:hAnsi="Arial"/>
          <w:sz w:val="18"/>
          <w:szCs w:val="18"/>
          <w:b w:val="1"/>
          <w:bCs w:val="1"/>
          <w:color w:val="auto"/>
        </w:rPr>
        <w:t>Success Fee Due Date</w:t>
      </w:r>
      <w:r>
        <w:rPr>
          <w:rFonts w:ascii="Arial" w:cs="Arial" w:eastAsia="Arial" w:hAnsi="Arial"/>
          <w:sz w:val="18"/>
          <w:szCs w:val="18"/>
          <w:color w:val="auto"/>
        </w:rPr>
        <w:t>” shall mean, with respect to a particular Project, the date that is [*] after expiration of the Evaluation Period and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invoice for such Project. Notwithstanding the foregoing, if, prior to expiration of the Evaluation Period for a Project, Client exercises its rights under Section 2.4(b) with respect to such Project, then the “Success Fee Due Date” shall be the date that is [*].</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entity other than AnaptysBio or Client or an Affiliate of AnaptysBio.</w:t>
      </w:r>
    </w:p>
    <w:p>
      <w:pPr>
        <w:spacing w:after="0" w:line="225"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an issued patent that has not expired or been revoked, held invalid or unenforceable by a patent office, court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governmental agency of competent jurisdiction in a final and non-appealable judgment (or judgment from which no appeal was taken within the allowable time period), or a claim within a patent application that has not been revoked, cancelled, withdrawn, held invalid or abandoned and which has not been pending for more than [*] years from its first priority filing date.</w:t>
      </w:r>
    </w:p>
    <w:p>
      <w:pPr>
        <w:spacing w:after="0" w:line="329" w:lineRule="exact"/>
        <w:rPr>
          <w:sz w:val="20"/>
          <w:szCs w:val="20"/>
          <w:color w:val="auto"/>
        </w:rPr>
      </w:pPr>
    </w:p>
    <w:p>
      <w:pPr>
        <w:ind w:left="460" w:hanging="452"/>
        <w:spacing w:after="0"/>
        <w:tabs>
          <w:tab w:leader="none" w:pos="4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TEERING</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OMMITTEE</w:t>
      </w:r>
      <w:r>
        <w:rPr>
          <w:rFonts w:ascii="Arial" w:cs="Arial" w:eastAsia="Arial" w:hAnsi="Arial"/>
          <w:sz w:val="18"/>
          <w:szCs w:val="18"/>
          <w:b w:val="1"/>
          <w:bCs w:val="1"/>
          <w:color w:val="auto"/>
        </w:rPr>
        <w:t>, P</w:t>
      </w:r>
      <w:r>
        <w:rPr>
          <w:rFonts w:ascii="Arial" w:cs="Arial" w:eastAsia="Arial" w:hAnsi="Arial"/>
          <w:sz w:val="15"/>
          <w:szCs w:val="15"/>
          <w:b w:val="1"/>
          <w:bCs w:val="1"/>
          <w:color w:val="auto"/>
        </w:rPr>
        <w:t>ROJECTS AND</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ELIVERABLES</w:t>
      </w:r>
      <w:r>
        <w:rPr>
          <w:rFonts w:ascii="Arial" w:cs="Arial" w:eastAsia="Arial" w:hAnsi="Arial"/>
          <w:sz w:val="18"/>
          <w:szCs w:val="18"/>
          <w:b w:val="1"/>
          <w:bCs w:val="1"/>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Steering Committee and Projects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2" w:lineRule="auto"/>
        <w:tabs>
          <w:tab w:leader="none" w:pos="1181"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Steering Committee</w:t>
      </w:r>
      <w:r>
        <w:rPr>
          <w:rFonts w:ascii="Arial" w:cs="Arial" w:eastAsia="Arial" w:hAnsi="Arial"/>
          <w:sz w:val="18"/>
          <w:szCs w:val="18"/>
          <w:color w:val="auto"/>
        </w:rPr>
        <w:t>. A steering committee (hereinafter the “</w:t>
      </w:r>
      <w:r>
        <w:rPr>
          <w:rFonts w:ascii="Arial" w:cs="Arial" w:eastAsia="Arial" w:hAnsi="Arial"/>
          <w:sz w:val="18"/>
          <w:szCs w:val="18"/>
          <w:b w:val="1"/>
          <w:bCs w:val="1"/>
          <w:i w:val="1"/>
          <w:iCs w:val="1"/>
          <w:color w:val="auto"/>
        </w:rPr>
        <w:t>Steering Committee</w:t>
      </w:r>
      <w:r>
        <w:rPr>
          <w:rFonts w:ascii="Arial" w:cs="Arial" w:eastAsia="Arial" w:hAnsi="Arial"/>
          <w:sz w:val="18"/>
          <w:szCs w:val="18"/>
          <w:color w:val="auto"/>
        </w:rPr>
        <w:t>”) shall be formed within [*] after the Effective Date, as</w:t>
      </w:r>
      <w:r>
        <w:rPr>
          <w:rFonts w:ascii="Arial" w:cs="Arial" w:eastAsia="Arial" w:hAnsi="Arial"/>
          <w:sz w:val="18"/>
          <w:szCs w:val="18"/>
          <w:b w:val="1"/>
          <w:bCs w:val="1"/>
          <w:color w:val="auto"/>
        </w:rPr>
        <w:t xml:space="preserve"> </w:t>
      </w:r>
      <w:r>
        <w:rPr>
          <w:rFonts w:ascii="Arial" w:cs="Arial" w:eastAsia="Arial" w:hAnsi="Arial"/>
          <w:sz w:val="18"/>
          <w:szCs w:val="18"/>
          <w:color w:val="auto"/>
        </w:rPr>
        <w:t>further described at Exhibit B.</w:t>
      </w:r>
    </w:p>
    <w:p>
      <w:pPr>
        <w:spacing w:after="0" w:line="161" w:lineRule="exact"/>
        <w:rPr>
          <w:rFonts w:ascii="Arial" w:cs="Arial" w:eastAsia="Arial" w:hAnsi="Arial"/>
          <w:sz w:val="18"/>
          <w:szCs w:val="18"/>
          <w:b w:val="1"/>
          <w:bCs w:val="1"/>
          <w:color w:val="auto"/>
        </w:rPr>
      </w:pPr>
    </w:p>
    <w:p>
      <w:pPr>
        <w:jc w:val="both"/>
        <w:ind w:firstLine="921"/>
        <w:spacing w:after="0" w:line="258" w:lineRule="auto"/>
        <w:tabs>
          <w:tab w:leader="none" w:pos="1191"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Projects</w:t>
      </w:r>
      <w:r>
        <w:rPr>
          <w:rFonts w:ascii="Arial" w:cs="Arial" w:eastAsia="Arial" w:hAnsi="Arial"/>
          <w:sz w:val="18"/>
          <w:szCs w:val="18"/>
          <w:color w:val="auto"/>
        </w:rPr>
        <w:t>. During the Research Period, AnaptysBio shall perform the [*] Projects for Client attached hereto as Exhibit A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Research Plan</w:t>
      </w:r>
      <w:r>
        <w:rPr>
          <w:rFonts w:ascii="Arial" w:cs="Arial" w:eastAsia="Arial" w:hAnsi="Arial"/>
          <w:sz w:val="18"/>
          <w:szCs w:val="18"/>
          <w:color w:val="auto"/>
        </w:rPr>
        <w:t>”) and the Projects described therein (the “</w:t>
      </w:r>
      <w:r>
        <w:rPr>
          <w:rFonts w:ascii="Arial" w:cs="Arial" w:eastAsia="Arial" w:hAnsi="Arial"/>
          <w:sz w:val="18"/>
          <w:szCs w:val="18"/>
          <w:b w:val="1"/>
          <w:bCs w:val="1"/>
          <w:i w:val="1"/>
          <w:iCs w:val="1"/>
          <w:color w:val="auto"/>
        </w:rPr>
        <w:t>Projects</w:t>
      </w:r>
      <w:r>
        <w:rPr>
          <w:rFonts w:ascii="Arial" w:cs="Arial" w:eastAsia="Arial" w:hAnsi="Arial"/>
          <w:sz w:val="18"/>
          <w:szCs w:val="18"/>
          <w:color w:val="auto"/>
        </w:rPr>
        <w:t>”). During the performance of a Project, [*]. If AnaptysBio disputes in good faith that a proposed substitute Project is feasible, AnaptysBio shall so notify Client within [*] after receipt of the Project Notice, and the parties shall confer in good faith regarding the matter, [*]. In addition, in the event AnaptysBio [*]. Unless AnaptysBio provides notice as set forth above that [*], which shall be in a form acceptable to the parties and shall specify the following information for such substitute Project: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firstLine="921"/>
        <w:spacing w:after="0" w:line="256" w:lineRule="auto"/>
        <w:tabs>
          <w:tab w:leader="none" w:pos="1157"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Plans</w:t>
      </w:r>
      <w:r>
        <w:rPr>
          <w:rFonts w:ascii="Arial" w:cs="Arial" w:eastAsia="Arial" w:hAnsi="Arial"/>
          <w:sz w:val="18"/>
          <w:szCs w:val="18"/>
          <w:color w:val="auto"/>
        </w:rPr>
        <w:t>. Each Research Plan shall be subject to all of the terms and conditions of this Agreement, in addition to the specific details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such Research Plan. To the extent any terms of a Research Plan conflict with the terms of this Agreement, the terms of this Agreement shall control, unless and only to the extent that such Research Plan expressly states the intent of the parties that the Research Plan supersede this Agreement with respect to a specific matter. Each fully-executed Research Plan shall be deemed incorporated herein by reference, and a copy thereof shall be attached to this Agreement. Any changes to a Research Plan shall be in writing, executed by an authorized representative of each party, attached to the original Research Plan, and incorporated herein and therein by reference.</w:t>
      </w:r>
    </w:p>
    <w:p>
      <w:pPr>
        <w:spacing w:after="0" w:line="187" w:lineRule="exact"/>
        <w:rPr>
          <w:rFonts w:ascii="Arial" w:cs="Arial" w:eastAsia="Arial" w:hAnsi="Arial"/>
          <w:sz w:val="18"/>
          <w:szCs w:val="18"/>
          <w:b w:val="1"/>
          <w:bCs w:val="1"/>
          <w:color w:val="auto"/>
        </w:rPr>
      </w:pPr>
    </w:p>
    <w:p>
      <w:pPr>
        <w:ind w:firstLine="921"/>
        <w:spacing w:after="0" w:line="282" w:lineRule="auto"/>
        <w:tabs>
          <w:tab w:leader="none" w:pos="1178"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r>
        <w:rPr>
          <w:rFonts w:ascii="Arial" w:cs="Arial" w:eastAsia="Arial" w:hAnsi="Arial"/>
          <w:sz w:val="18"/>
          <w:szCs w:val="18"/>
          <w:color w:val="auto"/>
        </w:rPr>
        <w:t>. On a Project-by-Project basis, commencing on acceptance of the Research Plan for each Project and expiring on, as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 except for the activities under this Agreement, AnaptysBio shall not [*]. Notwithstanding the preceding sentence or any</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39" w:name="page240"/>
    <w:bookmarkEnd w:id="239"/>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provision of this Agreement to the contrary, AnaptysBio shall at all times be free to conduct, participate in, or fund, directly or indirectly, alone or with any Third Party, any activities directed to the discovery, research or commercialization of Antibodies that: [*].</w:t>
      </w:r>
    </w:p>
    <w:p>
      <w:pPr>
        <w:spacing w:after="0" w:line="166"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2.2 Transfer and Use of Client Materials and Information</w:t>
      </w:r>
      <w:r>
        <w:rPr>
          <w:rFonts w:ascii="Arial" w:cs="Arial" w:eastAsia="Arial" w:hAnsi="Arial"/>
          <w:sz w:val="18"/>
          <w:szCs w:val="18"/>
          <w:color w:val="auto"/>
        </w:rPr>
        <w:t>. As promptly as practicable after mutual written approval of the Research Plan for each</w:t>
      </w:r>
      <w:r>
        <w:rPr>
          <w:rFonts w:ascii="Arial" w:cs="Arial" w:eastAsia="Arial" w:hAnsi="Arial"/>
          <w:sz w:val="18"/>
          <w:szCs w:val="18"/>
          <w:b w:val="1"/>
          <w:bCs w:val="1"/>
          <w:color w:val="auto"/>
        </w:rPr>
        <w:t xml:space="preserve"> </w:t>
      </w:r>
      <w:r>
        <w:rPr>
          <w:rFonts w:ascii="Arial" w:cs="Arial" w:eastAsia="Arial" w:hAnsi="Arial"/>
          <w:sz w:val="18"/>
          <w:szCs w:val="18"/>
          <w:color w:val="auto"/>
        </w:rPr>
        <w:t>substitute Project (or after the Effective Date in the case of the Projects), Client shall deliver to AnaptysBio the Client Materials and the Client Information for such Project as specified in the applicable Research Plan.</w:t>
      </w:r>
    </w:p>
    <w:p>
      <w:pPr>
        <w:spacing w:after="0" w:line="176" w:lineRule="exact"/>
        <w:rPr>
          <w:sz w:val="20"/>
          <w:szCs w:val="20"/>
          <w:color w:val="auto"/>
        </w:rPr>
      </w:pPr>
    </w:p>
    <w:p>
      <w:pPr>
        <w:jc w:val="both"/>
        <w:ind w:firstLine="456"/>
        <w:spacing w:after="0" w:line="292" w:lineRule="auto"/>
        <w:rPr>
          <w:sz w:val="20"/>
          <w:szCs w:val="20"/>
          <w:color w:val="auto"/>
        </w:rPr>
      </w:pPr>
      <w:r>
        <w:rPr>
          <w:rFonts w:ascii="Arial" w:cs="Arial" w:eastAsia="Arial" w:hAnsi="Arial"/>
          <w:sz w:val="16"/>
          <w:szCs w:val="16"/>
          <w:b w:val="1"/>
          <w:bCs w:val="1"/>
          <w:color w:val="auto"/>
        </w:rPr>
        <w:t>2.3 Performance of Projects; Substitution of Projects; Deliverables</w:t>
      </w:r>
      <w:r>
        <w:rPr>
          <w:rFonts w:ascii="Arial" w:cs="Arial" w:eastAsia="Arial" w:hAnsi="Arial"/>
          <w:sz w:val="16"/>
          <w:szCs w:val="16"/>
          <w:color w:val="auto"/>
        </w:rPr>
        <w:t>. On a Project-by-Project basis, promptly following receipt of the Client</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and Client Information for a Project, AnaptysBio shall use commercially reasonable efforts to perform such Project, as described in the applicable Research Plan. In the event that the research term of the Project exceeds [*] or a substitute Project is agreed to by the parties under Section 2.l(b), and the combined research term of the Project and substitute Project exceed [*], the parties agree to negotiate in good faith additional funding payments for the time period that is in excess of [*]. In addition, such substitute Project shall not be counted as an additional Project. AnaptysBio may perform some Project activities through one or more subcontractors, provided that AnaptysBio shall at all times be fully responsible for the compliance of its subcontractors with this Agreement. Promptly following AnaptysBio’s completion of its responsibilities under each Research Plan, AnaptysBio shall:</w:t>
      </w:r>
    </w:p>
    <w:p>
      <w:pPr>
        <w:spacing w:after="0" w:line="166" w:lineRule="exact"/>
        <w:rPr>
          <w:sz w:val="20"/>
          <w:szCs w:val="20"/>
          <w:color w:val="auto"/>
        </w:rPr>
      </w:pPr>
    </w:p>
    <w:p>
      <w:pPr>
        <w:ind w:left="1180" w:hanging="259"/>
        <w:spacing w:after="0"/>
        <w:tabs>
          <w:tab w:leader="none" w:pos="1180"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deliver to Client the Antibodies generated and characterized in the course of the performance of the applicable Project that meet the Project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Goals; [*]; and</w:t>
      </w:r>
    </w:p>
    <w:p>
      <w:pPr>
        <w:spacing w:after="0" w:line="210" w:lineRule="exact"/>
        <w:rPr>
          <w:rFonts w:ascii="Arial" w:cs="Arial" w:eastAsia="Arial" w:hAnsi="Arial"/>
          <w:sz w:val="16"/>
          <w:szCs w:val="16"/>
          <w:b w:val="1"/>
          <w:bCs w:val="1"/>
          <w:color w:val="auto"/>
        </w:rPr>
      </w:pPr>
    </w:p>
    <w:p>
      <w:pPr>
        <w:ind w:left="1180" w:hanging="259"/>
        <w:spacing w:after="0"/>
        <w:tabs>
          <w:tab w:leader="none" w:pos="1180"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provide a written report to Client setting forth, for each Delivered Antibody from such Project, [*].</w:t>
      </w:r>
    </w:p>
    <w:p>
      <w:pPr>
        <w:spacing w:after="0" w:line="22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avoidance of doubt, AnaptysBio shall have no obligation: (A) to generate or characterize Antibodies other than as expressly set forth in the Research Plans; (B) to deliver to Client any Antibodies other than as expressly set forth in Section 2.3(a); (C) to disclose to Client any Results with respect to any Antibody other than the Delivered Antibody Information with respect to the Delivered Antibodies; or (D) to disclose to Client any Information regarding the AnaptysBio Platform.</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Client Evaluation of Delivered Antibodies</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56" w:lineRule="auto"/>
        <w:tabs>
          <w:tab w:leader="none" w:pos="1168"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w:t>
      </w:r>
      <w:r>
        <w:rPr>
          <w:rFonts w:ascii="Arial" w:cs="Arial" w:eastAsia="Arial" w:hAnsi="Arial"/>
          <w:sz w:val="18"/>
          <w:szCs w:val="18"/>
          <w:color w:val="auto"/>
        </w:rPr>
        <w:t>. Commencing upon Client’s receipt of the Delivered Antibodies and Delivered Antibody Information from each Project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period of [*] thereafter, or such extended time period as may mutually agreed by the parties (the </w:t>
      </w:r>
      <w:r>
        <w:rPr>
          <w:rFonts w:ascii="Arial" w:cs="Arial" w:eastAsia="Arial" w:hAnsi="Arial"/>
          <w:sz w:val="18"/>
          <w:szCs w:val="18"/>
          <w:b w:val="1"/>
          <w:bCs w:val="1"/>
          <w:i w:val="1"/>
          <w:iCs w:val="1"/>
          <w:color w:val="auto"/>
        </w:rPr>
        <w:t>“Evaluation Period</w:t>
      </w:r>
      <w:r>
        <w:rPr>
          <w:rFonts w:ascii="Arial" w:cs="Arial" w:eastAsia="Arial" w:hAnsi="Arial"/>
          <w:sz w:val="18"/>
          <w:szCs w:val="18"/>
          <w:color w:val="auto"/>
        </w:rPr>
        <w:t>”), Client will [*]. Client may conduct the Evaluation either directly or indirectly through its Affiliate(s), agent(s), consultant(s) and/or subcontractor(s), provided that Client shall at all times be fully responsible for the compliance of its Affiliate(s), agent(s), consultant(s) and/or subcontractor(s) with this Agreement and, prior to providing any Delivered Antibody or Delivered Antibody Information to any agent, consultant or subcontractor, shall obtain the written agreement of such agent, consultant or subcontractor to be bound by clauses (ii) and (iii)</w:t>
      </w:r>
    </w:p>
    <w:p>
      <w:pPr>
        <w:spacing w:after="0" w:line="120"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0" w:name="page241"/>
    <w:bookmarkEnd w:id="240"/>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Section 2.5(a). Unless Client notifies AnaptysBio in writing on or before the end of the Evaluation Period for a Project that Client in good faith believes that [*]. In addition, regardless of whether or not Client has completed any or all Evaluation activities by the end of the Evaluation Period for a Project, Client shall not have the right to deliver a notice to AnaptysBio that the Project Goals for such Project have not been met unless Client has generated data during such Evaluation Period, through performance of Evaluation activities, to support its contention that none of such Delivered Antibodies meets the Project Goals. If Client notifies AnaptysBio in writing by the end of the Evaluation Period for a Project that Client in good faith believes that [*].</w:t>
      </w:r>
    </w:p>
    <w:p>
      <w:pPr>
        <w:spacing w:after="0" w:line="169" w:lineRule="exact"/>
        <w:rPr>
          <w:sz w:val="20"/>
          <w:szCs w:val="20"/>
          <w:color w:val="auto"/>
        </w:rPr>
      </w:pPr>
    </w:p>
    <w:p>
      <w:pPr>
        <w:jc w:val="both"/>
        <w:ind w:firstLine="921"/>
        <w:spacing w:after="0" w:line="298" w:lineRule="auto"/>
        <w:tabs>
          <w:tab w:leader="none" w:pos="1196"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Independent Laboratory Determination</w:t>
      </w:r>
      <w:r>
        <w:rPr>
          <w:rFonts w:ascii="Arial" w:cs="Arial" w:eastAsia="Arial" w:hAnsi="Arial"/>
          <w:sz w:val="16"/>
          <w:szCs w:val="16"/>
          <w:color w:val="auto"/>
        </w:rPr>
        <w:t>. If Client notifies AnaptysBio in writing by the end of the Evaluation Period for a Project that</w:t>
      </w:r>
      <w:r>
        <w:rPr>
          <w:rFonts w:ascii="Arial" w:cs="Arial" w:eastAsia="Arial" w:hAnsi="Arial"/>
          <w:sz w:val="16"/>
          <w:szCs w:val="16"/>
          <w:b w:val="1"/>
          <w:bCs w:val="1"/>
          <w:color w:val="auto"/>
        </w:rPr>
        <w:t xml:space="preserve"> </w:t>
      </w:r>
      <w:r>
        <w:rPr>
          <w:rFonts w:ascii="Arial" w:cs="Arial" w:eastAsia="Arial" w:hAnsi="Arial"/>
          <w:sz w:val="16"/>
          <w:szCs w:val="16"/>
          <w:color w:val="auto"/>
        </w:rPr>
        <w:t>Client in good faith believes that [*] of the Delivered Antibodies] from such Project do not meet the Project Goals, and AnaptysBio in good faith does not agree that [*] of the Delivered Antibodies from such Project do not meet the Project Goals, then [*]. The parties will initially share the costs of the independent laboratory’s analysis on an equal basis in accordance with a pre-agreed budget and maximum cost for such activities, but the party in whose favor the independent laboratory rules shall be entitled to have its share of such costs reimbursed by the other party promptly following such determination.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Use of Delivered Antibodies, Information and Results</w:t>
      </w:r>
      <w:r>
        <w:rPr>
          <w:rFonts w:ascii="Arial" w:cs="Arial" w:eastAsia="Arial" w:hAnsi="Arial"/>
          <w:sz w:val="18"/>
          <w:szCs w:val="18"/>
          <w:color w:val="auto"/>
        </w:rPr>
        <w:t>.</w:t>
      </w:r>
    </w:p>
    <w:p>
      <w:pPr>
        <w:spacing w:after="0" w:line="229" w:lineRule="exact"/>
        <w:rPr>
          <w:sz w:val="20"/>
          <w:szCs w:val="20"/>
          <w:color w:val="auto"/>
        </w:rPr>
      </w:pPr>
    </w:p>
    <w:p>
      <w:pPr>
        <w:ind w:right="20" w:firstLine="921"/>
        <w:spacing w:after="0" w:line="277" w:lineRule="auto"/>
        <w:tabs>
          <w:tab w:leader="none" w:pos="1180" w:val="left"/>
        </w:tabs>
        <w:numPr>
          <w:ilvl w:val="0"/>
          <w:numId w:val="166"/>
        </w:numPr>
        <w:rPr>
          <w:rFonts w:ascii="Arial" w:cs="Arial" w:eastAsia="Arial" w:hAnsi="Arial"/>
          <w:sz w:val="18"/>
          <w:szCs w:val="18"/>
          <w:b w:val="1"/>
          <w:bCs w:val="1"/>
          <w:color w:val="auto"/>
        </w:rPr>
      </w:pPr>
      <w:r>
        <w:rPr>
          <w:rFonts w:ascii="Arial" w:cs="Arial" w:eastAsia="Arial" w:hAnsi="Arial"/>
          <w:sz w:val="18"/>
          <w:szCs w:val="18"/>
          <w:color w:val="auto"/>
        </w:rPr>
        <w:t>Prior to Success Fee Due Date. On a Project-by-Project basis, until the Success Fee Due Date for a Project (or, if this Agreement is earlier terminated in accordance with Article 7, until such termination), except as expressly set forth in Sections 2.5(b) and 2.5(c):</w:t>
      </w:r>
    </w:p>
    <w:p>
      <w:pPr>
        <w:spacing w:after="0" w:line="170" w:lineRule="exact"/>
        <w:rPr>
          <w:rFonts w:ascii="Arial" w:cs="Arial" w:eastAsia="Arial" w:hAnsi="Arial"/>
          <w:sz w:val="18"/>
          <w:szCs w:val="18"/>
          <w:b w:val="1"/>
          <w:bCs w:val="1"/>
          <w:color w:val="auto"/>
        </w:rPr>
      </w:pPr>
    </w:p>
    <w:p>
      <w:pPr>
        <w:ind w:left="1720" w:hanging="228"/>
        <w:spacing w:after="0"/>
        <w:tabs>
          <w:tab w:leader="none" w:pos="1720" w:val="left"/>
        </w:tabs>
        <w:numPr>
          <w:ilvl w:val="1"/>
          <w:numId w:val="166"/>
        </w:numPr>
        <w:rPr>
          <w:rFonts w:ascii="Arial" w:cs="Arial" w:eastAsia="Arial" w:hAnsi="Arial"/>
          <w:sz w:val="17"/>
          <w:szCs w:val="17"/>
          <w:b w:val="1"/>
          <w:bCs w:val="1"/>
          <w:color w:val="auto"/>
        </w:rPr>
      </w:pPr>
      <w:r>
        <w:rPr>
          <w:rFonts w:ascii="Arial" w:cs="Arial" w:eastAsia="Arial" w:hAnsi="Arial"/>
          <w:sz w:val="17"/>
          <w:szCs w:val="17"/>
          <w:color w:val="auto"/>
        </w:rPr>
        <w:t>AnaptysBio shall solely own all rights in the Delivered Antibodies and Delivered Antibody Information resulting from such Project</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and associated Results;</w:t>
      </w:r>
    </w:p>
    <w:p>
      <w:pPr>
        <w:spacing w:after="0" w:line="210" w:lineRule="exact"/>
        <w:rPr>
          <w:rFonts w:ascii="Arial" w:cs="Arial" w:eastAsia="Arial" w:hAnsi="Arial"/>
          <w:sz w:val="17"/>
          <w:szCs w:val="17"/>
          <w:b w:val="1"/>
          <w:bCs w:val="1"/>
          <w:color w:val="auto"/>
        </w:rPr>
      </w:pPr>
    </w:p>
    <w:p>
      <w:pPr>
        <w:ind w:firstLine="1492"/>
        <w:spacing w:after="0" w:line="277" w:lineRule="auto"/>
        <w:tabs>
          <w:tab w:leader="none" w:pos="1758"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each party shall treat such Delivered Antibodies and Delivered Antibody Information as Confidential Information of the other party in accordance with Article 5;</w:t>
      </w:r>
    </w:p>
    <w:p>
      <w:pPr>
        <w:spacing w:after="0" w:line="170" w:lineRule="exact"/>
        <w:rPr>
          <w:rFonts w:ascii="Arial" w:cs="Arial" w:eastAsia="Arial" w:hAnsi="Arial"/>
          <w:sz w:val="18"/>
          <w:szCs w:val="18"/>
          <w:b w:val="1"/>
          <w:bCs w:val="1"/>
          <w:color w:val="auto"/>
        </w:rPr>
      </w:pPr>
    </w:p>
    <w:p>
      <w:pPr>
        <w:jc w:val="both"/>
        <w:ind w:firstLine="1492"/>
        <w:spacing w:after="0" w:line="257" w:lineRule="auto"/>
        <w:tabs>
          <w:tab w:leader="none" w:pos="1801"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Client covenants that: (1) except as expressly permitted by Section 2.4, it will not conduct or have conducted on its behalf, nor cause or allow any Affiliate or Third Party to conduct, any study of any such Delivered Antibody or related Product; (2) Client will not use any such Delivered Antibody or Delivered Antibody Information for any purpose other than the Evaluation; and (3) except as expressly permitted by Section 2.4, Client will not transfer or disclose, or cause to be transferred or disclosed, any such Delivered Antibody, Delivered Antibody Information, or Results to any Affiliate or to any Third Party; and</w:t>
      </w:r>
    </w:p>
    <w:p>
      <w:pPr>
        <w:spacing w:after="0" w:line="188" w:lineRule="exact"/>
        <w:rPr>
          <w:rFonts w:ascii="Arial" w:cs="Arial" w:eastAsia="Arial" w:hAnsi="Arial"/>
          <w:sz w:val="18"/>
          <w:szCs w:val="18"/>
          <w:b w:val="1"/>
          <w:bCs w:val="1"/>
          <w:color w:val="auto"/>
        </w:rPr>
      </w:pPr>
    </w:p>
    <w:p>
      <w:pPr>
        <w:ind w:right="20" w:firstLine="1492"/>
        <w:spacing w:after="0" w:line="277" w:lineRule="auto"/>
        <w:tabs>
          <w:tab w:leader="none" w:pos="1808" w:val="left"/>
        </w:tabs>
        <w:numPr>
          <w:ilvl w:val="1"/>
          <w:numId w:val="166"/>
        </w:numPr>
        <w:rPr>
          <w:rFonts w:ascii="Arial" w:cs="Arial" w:eastAsia="Arial" w:hAnsi="Arial"/>
          <w:sz w:val="18"/>
          <w:szCs w:val="18"/>
          <w:b w:val="1"/>
          <w:bCs w:val="1"/>
          <w:color w:val="auto"/>
        </w:rPr>
      </w:pPr>
      <w:r>
        <w:rPr>
          <w:rFonts w:ascii="Arial" w:cs="Arial" w:eastAsia="Arial" w:hAnsi="Arial"/>
          <w:sz w:val="18"/>
          <w:szCs w:val="18"/>
          <w:color w:val="auto"/>
        </w:rPr>
        <w:t>AnaptysBio shall not use any such Delivered Antibody, Delivered Antibody Information or Results for any purpose other than performance of such Project.</w:t>
      </w:r>
    </w:p>
    <w:p>
      <w:pPr>
        <w:spacing w:after="0" w:line="166" w:lineRule="exact"/>
        <w:rPr>
          <w:rFonts w:ascii="Arial" w:cs="Arial" w:eastAsia="Arial" w:hAnsi="Arial"/>
          <w:sz w:val="18"/>
          <w:szCs w:val="18"/>
          <w:b w:val="1"/>
          <w:bCs w:val="1"/>
          <w:color w:val="auto"/>
        </w:rPr>
      </w:pPr>
    </w:p>
    <w:p>
      <w:pPr>
        <w:ind w:right="20" w:firstLine="921"/>
        <w:spacing w:after="0" w:line="347" w:lineRule="auto"/>
        <w:tabs>
          <w:tab w:leader="none" w:pos="1191"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Success Fee Timely Paid</w:t>
      </w:r>
      <w:r>
        <w:rPr>
          <w:rFonts w:ascii="Arial" w:cs="Arial" w:eastAsia="Arial" w:hAnsi="Arial"/>
          <w:sz w:val="16"/>
          <w:szCs w:val="16"/>
          <w:color w:val="auto"/>
        </w:rPr>
        <w:t>. On a Project-by-Project basis, if Client pays the Success Fee for a Project in full on or before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Success Fee Due Date (or, if this Agreement is earlier terminated in accordance with Article 7, prior to such termination), then effective upon such payment:</w:t>
      </w:r>
    </w:p>
    <w:p>
      <w:pPr>
        <w:spacing w:after="0" w:line="49"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1" w:name="page242"/>
    <w:bookmarkEnd w:id="241"/>
    <w:p>
      <w:pPr>
        <w:ind w:firstLine="1492"/>
        <w:spacing w:after="0" w:line="277" w:lineRule="auto"/>
        <w:tabs>
          <w:tab w:leader="none" w:pos="1721"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ownership of the Delivered Antibodies and Delivered Antibody Information from such Project and all associated Results shall be assigned solely to Client pursuant to, and subject to the terms and conditions of, Section 4.1;</w:t>
      </w:r>
    </w:p>
    <w:p>
      <w:pPr>
        <w:spacing w:after="0" w:line="170" w:lineRule="exact"/>
        <w:rPr>
          <w:rFonts w:ascii="Arial" w:cs="Arial" w:eastAsia="Arial" w:hAnsi="Arial"/>
          <w:sz w:val="18"/>
          <w:szCs w:val="18"/>
          <w:b w:val="1"/>
          <w:bCs w:val="1"/>
          <w:color w:val="auto"/>
        </w:rPr>
      </w:pPr>
    </w:p>
    <w:p>
      <w:pPr>
        <w:ind w:firstLine="1492"/>
        <w:spacing w:after="0" w:line="277" w:lineRule="auto"/>
        <w:tabs>
          <w:tab w:leader="none" w:pos="1752"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AnaptysBio shall treat such Delivered Antibodies, Delivered Antibody Information and Results as Confidential Information of Client in accordance with Article 5; and</w:t>
      </w:r>
    </w:p>
    <w:p>
      <w:pPr>
        <w:spacing w:after="0" w:line="170" w:lineRule="exact"/>
        <w:rPr>
          <w:rFonts w:ascii="Arial" w:cs="Arial" w:eastAsia="Arial" w:hAnsi="Arial"/>
          <w:sz w:val="18"/>
          <w:szCs w:val="18"/>
          <w:b w:val="1"/>
          <w:bCs w:val="1"/>
          <w:color w:val="auto"/>
        </w:rPr>
      </w:pPr>
    </w:p>
    <w:p>
      <w:pPr>
        <w:ind w:firstLine="1492"/>
        <w:spacing w:after="0" w:line="277" w:lineRule="auto"/>
        <w:tabs>
          <w:tab w:leader="none" w:pos="1805" w:val="left"/>
        </w:tabs>
        <w:numPr>
          <w:ilvl w:val="1"/>
          <w:numId w:val="167"/>
        </w:numPr>
        <w:rPr>
          <w:rFonts w:ascii="Arial" w:cs="Arial" w:eastAsia="Arial" w:hAnsi="Arial"/>
          <w:sz w:val="18"/>
          <w:szCs w:val="18"/>
          <w:b w:val="1"/>
          <w:bCs w:val="1"/>
          <w:color w:val="auto"/>
        </w:rPr>
      </w:pPr>
      <w:r>
        <w:rPr>
          <w:rFonts w:ascii="Arial" w:cs="Arial" w:eastAsia="Arial" w:hAnsi="Arial"/>
          <w:sz w:val="18"/>
          <w:szCs w:val="18"/>
          <w:color w:val="auto"/>
        </w:rPr>
        <w:t>AnaptysBio shall destroy all Results of such Project (other than the Delivered Antibodies and Delivered Antibody Information) and all Remaining Client Materials from such Project.</w:t>
      </w:r>
    </w:p>
    <w:p>
      <w:pPr>
        <w:spacing w:after="0" w:line="166" w:lineRule="exact"/>
        <w:rPr>
          <w:rFonts w:ascii="Arial" w:cs="Arial" w:eastAsia="Arial" w:hAnsi="Arial"/>
          <w:sz w:val="18"/>
          <w:szCs w:val="18"/>
          <w:b w:val="1"/>
          <w:bCs w:val="1"/>
          <w:color w:val="auto"/>
        </w:rPr>
      </w:pPr>
    </w:p>
    <w:p>
      <w:pPr>
        <w:jc w:val="both"/>
        <w:ind w:firstLine="921"/>
        <w:spacing w:after="0" w:line="266" w:lineRule="auto"/>
        <w:tabs>
          <w:tab w:leader="none" w:pos="1171"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Success Fee Not Timely Paid</w:t>
      </w:r>
      <w:r>
        <w:rPr>
          <w:rFonts w:ascii="Arial" w:cs="Arial" w:eastAsia="Arial" w:hAnsi="Arial"/>
          <w:sz w:val="18"/>
          <w:szCs w:val="18"/>
          <w:color w:val="auto"/>
        </w:rPr>
        <w:t>. On a Project-by-Project basis, if Client fails to pay the Success Fee for a Project in full on or before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Success Fee Due Date (or, if this Agreement is earlier terminated in accordance with Article 7, prior to such termination), then effective as of such Success Fee Due Date (or such earlier termination, as applicable):</w:t>
      </w:r>
    </w:p>
    <w:p>
      <w:pPr>
        <w:spacing w:after="0" w:line="180" w:lineRule="exact"/>
        <w:rPr>
          <w:rFonts w:ascii="Arial" w:cs="Arial" w:eastAsia="Arial" w:hAnsi="Arial"/>
          <w:sz w:val="18"/>
          <w:szCs w:val="18"/>
          <w:b w:val="1"/>
          <w:bCs w:val="1"/>
          <w:color w:val="auto"/>
        </w:rPr>
      </w:pPr>
    </w:p>
    <w:p>
      <w:pPr>
        <w:ind w:left="1720" w:hanging="228"/>
        <w:spacing w:after="0"/>
        <w:tabs>
          <w:tab w:leader="none" w:pos="1720" w:val="left"/>
        </w:tabs>
        <w:numPr>
          <w:ilvl w:val="1"/>
          <w:numId w:val="168"/>
        </w:numPr>
        <w:rPr>
          <w:rFonts w:ascii="Arial" w:cs="Arial" w:eastAsia="Arial" w:hAnsi="Arial"/>
          <w:sz w:val="17"/>
          <w:szCs w:val="17"/>
          <w:b w:val="1"/>
          <w:bCs w:val="1"/>
          <w:color w:val="auto"/>
        </w:rPr>
      </w:pPr>
      <w:r>
        <w:rPr>
          <w:rFonts w:ascii="Arial" w:cs="Arial" w:eastAsia="Arial" w:hAnsi="Arial"/>
          <w:sz w:val="17"/>
          <w:szCs w:val="17"/>
          <w:color w:val="auto"/>
        </w:rPr>
        <w:t>neither party shall file, or cause to be filed, any Delivered Antibody Patent with respect to any Delivered Antibody Invention from</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such Project;</w:t>
      </w:r>
    </w:p>
    <w:p>
      <w:pPr>
        <w:spacing w:after="0" w:line="210" w:lineRule="exact"/>
        <w:rPr>
          <w:rFonts w:ascii="Arial" w:cs="Arial" w:eastAsia="Arial" w:hAnsi="Arial"/>
          <w:sz w:val="17"/>
          <w:szCs w:val="17"/>
          <w:b w:val="1"/>
          <w:bCs w:val="1"/>
          <w:color w:val="auto"/>
        </w:rPr>
      </w:pPr>
    </w:p>
    <w:p>
      <w:pPr>
        <w:jc w:val="both"/>
        <w:ind w:firstLine="1492"/>
        <w:spacing w:after="0" w:line="264" w:lineRule="auto"/>
        <w:tabs>
          <w:tab w:leader="none" w:pos="1768"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Client and AnaptysBio shall immediately destroy all Delivered Antibodies from such Project and, except as expressly set forth in Section 7.4(b), all associated Delivered Antibody Information and Results, and AnaptysBio shall destroy all Remaining Client Materials from such Project, and, in each case, certify such destruction in writing to the other party;</w:t>
      </w:r>
    </w:p>
    <w:p>
      <w:pPr>
        <w:spacing w:after="0" w:line="181" w:lineRule="exact"/>
        <w:rPr>
          <w:rFonts w:ascii="Arial" w:cs="Arial" w:eastAsia="Arial" w:hAnsi="Arial"/>
          <w:sz w:val="18"/>
          <w:szCs w:val="18"/>
          <w:b w:val="1"/>
          <w:bCs w:val="1"/>
          <w:color w:val="auto"/>
        </w:rPr>
      </w:pPr>
    </w:p>
    <w:p>
      <w:pPr>
        <w:ind w:firstLine="1492"/>
        <w:spacing w:after="0" w:line="277" w:lineRule="auto"/>
        <w:tabs>
          <w:tab w:leader="none" w:pos="1826"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the Delivered Antibodies and Delivered Antibody Information from such Project and all associated Results shall be considered Confidential Information of both parties; and</w:t>
      </w:r>
    </w:p>
    <w:p>
      <w:pPr>
        <w:spacing w:after="0" w:line="170" w:lineRule="exact"/>
        <w:rPr>
          <w:rFonts w:ascii="Arial" w:cs="Arial" w:eastAsia="Arial" w:hAnsi="Arial"/>
          <w:sz w:val="18"/>
          <w:szCs w:val="18"/>
          <w:b w:val="1"/>
          <w:bCs w:val="1"/>
          <w:color w:val="auto"/>
        </w:rPr>
      </w:pPr>
    </w:p>
    <w:p>
      <w:pPr>
        <w:jc w:val="both"/>
        <w:ind w:firstLine="1492"/>
        <w:spacing w:after="0" w:line="264" w:lineRule="auto"/>
        <w:tabs>
          <w:tab w:leader="none" w:pos="1807" w:val="left"/>
        </w:tabs>
        <w:numPr>
          <w:ilvl w:val="1"/>
          <w:numId w:val="168"/>
        </w:numPr>
        <w:rPr>
          <w:rFonts w:ascii="Arial" w:cs="Arial" w:eastAsia="Arial" w:hAnsi="Arial"/>
          <w:sz w:val="18"/>
          <w:szCs w:val="18"/>
          <w:b w:val="1"/>
          <w:bCs w:val="1"/>
          <w:color w:val="auto"/>
        </w:rPr>
      </w:pPr>
      <w:r>
        <w:rPr>
          <w:rFonts w:ascii="Arial" w:cs="Arial" w:eastAsia="Arial" w:hAnsi="Arial"/>
          <w:sz w:val="18"/>
          <w:szCs w:val="18"/>
          <w:color w:val="auto"/>
        </w:rPr>
        <w:t>each of Client and AnaptysBio hereby covenants that it will not (either directly or through any Affiliate or Third Party) develop, make, have made, use, sell, have sold, offer for sale or import any such Delivered Antibody or any Product based thereon, or otherwise exploit the associated Delivered Antibody Information or Results.</w:t>
      </w:r>
    </w:p>
    <w:p>
      <w:pPr>
        <w:spacing w:after="0" w:line="17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2.6 Materials Transfer</w:t>
      </w:r>
      <w:r>
        <w:rPr>
          <w:rFonts w:ascii="Arial" w:cs="Arial" w:eastAsia="Arial" w:hAnsi="Arial"/>
          <w:sz w:val="18"/>
          <w:szCs w:val="18"/>
          <w:color w:val="auto"/>
        </w:rPr>
        <w:t>. In connection with a Project, a party may provide to the other party certain biological or chemical materials, including,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to, Client Materials and Delivered Antibodies (collectively, “</w:t>
      </w:r>
      <w:r>
        <w:rPr>
          <w:rFonts w:ascii="Arial" w:cs="Arial" w:eastAsia="Arial" w:hAnsi="Arial"/>
          <w:sz w:val="18"/>
          <w:szCs w:val="18"/>
          <w:b w:val="1"/>
          <w:bCs w:val="1"/>
          <w:i w:val="1"/>
          <w:iCs w:val="1"/>
          <w:color w:val="auto"/>
        </w:rPr>
        <w:t>Materials</w:t>
      </w:r>
      <w:r>
        <w:rPr>
          <w:rFonts w:ascii="Arial" w:cs="Arial" w:eastAsia="Arial" w:hAnsi="Arial"/>
          <w:sz w:val="18"/>
          <w:szCs w:val="18"/>
          <w:color w:val="auto"/>
        </w:rPr>
        <w:t>”). Except as otherwise expressly set forth in this Agreement, all such Materials will remain the sole property of the providing party, will be used only in furtherance of the activities expressly contemplated by this Agreement, will not be used or delivered to or for the benefit of any Third Party (except, in the case of AnaptysBio, in connection with the subcontracting of Project activities in accordance with Section 2.3) without the prior written consent of the providing party, and will be used in compliance with all applicable laws, rules and regulations. The Materials supplied under this Agreement must be used with prudence and appropriate caution in any experimental work because not all of their characteristics may be known. Except as expressly set forth herein, THE MATERIALS ARE PROVIDED “AS IS” AND WITHOUT ANY REPRESENTATION 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42" w:name="page243"/>
    <w:bookmarkEnd w:id="242"/>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WARRANTY, EXPRESS OR IMPLIED, INCLUDING WITHOUT LIMITATION ANY IMPLIED WARRANTY OF MERCHANTABILITY OR OF FITNESS FOR ANY PARTICULAR PURPOSE OR ANY WARRANTY THAT THE USE OF THE MATERIALS WILL NOT INFRINGE OR VIOLATE ANY PATENT OR OTHER PROPRIETARY RIGHTS OF ANY THIRD PARTY.</w:t>
      </w:r>
    </w:p>
    <w:p>
      <w:pPr>
        <w:spacing w:after="0" w:line="326"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AYMENTS</w:t>
      </w:r>
      <w:r>
        <w:rPr>
          <w:rFonts w:ascii="Arial" w:cs="Arial" w:eastAsia="Arial" w:hAnsi="Arial"/>
          <w:sz w:val="18"/>
          <w:szCs w:val="18"/>
          <w:b w:val="1"/>
          <w:bCs w:val="1"/>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Initial Fee</w:t>
      </w:r>
      <w:r>
        <w:rPr>
          <w:rFonts w:ascii="Arial" w:cs="Arial" w:eastAsia="Arial" w:hAnsi="Arial"/>
          <w:sz w:val="18"/>
          <w:szCs w:val="18"/>
          <w:color w:val="auto"/>
        </w:rPr>
        <w:t>. Client shall pay to AnaptysBio a one-time, non-refundable, non-creditable initial fee of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Reimbursement for Excluded Costs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921"/>
        <w:spacing w:after="0" w:line="264" w:lineRule="auto"/>
        <w:tabs>
          <w:tab w:leader="none" w:pos="1168" w:val="left"/>
        </w:tabs>
        <w:numPr>
          <w:ilvl w:val="0"/>
          <w:numId w:val="170"/>
        </w:numPr>
        <w:rPr>
          <w:rFonts w:ascii="Arial" w:cs="Arial" w:eastAsia="Arial" w:hAnsi="Arial"/>
          <w:sz w:val="18"/>
          <w:szCs w:val="18"/>
          <w:b w:val="1"/>
          <w:bCs w:val="1"/>
          <w:color w:val="auto"/>
        </w:rPr>
      </w:pPr>
      <w:r>
        <w:rPr>
          <w:rFonts w:ascii="Arial" w:cs="Arial" w:eastAsia="Arial" w:hAnsi="Arial"/>
          <w:sz w:val="18"/>
          <w:szCs w:val="18"/>
          <w:color w:val="auto"/>
        </w:rPr>
        <w:t>On a Project-by-Project basis Client shall reimburse AnaptysBio for [*] Except as expressly set forth in such Research Plan, AnaptysBio shall issue written, reasonably detailed invoices to Client for such Excluded Costs on a monthly basis, and Client shall pay each such invoice in full within [*] of receipt.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Success Fee</w:t>
      </w:r>
      <w:r>
        <w:rPr>
          <w:rFonts w:ascii="Arial" w:cs="Arial" w:eastAsia="Arial" w:hAnsi="Arial"/>
          <w:sz w:val="18"/>
          <w:szCs w:val="18"/>
          <w:color w:val="auto"/>
        </w:rPr>
        <w:t>. On a Project-by-Project basis, Client shall pay to AnaptysBio [*]:</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3.4 Milestone Payments</w:t>
      </w:r>
      <w:r>
        <w:rPr>
          <w:rFonts w:ascii="Arial" w:cs="Arial" w:eastAsia="Arial" w:hAnsi="Arial"/>
          <w:sz w:val="18"/>
          <w:szCs w:val="18"/>
          <w:color w:val="auto"/>
        </w:rPr>
        <w:t>. Subject to the limitations set forth below, within [*] following the first occurrence of each of the events set forth below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each Product arising from a Project, Client shall provide written notice to AnaptysBio of the occurrence of such event and shall pay to AnaptysBio the corresponding milestone payment set forth below (whether such milestone is achieved by Client, its Affiliate or any of their respective licensees or sublicensees):</w:t>
      </w:r>
    </w:p>
    <w:p>
      <w:pPr>
        <w:spacing w:after="0" w:line="19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95"/>
              </w:rPr>
              <w:t>Payment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Upon the successful completion of the first in vivo GLP pharmacology and/or</w:t>
            </w: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toxicology study of a Product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160" w:type="dxa"/>
            <w:vAlign w:val="bottom"/>
            <w:gridSpan w:val="3"/>
          </w:tcPr>
          <w:p>
            <w:pPr>
              <w:spacing w:after="0"/>
              <w:rPr>
                <w:sz w:val="20"/>
                <w:szCs w:val="20"/>
                <w:color w:val="auto"/>
              </w:rPr>
            </w:pPr>
            <w:r>
              <w:rPr>
                <w:rFonts w:ascii="Arial" w:cs="Arial" w:eastAsia="Arial" w:hAnsi="Arial"/>
                <w:sz w:val="18"/>
                <w:szCs w:val="18"/>
                <w:color w:val="auto"/>
              </w:rPr>
              <w:t>Initiation of the first Phase 1 Clinical Trial of a Product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1,000,000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w:t>
            </w:r>
          </w:p>
        </w:tc>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80" w:type="dxa"/>
            <w:vAlign w:val="bottom"/>
          </w:tcPr>
          <w:p>
            <w:pPr>
              <w:spacing w:after="0"/>
              <w:rPr>
                <w:sz w:val="9"/>
                <w:szCs w:val="9"/>
                <w:color w:val="auto"/>
              </w:rPr>
            </w:pPr>
          </w:p>
        </w:tc>
        <w:tc>
          <w:tcPr>
            <w:tcW w:w="5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w:t>
            </w:r>
          </w:p>
        </w:tc>
        <w:tc>
          <w:tcPr>
            <w:tcW w:w="5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per Product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a Project-by-Project basis, each of the milestone payments set forth above shall be payable: (a) only once per Product, regardless of the number of times a particular Product achieves any milestone set forth above; and (b) only two times per Project, for the first two Products to achieve any milestone set forth above, regardless of the number of Products from</w:t>
      </w:r>
    </w:p>
    <w:p>
      <w:pPr>
        <w:spacing w:after="0" w:line="110"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3" w:name="page244"/>
    <w:bookmarkEnd w:id="243"/>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Project that achieve the milestones set forth above; such that the maximum amount payable under this Section 3.4 for each Project shall be [*]. With respect to any particular milestone event set forth above, from and after such time as the corresponding milestone payment has been paid for two Products arising from a Project, Client shall have no further obligation to notify AnaptysBio of the achievement of such milestone event by any other Product arising from such Project or to pay any additional milestone payment for any such achievement. For purposes of the foregoing milestones, “initiation” of a clinical trial shall mean [*]. Each of the foregoing milestone payments shall be payable only one time for the first and second Product arising from a Project and shall not be payable on any additional Products arising from the Project.</w:t>
      </w:r>
    </w:p>
    <w:p>
      <w:pPr>
        <w:spacing w:after="0" w:line="174"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3.5 Royalties</w:t>
      </w:r>
      <w:r>
        <w:rPr>
          <w:rFonts w:ascii="Arial" w:cs="Arial" w:eastAsia="Arial" w:hAnsi="Arial"/>
          <w:sz w:val="16"/>
          <w:szCs w:val="16"/>
          <w:color w:val="auto"/>
        </w:rPr>
        <w:t>. Client shall pay to AnaptysBio a royalty equal to [*] percent [*]% of Net Sales of Products. Royalties under this Section 3.5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on a Product-by-Product and country-by-country basis from the First Commercial Sale of a Product in a country until the later of [*] (the “</w:t>
      </w:r>
      <w:r>
        <w:rPr>
          <w:rFonts w:ascii="Arial" w:cs="Arial" w:eastAsia="Arial" w:hAnsi="Arial"/>
          <w:sz w:val="16"/>
          <w:szCs w:val="16"/>
          <w:b w:val="1"/>
          <w:bCs w:val="1"/>
          <w:i w:val="1"/>
          <w:iCs w:val="1"/>
          <w:color w:val="auto"/>
        </w:rPr>
        <w:t>Royalty</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Term</w:t>
      </w:r>
      <w:r>
        <w:rPr>
          <w:rFonts w:ascii="Arial" w:cs="Arial" w:eastAsia="Arial" w:hAnsi="Arial"/>
          <w:sz w:val="16"/>
          <w:szCs w:val="16"/>
          <w:color w:val="auto"/>
        </w:rPr>
        <w:t>”). In the event Client obtains a license under any issued patent of a Third Party in a country for which license Client is obligated to pay such Third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royalty on sales of a Product in such country, then Client may offset [*] percent ([*]%) of the royalties actually paid to such Third Party under such patent license with respect to sales of such Product in such country against the royalties due AnaptysBio under this Agreement with respect to Net Sales of such Product in such country, provided that in no event shall the effective royalty rate applicable to Net Sales of such Product in such country hereunder be reduced below [*]% as a result of all such offsets in the aggregate. For the avoidance of doubt, royalties shall be payable only once with respect to the same unit of Product. On a Product-by-Product and country-by-country basis, upon expiration of the Royalty Term for a Product in a country, Client’s licenses and rights hereunder with respect to such Product in such country shall continue in effect, but become fully paid-up, royalty-free, transferable, perpetual and irrevocable.</w:t>
      </w:r>
    </w:p>
    <w:p>
      <w:pPr>
        <w:spacing w:after="0" w:line="160"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b w:val="1"/>
          <w:bCs w:val="1"/>
          <w:color w:val="auto"/>
        </w:rPr>
        <w:t>3.6 Applicability of Payment Obligations</w:t>
      </w:r>
      <w:r>
        <w:rPr>
          <w:rFonts w:ascii="Arial" w:cs="Arial" w:eastAsia="Arial" w:hAnsi="Arial"/>
          <w:sz w:val="16"/>
          <w:szCs w:val="16"/>
          <w:color w:val="auto"/>
        </w:rPr>
        <w:t>. Client acknowledges and agrees that all milestone and royalty payment obligations as set forth in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3.4 and 3.5 shall apply notwithstanding the sale, license, transfer or other disposition by Client of any of its rights with respect to any Delivered Antibody, Product, Delivered Antibody Information or Delivered Antibody Patent. Moreover, Client shall at all times be and remain liable for any and all fees and payments that may become due hereunder with respect to any Delivered Antibody or Product, regardless of whether Client has sold, licensed, transferred or otherwise disposed of any of its rights with respect to such Delivered Antibody or Product or any Delivered Antibody Information or Delivered Antibody Patent to any Affiliate or Third Party. Prior to selling, licensing, transferring or otherwise disposing of any of Client’s rights with respect to any Delivered Antibody, Product, Delivered Antibody Information or Delivered Antibody Patent to any Affiliate or Third Party, Client shall obtain the written agreement of such Affiliate or Third Party, for the benefit of AnaptysBio, to be bound by Sections 3.4 through 3.12 of this Agreement to the same extent as Client, and Client shall provide prompt written notice of any such sale, license, transfer or other disposition to AnaptysBio, including the identity of the applicable Delivered Antibody(ies), Product(s), Delivered Antibody Information and/or Delivered Antibody Patent and the identity of the purchaser, licensee, transferee or other recipient thereof. Client shall ensure that any such transfer arrangement is consistent with the terms of this Agreement.</w:t>
      </w:r>
    </w:p>
    <w:p>
      <w:pPr>
        <w:spacing w:after="0" w:line="164"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3.7 Third Party Patents</w:t>
      </w:r>
      <w:r>
        <w:rPr>
          <w:rFonts w:ascii="Arial" w:cs="Arial" w:eastAsia="Arial" w:hAnsi="Arial"/>
          <w:sz w:val="18"/>
          <w:szCs w:val="18"/>
          <w:color w:val="auto"/>
        </w:rPr>
        <w:t>. Except as expressly set forth in Section 4.3(b), Client shall be solely responsible for obtaining such licenses under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patent or other intellectual</w:t>
      </w:r>
    </w:p>
    <w:p>
      <w:pPr>
        <w:spacing w:after="0" w:line="94" w:lineRule="exact"/>
        <w:rPr>
          <w:sz w:val="20"/>
          <w:szCs w:val="20"/>
          <w:color w:val="auto"/>
        </w:rPr>
      </w:pPr>
    </w:p>
    <w:p>
      <w:pPr>
        <w:jc w:val="both"/>
        <w:ind w:left="5880"/>
        <w:spacing w:after="0"/>
        <w:tabs>
          <w:tab w:leader="none" w:pos="8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4" w:name="page245"/>
    <w:bookmarkEnd w:id="244"/>
    <w:p>
      <w:pPr>
        <w:jc w:val="both"/>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rights as Client determines are necessary or desirable for the manufacture, use, sale, offer for sale or import of Delivered Antibodies or Products, at Client’s sole expense.</w:t>
      </w:r>
    </w:p>
    <w:p>
      <w:pPr>
        <w:spacing w:after="0" w:line="166"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3.8 Payment; Reports</w:t>
      </w:r>
      <w:r>
        <w:rPr>
          <w:rFonts w:ascii="Arial" w:cs="Arial" w:eastAsia="Arial" w:hAnsi="Arial"/>
          <w:sz w:val="18"/>
          <w:szCs w:val="18"/>
          <w:color w:val="auto"/>
        </w:rPr>
        <w:t>. Royalties shall be calculated and reported for each calendar quarter and shall be paid within [*] after the end of each calendar</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Each payment shall be accompanied by a report of [*].</w:t>
      </w:r>
    </w:p>
    <w:p>
      <w:pPr>
        <w:spacing w:after="0" w:line="162"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3.9 Exchange Rate; Manner and Place of Payment</w:t>
      </w:r>
      <w:r>
        <w:rPr>
          <w:rFonts w:ascii="Arial" w:cs="Arial" w:eastAsia="Arial" w:hAnsi="Arial"/>
          <w:sz w:val="18"/>
          <w:szCs w:val="18"/>
          <w:color w:val="auto"/>
        </w:rPr>
        <w:t>. All payments hereunder shall be payable in U.S. dollars and shall be made by electronic funds</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in immediately available funds to a bank and account designated in writing by AnaptysBio, unless otherwise specified in writing by AnaptysBio. When conversion of payments from any foreign currency is required, such conversion shall be made at the rate of exchange used by Client throughout its accounting system for the applicable calendar quarter.</w:t>
      </w:r>
    </w:p>
    <w:p>
      <w:pPr>
        <w:spacing w:after="0" w:line="180" w:lineRule="exact"/>
        <w:rPr>
          <w:sz w:val="20"/>
          <w:szCs w:val="20"/>
          <w:color w:val="auto"/>
        </w:rPr>
      </w:pPr>
    </w:p>
    <w:p>
      <w:pPr>
        <w:jc w:val="both"/>
        <w:ind w:firstLine="456"/>
        <w:spacing w:after="0" w:line="281" w:lineRule="auto"/>
        <w:rPr>
          <w:sz w:val="20"/>
          <w:szCs w:val="20"/>
          <w:color w:val="auto"/>
        </w:rPr>
      </w:pPr>
      <w:r>
        <w:rPr>
          <w:rFonts w:ascii="Arial" w:cs="Arial" w:eastAsia="Arial" w:hAnsi="Arial"/>
          <w:sz w:val="17"/>
          <w:szCs w:val="17"/>
          <w:b w:val="1"/>
          <w:bCs w:val="1"/>
          <w:color w:val="auto"/>
        </w:rPr>
        <w:t>3.10 Income Tax Withholding</w:t>
      </w:r>
      <w:r>
        <w:rPr>
          <w:rFonts w:ascii="Arial" w:cs="Arial" w:eastAsia="Arial" w:hAnsi="Arial"/>
          <w:sz w:val="17"/>
          <w:szCs w:val="17"/>
          <w:color w:val="auto"/>
        </w:rPr>
        <w:t>. AnaptysBio will pay any and all taxes levied on account of any payments made to it under this Agreement. If any taxes</w:t>
      </w:r>
      <w:r>
        <w:rPr>
          <w:rFonts w:ascii="Arial" w:cs="Arial" w:eastAsia="Arial" w:hAnsi="Arial"/>
          <w:sz w:val="17"/>
          <w:szCs w:val="17"/>
          <w:b w:val="1"/>
          <w:bCs w:val="1"/>
          <w:color w:val="auto"/>
        </w:rPr>
        <w:t xml:space="preserve"> </w:t>
      </w:r>
      <w:r>
        <w:rPr>
          <w:rFonts w:ascii="Arial" w:cs="Arial" w:eastAsia="Arial" w:hAnsi="Arial"/>
          <w:sz w:val="17"/>
          <w:szCs w:val="17"/>
          <w:color w:val="auto"/>
        </w:rPr>
        <w:t>are required to be withheld by Client, Client will (a) deduct such taxes from the payment made to AnaptysBio, (b) timely pay the taxes to the proper taxing authority, (c) send proof of payment to AnaptysBio (and, if such tax authority provides a receipt for such payment to Client, a copy of such receipt), and (d) reasonably assist AnaptysBio in its efforts to obtain a credit for or refund of such tax payment.</w:t>
      </w:r>
    </w:p>
    <w:p>
      <w:pPr>
        <w:spacing w:after="0" w:line="165"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3.11 Records and Audit Rights</w:t>
      </w:r>
      <w:r>
        <w:rPr>
          <w:rFonts w:ascii="Arial" w:cs="Arial" w:eastAsia="Arial" w:hAnsi="Arial"/>
          <w:sz w:val="16"/>
          <w:szCs w:val="16"/>
          <w:color w:val="auto"/>
        </w:rPr>
        <w:t>. During the Term and for a period of [*] years thereafter, Client shall keep (and shall cause its Affiliates, licensees and</w:t>
      </w:r>
      <w:r>
        <w:rPr>
          <w:rFonts w:ascii="Arial" w:cs="Arial" w:eastAsia="Arial" w:hAnsi="Arial"/>
          <w:sz w:val="16"/>
          <w:szCs w:val="16"/>
          <w:b w:val="1"/>
          <w:bCs w:val="1"/>
          <w:color w:val="auto"/>
        </w:rPr>
        <w:t xml:space="preserve"> </w:t>
      </w:r>
      <w:r>
        <w:rPr>
          <w:rFonts w:ascii="Arial" w:cs="Arial" w:eastAsia="Arial" w:hAnsi="Arial"/>
          <w:sz w:val="16"/>
          <w:szCs w:val="16"/>
          <w:color w:val="auto"/>
        </w:rPr>
        <w:t>sublicensees to keep) complete and accurate records pertaining to the sale or other disposition of Products in sufficient detail to permit AnaptysBio to confirm the accuracy of all royalty payments due hereunder. AnaptysBio shall have the right to cause an independent, certified public accountant reasonably acceptable to Client to audit such records to confirm Net Sales and royalty payments for a period covering not more than the preceding [*] full calendar years. Such audits may be exercised during normal business hours upon reasonable prior written notice to Client. All information received or learned in connection with such audit shall be Confidential Information of Client and shall be subject to Article 5, provided that AnaptysBio may use and disclose such information to the extent necessary to prepare its financial statements. Prompt adjustments shall be made by the parties to reflect the results of such audit. AnaptysBio shall bear the full cost of such audit unless such audit discloses an underpayment by Client of more than [*]% of the amount due under this Agreement, in which case, Client shall bear the full cost of such audit and shall promptly remit to AnaptysBio the amount of any underpayment.</w:t>
      </w:r>
    </w:p>
    <w:p>
      <w:pPr>
        <w:spacing w:after="0" w:line="160"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3.12 Late Payments</w:t>
      </w:r>
      <w:r>
        <w:rPr>
          <w:rFonts w:ascii="Arial" w:cs="Arial" w:eastAsia="Arial" w:hAnsi="Arial"/>
          <w:sz w:val="18"/>
          <w:szCs w:val="18"/>
          <w:color w:val="auto"/>
        </w:rPr>
        <w:t>. In the event that any payment due under this Agreement is not made when due, the payment shall accrue interest from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due at the rate of [*]% per month (or, if lower, the maximum legal annual interest rate). The payment of such interest shall not limit AnaptysBio from exercising any other rights it may have as a consequence of the lateness of any payment.</w:t>
      </w:r>
    </w:p>
    <w:p>
      <w:pPr>
        <w:spacing w:after="0" w:line="325" w:lineRule="exact"/>
        <w:rPr>
          <w:sz w:val="20"/>
          <w:szCs w:val="20"/>
          <w:color w:val="auto"/>
        </w:rPr>
      </w:pPr>
    </w:p>
    <w:p>
      <w:pPr>
        <w:ind w:left="460" w:hanging="452"/>
        <w:spacing w:after="0"/>
        <w:tabs>
          <w:tab w:leader="none" w:pos="4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158"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45" w:name="page246"/>
    <w:bookmarkEnd w:id="245"/>
    <w:p>
      <w:pPr>
        <w:jc w:val="both"/>
        <w:ind w:firstLine="456"/>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4.1 Delivered Antibodies</w:t>
      </w:r>
      <w:r>
        <w:rPr>
          <w:rFonts w:ascii="Arial" w:cs="Arial" w:eastAsia="Arial" w:hAnsi="Arial"/>
          <w:sz w:val="17"/>
          <w:szCs w:val="17"/>
          <w:color w:val="auto"/>
        </w:rPr>
        <w:t>. Subject to the terms and conditions of this Agreement, on a Project-by-Project basis, and effective only upon payment in full</w:t>
      </w:r>
      <w:r>
        <w:rPr>
          <w:rFonts w:ascii="Arial" w:cs="Arial" w:eastAsia="Arial" w:hAnsi="Arial"/>
          <w:sz w:val="17"/>
          <w:szCs w:val="17"/>
          <w:b w:val="1"/>
          <w:bCs w:val="1"/>
          <w:color w:val="auto"/>
        </w:rPr>
        <w:t xml:space="preserve"> </w:t>
      </w:r>
      <w:r>
        <w:rPr>
          <w:rFonts w:ascii="Arial" w:cs="Arial" w:eastAsia="Arial" w:hAnsi="Arial"/>
          <w:sz w:val="17"/>
          <w:szCs w:val="17"/>
          <w:color w:val="auto"/>
        </w:rPr>
        <w:t>of the Success Fee for a Project on or before the applicable Success Fee Due Date (or, if this Agreement is earlier terminated in accordance with Article 7, prior to such termination), AnaptysBio hereby assigns to Client all right, title and interest of AnaptysBio in and to the Delivered Antibodies and Delivered Antibody Information from such Project, and the Results of the Evaluation thereof, including all intellectual property rights in any of the foregoing. Client acknowledges and agrees that, notwithstanding any assignment by AnaptysBio to Client of any Delivered Antibody, Delivered Antibody Information and/or any Results of the Evaluation, or any further assignment, license or transfer by Client to any Affiliate or Third Party of any rights in any Delivered Antibody, Product, Delivered Antibody Information and/or Results of the Evaluation, all Delivered Antibodies and Products shall be and remain subject to the milestone and royalty payment obligations set forth in Sections 3.4 and 3.5, respectively.</w:t>
      </w:r>
    </w:p>
    <w:p>
      <w:pPr>
        <w:spacing w:after="0" w:line="172" w:lineRule="exact"/>
        <w:rPr>
          <w:sz w:val="20"/>
          <w:szCs w:val="20"/>
          <w:color w:val="auto"/>
        </w:rPr>
      </w:pPr>
    </w:p>
    <w:p>
      <w:pPr>
        <w:jc w:val="both"/>
        <w:ind w:firstLine="456"/>
        <w:spacing w:after="0" w:line="281" w:lineRule="auto"/>
        <w:rPr>
          <w:sz w:val="20"/>
          <w:szCs w:val="20"/>
          <w:color w:val="auto"/>
        </w:rPr>
      </w:pPr>
      <w:r>
        <w:rPr>
          <w:rFonts w:ascii="Arial" w:cs="Arial" w:eastAsia="Arial" w:hAnsi="Arial"/>
          <w:sz w:val="17"/>
          <w:szCs w:val="17"/>
          <w:b w:val="1"/>
          <w:bCs w:val="1"/>
          <w:color w:val="auto"/>
        </w:rPr>
        <w:t>4.2 AnaptysBio Technology</w:t>
      </w:r>
      <w:r>
        <w:rPr>
          <w:rFonts w:ascii="Arial" w:cs="Arial" w:eastAsia="Arial" w:hAnsi="Arial"/>
          <w:sz w:val="17"/>
          <w:szCs w:val="17"/>
          <w:color w:val="auto"/>
        </w:rPr>
        <w:t>. AnaptysBio shall at all times be and remain the sole and exclusive owner of the AnaptysBio Technology and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no obligation to deliver, make available or disclose to Client any AnaptysBio Technology. AnaptysBio shall be free, in its sole discretion, to seek patent or other intellectual property protection of AnaptysBio Technology. Except as expressly set forth in Section 4.3, nothing in this Agreement shall be construed as granting to Client any right or license in any AnaptysBio Technology or any other intellectual property rights of AnaptysBio.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Freedom to Operate</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90" w:lineRule="auto"/>
        <w:tabs>
          <w:tab w:leader="none" w:pos="1168"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Subject AnaptysBio Patents</w:t>
      </w:r>
      <w:r>
        <w:rPr>
          <w:rFonts w:ascii="Arial" w:cs="Arial" w:eastAsia="Arial" w:hAnsi="Arial"/>
          <w:sz w:val="16"/>
          <w:szCs w:val="16"/>
          <w:color w:val="auto"/>
        </w:rPr>
        <w:t>. Subject to the terms and conditions of this Agreement (including Sections 3.4 and 3.5 above and Section 4.3(b)</w:t>
      </w:r>
      <w:r>
        <w:rPr>
          <w:rFonts w:ascii="Arial" w:cs="Arial" w:eastAsia="Arial" w:hAnsi="Arial"/>
          <w:sz w:val="16"/>
          <w:szCs w:val="16"/>
          <w:b w:val="1"/>
          <w:bCs w:val="1"/>
          <w:color w:val="auto"/>
        </w:rPr>
        <w:t xml:space="preserve"> </w:t>
      </w:r>
      <w:r>
        <w:rPr>
          <w:rFonts w:ascii="Arial" w:cs="Arial" w:eastAsia="Arial" w:hAnsi="Arial"/>
          <w:sz w:val="16"/>
          <w:szCs w:val="16"/>
          <w:color w:val="auto"/>
        </w:rPr>
        <w:t>below), on a Project-by-Project basis, to the extent necessary, and effective only upon the effectiveness of the assignment set forth in Section 4.1 for a Project, AnaptysBio shall, and it hereby does, grant to Client a non-exclusive, worldwide, royalty-bearing license under the Subject AnaptysBio Patents associated with a particular Delivered Antibody from such Project, solely to make, have made, use, sell, have sold, offer for sale, and import such Delivered Antibody and related Products for all uses and purposes. The foregoing license will include the right to sublicense solely in conjunction with the grant by Client to a Third Party of a license to make, have made, use, sell, have sold, offer for sale, or import a Product based on such Delivered Antibody. For the avoidance of doubt, the license granted pursuant to this Section 4.3(a) excludes (i) the right to use any AnaptysBio Technology for the purpose of modifying any Antibody (including, without limitation, any Delivered Antibody), and (ii) the right to make, have made, use, sell, have sold, offer for sale, or import any Antibody other than a Delivered Antibody that has been assigned to Client pursuant to Section 4.1 and its related Products.</w:t>
      </w:r>
    </w:p>
    <w:p>
      <w:pPr>
        <w:spacing w:after="0" w:line="159" w:lineRule="exact"/>
        <w:rPr>
          <w:rFonts w:ascii="Arial" w:cs="Arial" w:eastAsia="Arial" w:hAnsi="Arial"/>
          <w:sz w:val="16"/>
          <w:szCs w:val="16"/>
          <w:b w:val="1"/>
          <w:bCs w:val="1"/>
          <w:color w:val="auto"/>
        </w:rPr>
      </w:pPr>
    </w:p>
    <w:p>
      <w:pPr>
        <w:jc w:val="both"/>
        <w:ind w:firstLine="921"/>
        <w:spacing w:after="0" w:line="261" w:lineRule="auto"/>
        <w:tabs>
          <w:tab w:leader="none" w:pos="1205"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In-Licensed Patents</w:t>
      </w:r>
      <w:r>
        <w:rPr>
          <w:rFonts w:ascii="Arial" w:cs="Arial" w:eastAsia="Arial" w:hAnsi="Arial"/>
          <w:sz w:val="18"/>
          <w:szCs w:val="18"/>
          <w:color w:val="auto"/>
        </w:rPr>
        <w:t>. With regard to any Subject AnaptysBio Patent licensed to Client pursuant to Section 4.3(a) that is licensed to</w:t>
      </w:r>
      <w:r>
        <w:rPr>
          <w:rFonts w:ascii="Arial" w:cs="Arial" w:eastAsia="Arial" w:hAnsi="Arial"/>
          <w:sz w:val="18"/>
          <w:szCs w:val="18"/>
          <w:b w:val="1"/>
          <w:bCs w:val="1"/>
          <w:color w:val="auto"/>
        </w:rPr>
        <w:t xml:space="preserve"> </w:t>
      </w:r>
      <w:r>
        <w:rPr>
          <w:rFonts w:ascii="Arial" w:cs="Arial" w:eastAsia="Arial" w:hAnsi="Arial"/>
          <w:sz w:val="18"/>
          <w:szCs w:val="18"/>
          <w:color w:val="auto"/>
        </w:rPr>
        <w:t>AnaptysBio by [*]. Subject to mutual execution by the parties of a sublicense agreement with respect to an In-Licensed Patent, AnaptysBio shall be responsible for any payments that may be due to Licensor(s) as a result of Client’s practice of the invention(s) claimed by such In-Licensed Patent within the scope of such sublicense.</w:t>
      </w:r>
    </w:p>
    <w:p>
      <w:pPr>
        <w:spacing w:after="0" w:line="113"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46" w:name="page247"/>
    <w:bookmarkEnd w:id="24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4.4 Patents</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58" w:lineRule="auto"/>
        <w:tabs>
          <w:tab w:leader="none" w:pos="1168"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Delivered Antibody Patents</w:t>
      </w:r>
      <w:r>
        <w:rPr>
          <w:rFonts w:ascii="Arial" w:cs="Arial" w:eastAsia="Arial" w:hAnsi="Arial"/>
          <w:sz w:val="18"/>
          <w:szCs w:val="18"/>
          <w:color w:val="auto"/>
        </w:rPr>
        <w:t>. Subject to the terms and conditions of this Agreement, on a Project-by-Project basis and effective only upon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the assignment set forth in Section 4.1 for a Project, Client shall have the exclusive right, in its sole discretion and at its own expense, to file and prosecute any patent applications, and to maintain, defend and enforce any resulting patents, claiming or disclosing any Delivered Antibody or Delivered Antibody Information from such Project, any associated Product, or any method of making or using any of the foregoing (collectively, “</w:t>
      </w:r>
      <w:r>
        <w:rPr>
          <w:rFonts w:ascii="Arial" w:cs="Arial" w:eastAsia="Arial" w:hAnsi="Arial"/>
          <w:sz w:val="18"/>
          <w:szCs w:val="18"/>
          <w:b w:val="1"/>
          <w:bCs w:val="1"/>
          <w:i w:val="1"/>
          <w:iCs w:val="1"/>
          <w:color w:val="auto"/>
        </w:rPr>
        <w:t>Delivered Antibody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w:t>
      </w:r>
    </w:p>
    <w:p>
      <w:pPr>
        <w:spacing w:after="0" w:line="183" w:lineRule="exact"/>
        <w:rPr>
          <w:rFonts w:ascii="Arial" w:cs="Arial" w:eastAsia="Arial" w:hAnsi="Arial"/>
          <w:sz w:val="18"/>
          <w:szCs w:val="18"/>
          <w:b w:val="1"/>
          <w:bCs w:val="1"/>
          <w:color w:val="auto"/>
        </w:rPr>
      </w:pPr>
    </w:p>
    <w:p>
      <w:pPr>
        <w:jc w:val="both"/>
        <w:ind w:firstLine="921"/>
        <w:spacing w:after="0" w:line="261" w:lineRule="auto"/>
        <w:tabs>
          <w:tab w:leader="none" w:pos="1205"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Joint Patents</w:t>
      </w:r>
      <w:r>
        <w:rPr>
          <w:rFonts w:ascii="Arial" w:cs="Arial" w:eastAsia="Arial" w:hAnsi="Arial"/>
          <w:sz w:val="18"/>
          <w:szCs w:val="18"/>
          <w:color w:val="auto"/>
        </w:rPr>
        <w:t>. For the avoidance of doubt, the parties do not anticipate that there will be any Joint Inventions, as they anticipate that</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and information resulting from activities under this Agreement are most likely to fall within the scope of AnaptysBio Technology, Client Technology or Delivered Antibody Inventions. However, in the event that any Joint Invention is made, the parties shall mutually agree, on a case-by-case basis, [*]</w:t>
      </w:r>
    </w:p>
    <w:p>
      <w:pPr>
        <w:spacing w:after="0" w:line="180"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4.5 Cooperation</w:t>
      </w:r>
      <w:r>
        <w:rPr>
          <w:rFonts w:ascii="Arial" w:cs="Arial" w:eastAsia="Arial" w:hAnsi="Arial"/>
          <w:sz w:val="18"/>
          <w:szCs w:val="18"/>
          <w:color w:val="auto"/>
        </w:rPr>
        <w:t>. The parties shall cooperate in good faith to accomplish the intent of Sections 4.1 and 4.4 and to enable each party to exercise its</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and perform its responsibilities under such Sections, including the execution of all such documents and instruments and the performance of such acts (and causing its relevant employees to execute such documents and instruments and to perform such acts) as may be reasonably necessary in order to permit each party to exercise such rights and perform such obligations.</w:t>
      </w:r>
    </w:p>
    <w:p>
      <w:pPr>
        <w:spacing w:after="0" w:line="180"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4.6 No Implied Licenses</w:t>
      </w:r>
      <w:r>
        <w:rPr>
          <w:rFonts w:ascii="Arial" w:cs="Arial" w:eastAsia="Arial" w:hAnsi="Arial"/>
          <w:sz w:val="18"/>
          <w:szCs w:val="18"/>
          <w:color w:val="auto"/>
        </w:rPr>
        <w:t>. No right or license under any Information or intellectual property right of either party is granted or shall be granted by</w:t>
      </w:r>
      <w:r>
        <w:rPr>
          <w:rFonts w:ascii="Arial" w:cs="Arial" w:eastAsia="Arial" w:hAnsi="Arial"/>
          <w:sz w:val="18"/>
          <w:szCs w:val="18"/>
          <w:b w:val="1"/>
          <w:bCs w:val="1"/>
          <w:color w:val="auto"/>
        </w:rPr>
        <w:t xml:space="preserve"> </w:t>
      </w:r>
      <w:r>
        <w:rPr>
          <w:rFonts w:ascii="Arial" w:cs="Arial" w:eastAsia="Arial" w:hAnsi="Arial"/>
          <w:sz w:val="18"/>
          <w:szCs w:val="18"/>
          <w:color w:val="auto"/>
        </w:rPr>
        <w:t>implication hereunder. All such rights or licenses are or shall be granted only as expressly provided in this Agreement.</w:t>
      </w:r>
    </w:p>
    <w:p>
      <w:pPr>
        <w:spacing w:after="0" w:line="310"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ROTECTION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b w:val="1"/>
          <w:bCs w:val="1"/>
          <w:color w:val="auto"/>
        </w:rPr>
        <w:t>5.1 Confidentiality</w:t>
      </w:r>
      <w:r>
        <w:rPr>
          <w:rFonts w:ascii="Arial" w:cs="Arial" w:eastAsia="Arial" w:hAnsi="Arial"/>
          <w:sz w:val="16"/>
          <w:szCs w:val="16"/>
          <w:color w:val="auto"/>
        </w:rPr>
        <w:t>. Except to the extent expressly authorized by this Agreement or otherwise agreed in writing by the parties, the parties agree that a</w:t>
      </w:r>
      <w:r>
        <w:rPr>
          <w:rFonts w:ascii="Arial" w:cs="Arial" w:eastAsia="Arial" w:hAnsi="Arial"/>
          <w:sz w:val="16"/>
          <w:szCs w:val="16"/>
          <w:b w:val="1"/>
          <w:bCs w:val="1"/>
          <w:color w:val="auto"/>
        </w:rPr>
        <w:t xml:space="preserve"> </w:t>
      </w:r>
      <w:r>
        <w:rPr>
          <w:rFonts w:ascii="Arial" w:cs="Arial" w:eastAsia="Arial" w:hAnsi="Arial"/>
          <w:sz w:val="16"/>
          <w:szCs w:val="16"/>
          <w:color w:val="auto"/>
        </w:rPr>
        <w:t>party (referred to as the “receiving party’ shall keep confidential and shall not publish or otherwise disclose and shall not use for any purpose other than as expressly provided for in this Agreement any Confidential Information of the other party. Each party may use the other party’s Confidential Information only to the extent required to accomplish the purposes of this Agreement. Each party may disclose Confidential Information of the other party to those of such party’s employees, directors, contractors and consultants who have a need for such information, provided that such party shall advise such employees, directors, contractors and consultants of the confidential nature thereof, shall insure that each such employee, director, contractor or consultant is bound by obligations of confidentiality at least as stringent as those contained in this Agreement and shall be responsible for the compliance of its employees, directors, contractors and consultants with the terms of this Agreement. Each party will use at least the same standard of care as it uses to protect proprietary or confidential information of its own (but in no event less than reasonable care) to ensure that its employees, directors, contractors and consultants do not disclose or make any unauthorized use of the other party’s Confidential Information. Each party will promptly</w:t>
      </w:r>
    </w:p>
    <w:p>
      <w:pPr>
        <w:spacing w:after="0" w:line="94"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notify the other upon discovery of any unauthorized use or disclosure of the other party’s Confidential Information.</w:t>
      </w:r>
    </w:p>
    <w:p>
      <w:pPr>
        <w:spacing w:after="0" w:line="2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5.2 Exceptions</w:t>
      </w:r>
      <w:r>
        <w:rPr>
          <w:rFonts w:ascii="Arial" w:cs="Arial" w:eastAsia="Arial" w:hAnsi="Arial"/>
          <w:sz w:val="18"/>
          <w:szCs w:val="18"/>
          <w:color w:val="auto"/>
        </w:rPr>
        <w:t>. Confidential Information shall not include any information that the receiving party can prove by competent evidence: (a) was already</w:t>
      </w:r>
      <w:r>
        <w:rPr>
          <w:rFonts w:ascii="Arial" w:cs="Arial" w:eastAsia="Arial" w:hAnsi="Arial"/>
          <w:sz w:val="18"/>
          <w:szCs w:val="18"/>
          <w:b w:val="1"/>
          <w:bCs w:val="1"/>
          <w:color w:val="auto"/>
        </w:rPr>
        <w:t xml:space="preserve"> </w:t>
      </w:r>
      <w:r>
        <w:rPr>
          <w:rFonts w:ascii="Arial" w:cs="Arial" w:eastAsia="Arial" w:hAnsi="Arial"/>
          <w:sz w:val="18"/>
          <w:szCs w:val="18"/>
          <w:color w:val="auto"/>
        </w:rPr>
        <w:t>known to the receiving party prior to receipt from the other party other than as a result of performance of a Project; (b) was generally available to the public or otherwise part of the public domain at the time of its disclosure to the receiving party; (c) became generally available to the public or otherwise part of the public domain after its disclosure, other than through any act or omission of the receiving party in breach of this Agreement; (d) was disclosed to the receiving party, other than under an obligation of confidentiality, by a Third Party with the lawful right to make such disclosure; or (e) was independently discovered or developed by the receiving party without access to and without the aid, use or application of any Confidential Information disclosed or made available to the receiving party by the other party.</w:t>
      </w:r>
    </w:p>
    <w:p>
      <w:pPr>
        <w:spacing w:after="0" w:line="189"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5.3 Authorized Disclosure</w:t>
      </w:r>
      <w:r>
        <w:rPr>
          <w:rFonts w:ascii="Arial" w:cs="Arial" w:eastAsia="Arial" w:hAnsi="Arial"/>
          <w:sz w:val="18"/>
          <w:szCs w:val="18"/>
          <w:color w:val="auto"/>
        </w:rPr>
        <w:t>. Notwithstanding Section 5.1, a party may disclose Confidential Information of the other party, without violating its</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 to the extent the disclosure is necessary in the following instances:</w:t>
      </w:r>
    </w:p>
    <w:p>
      <w:pPr>
        <w:spacing w:after="0" w:line="166" w:lineRule="exact"/>
        <w:rPr>
          <w:sz w:val="20"/>
          <w:szCs w:val="20"/>
          <w:color w:val="auto"/>
        </w:rPr>
      </w:pPr>
    </w:p>
    <w:p>
      <w:pPr>
        <w:ind w:left="1180" w:hanging="259"/>
        <w:spacing w:after="0"/>
        <w:tabs>
          <w:tab w:leader="none" w:pos="118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filing or prosecuting patent applications as permitted by this Agreement;</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prosecuting or defending litigation as permitted by this Agreement;</w:t>
      </w:r>
    </w:p>
    <w:p>
      <w:pPr>
        <w:spacing w:after="0" w:line="225" w:lineRule="exact"/>
        <w:rPr>
          <w:rFonts w:ascii="Arial" w:cs="Arial" w:eastAsia="Arial" w:hAnsi="Arial"/>
          <w:sz w:val="18"/>
          <w:szCs w:val="18"/>
          <w:b w:val="1"/>
          <w:bCs w:val="1"/>
          <w:color w:val="auto"/>
        </w:rPr>
      </w:pPr>
    </w:p>
    <w:p>
      <w:pPr>
        <w:ind w:left="1160" w:hanging="239"/>
        <w:spacing w:after="0"/>
        <w:tabs>
          <w:tab w:leader="none" w:pos="116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exercising rights expressly granted to such party hereunder;</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75"/>
        </w:numPr>
        <w:rPr>
          <w:rFonts w:ascii="Arial" w:cs="Arial" w:eastAsia="Arial" w:hAnsi="Arial"/>
          <w:sz w:val="18"/>
          <w:szCs w:val="18"/>
          <w:b w:val="1"/>
          <w:bCs w:val="1"/>
          <w:color w:val="auto"/>
        </w:rPr>
      </w:pPr>
      <w:r>
        <w:rPr>
          <w:rFonts w:ascii="Arial" w:cs="Arial" w:eastAsia="Arial" w:hAnsi="Arial"/>
          <w:sz w:val="18"/>
          <w:szCs w:val="18"/>
          <w:color w:val="auto"/>
        </w:rPr>
        <w:t>enforcing the provisions of this Agreement; or</w:t>
      </w:r>
    </w:p>
    <w:p>
      <w:pPr>
        <w:spacing w:after="0" w:line="225" w:lineRule="exact"/>
        <w:rPr>
          <w:rFonts w:ascii="Arial" w:cs="Arial" w:eastAsia="Arial" w:hAnsi="Arial"/>
          <w:sz w:val="18"/>
          <w:szCs w:val="18"/>
          <w:b w:val="1"/>
          <w:bCs w:val="1"/>
          <w:color w:val="auto"/>
        </w:rPr>
      </w:pPr>
    </w:p>
    <w:p>
      <w:pPr>
        <w:jc w:val="both"/>
        <w:ind w:firstLine="921"/>
        <w:spacing w:after="0" w:line="276" w:lineRule="auto"/>
        <w:tabs>
          <w:tab w:leader="none" w:pos="1182" w:val="left"/>
        </w:tabs>
        <w:numPr>
          <w:ilvl w:val="0"/>
          <w:numId w:val="175"/>
        </w:numPr>
        <w:rPr>
          <w:rFonts w:ascii="Arial" w:cs="Arial" w:eastAsia="Arial" w:hAnsi="Arial"/>
          <w:sz w:val="17"/>
          <w:szCs w:val="17"/>
          <w:b w:val="1"/>
          <w:bCs w:val="1"/>
          <w:color w:val="auto"/>
        </w:rPr>
      </w:pPr>
      <w:r>
        <w:rPr>
          <w:rFonts w:ascii="Arial" w:cs="Arial" w:eastAsia="Arial" w:hAnsi="Arial"/>
          <w:sz w:val="17"/>
          <w:szCs w:val="17"/>
          <w:color w:val="auto"/>
        </w:rPr>
        <w:t>complying with a valid order of a court or other governmental body having jurisdiction or with applicable law; provided that, if legally permissible and to the extent practicable under the circumstances, such party gives reasonable prior written notice to the other party of such required disclosure and, at the other party’s request and expense, cooperates with the other party’s efforts to contest such required disclosure, and/or to obtain a protective order preventing or limiting the disclosure and/or requiring that the Confidential Information so disclosed be used only for the purposes for which the law or regulation requires, or for which the order was issued, and/or to obtain other confidential treatment of such information.</w:t>
      </w:r>
    </w:p>
    <w:p>
      <w:pPr>
        <w:spacing w:after="0" w:line="16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5.4 Use of Names; Blinded Data</w:t>
      </w:r>
      <w:r>
        <w:rPr>
          <w:rFonts w:ascii="Arial" w:cs="Arial" w:eastAsia="Arial" w:hAnsi="Arial"/>
          <w:sz w:val="18"/>
          <w:szCs w:val="18"/>
          <w:color w:val="auto"/>
        </w:rPr>
        <w:t>. Neither party shall use the other party’s name or trademarks in any advertising, sales, or promotional material or in</w:t>
      </w:r>
      <w:r>
        <w:rPr>
          <w:rFonts w:ascii="Arial" w:cs="Arial" w:eastAsia="Arial" w:hAnsi="Arial"/>
          <w:sz w:val="18"/>
          <w:szCs w:val="18"/>
          <w:b w:val="1"/>
          <w:bCs w:val="1"/>
          <w:color w:val="auto"/>
        </w:rPr>
        <w:t xml:space="preserve"> </w:t>
      </w:r>
      <w:r>
        <w:rPr>
          <w:rFonts w:ascii="Arial" w:cs="Arial" w:eastAsia="Arial" w:hAnsi="Arial"/>
          <w:sz w:val="18"/>
          <w:szCs w:val="18"/>
          <w:color w:val="auto"/>
        </w:rPr>
        <w:t>any publication without the prior written consent of the other party. Notwithstanding the preceding sentence or any other provision of this Article 5, the parties agree that for the purposes of promoting or otherwise highlighting the advantages of the AnaptysBio Technology, AnaptysBio may publish (or cause to be published) or otherwise disclose (or cause to be disclosed) to Third Parties, blinded data relating to Results, Delivered Antibodies and/or Delivered Antibody Information (such data to be limited to the number of projects, the types of projects, number and diversity of Antibodies generated or matured, binding affinity of Antibodies generated or matured, functional assay data, and number and types of mutations observed), at any time during or subsequent to the Term, provided that neither Client nor any Client Target, Client Antibody or Delivered Antibody shall be identified, directly or indirectly, in connection therewith.</w:t>
      </w:r>
    </w:p>
    <w:p>
      <w:pPr>
        <w:spacing w:after="0" w:line="12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48" w:name="page249"/>
    <w:bookmarkEnd w:id="248"/>
    <w:p>
      <w:pPr>
        <w:jc w:val="both"/>
        <w:ind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5.5 Confidentiality of this Agreement</w:t>
      </w:r>
      <w:r>
        <w:rPr>
          <w:rFonts w:ascii="Arial" w:cs="Arial" w:eastAsia="Arial" w:hAnsi="Arial"/>
          <w:sz w:val="18"/>
          <w:szCs w:val="18"/>
          <w:color w:val="auto"/>
        </w:rPr>
        <w:t>. This Agreement and its terms are considered Confidential Information of both parties, and each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keep confidential and shall not publish or otherwise disclose this Agreement or its terms without the prior written consent of the other party, except as expressly permitted by Section 5.3, Section 5.4 or Section 5.6, and except that AnaptysBio may disclose this Agreement and its terms to actual or potential investors, strategic partners, acquirers and merger candidates on a confidential basis.</w:t>
      </w:r>
    </w:p>
    <w:p>
      <w:pPr>
        <w:spacing w:after="0" w:line="180" w:lineRule="exact"/>
        <w:rPr>
          <w:sz w:val="20"/>
          <w:szCs w:val="20"/>
          <w:color w:val="auto"/>
        </w:rPr>
      </w:pPr>
    </w:p>
    <w:p>
      <w:pPr>
        <w:jc w:val="both"/>
        <w:ind w:firstLine="456"/>
        <w:spacing w:after="0" w:line="295" w:lineRule="auto"/>
        <w:rPr>
          <w:sz w:val="20"/>
          <w:szCs w:val="20"/>
          <w:color w:val="auto"/>
        </w:rPr>
      </w:pPr>
      <w:r>
        <w:rPr>
          <w:rFonts w:ascii="Arial" w:cs="Arial" w:eastAsia="Arial" w:hAnsi="Arial"/>
          <w:sz w:val="16"/>
          <w:szCs w:val="16"/>
          <w:b w:val="1"/>
          <w:bCs w:val="1"/>
          <w:color w:val="auto"/>
        </w:rPr>
        <w:t>5.6 Publicity</w:t>
      </w:r>
      <w:r>
        <w:rPr>
          <w:rFonts w:ascii="Arial" w:cs="Arial" w:eastAsia="Arial" w:hAnsi="Arial"/>
          <w:sz w:val="16"/>
          <w:szCs w:val="16"/>
          <w:color w:val="auto"/>
        </w:rPr>
        <w:t>. Except as required by judicial order or applicable law, neither party shall make any public announcement concerning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prior written consent of the other party. Notwithstanding the foregoing, from and after such time as Client begins publicly disclosing or discussing Client’s interest and/or efforts in the development of antibodies, AnaptysBio may issue one or more press releases concerning, or otherwise publicly disclose or discuss, the existence of this Agreement and/or the achievement of significant development and regulatory milestones by Products arising from this Agreement, after good faith consultation between the parties with respect to the text and timing of any such press release (or content and timing of any such other public disclosure or discussion) and subject to Client’s prior approval, which shall not be unreasonably withheld.</w:t>
      </w:r>
    </w:p>
    <w:p>
      <w:pPr>
        <w:spacing w:after="0" w:line="304"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D</w:t>
      </w:r>
      <w:r>
        <w:rPr>
          <w:rFonts w:ascii="Arial" w:cs="Arial" w:eastAsia="Arial" w:hAnsi="Arial"/>
          <w:sz w:val="15"/>
          <w:szCs w:val="15"/>
          <w:b w:val="1"/>
          <w:bCs w:val="1"/>
          <w:color w:val="auto"/>
        </w:rPr>
        <w:t>ISCLAIMER</w:t>
      </w:r>
      <w:r>
        <w:rPr>
          <w:rFonts w:ascii="Arial" w:cs="Arial" w:eastAsia="Arial" w:hAnsi="Arial"/>
          <w:sz w:val="18"/>
          <w:szCs w:val="18"/>
          <w:b w:val="1"/>
          <w:bCs w:val="1"/>
          <w:color w:val="auto"/>
        </w:rPr>
        <w:t>; L</w:t>
      </w:r>
      <w:r>
        <w:rPr>
          <w:rFonts w:ascii="Arial" w:cs="Arial" w:eastAsia="Arial" w:hAnsi="Arial"/>
          <w:sz w:val="15"/>
          <w:szCs w:val="15"/>
          <w:b w:val="1"/>
          <w:bCs w:val="1"/>
          <w:color w:val="auto"/>
        </w:rPr>
        <w:t>IMITATION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IABILITY</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6.1 Mutual Representations and Warranties</w:t>
      </w:r>
      <w:r>
        <w:rPr>
          <w:rFonts w:ascii="Arial" w:cs="Arial" w:eastAsia="Arial" w:hAnsi="Arial"/>
          <w:sz w:val="18"/>
          <w:szCs w:val="18"/>
          <w:color w:val="auto"/>
        </w:rPr>
        <w:t>. Each party represents and warrants to the other that: (a) it is duly organized and validly existing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(c) this Agreement is legally binding upon it, enforceable in accordance with its terms, and does not conflict with any agreement, instrument or understanding, oral or written, to which it is a party or by which it may be bound.</w:t>
      </w:r>
    </w:p>
    <w:p>
      <w:pPr>
        <w:spacing w:after="0" w:line="184" w:lineRule="exact"/>
        <w:rPr>
          <w:sz w:val="20"/>
          <w:szCs w:val="20"/>
          <w:color w:val="auto"/>
        </w:rPr>
      </w:pPr>
    </w:p>
    <w:p>
      <w:pPr>
        <w:jc w:val="both"/>
        <w:ind w:firstLine="456"/>
        <w:spacing w:after="0" w:line="314" w:lineRule="auto"/>
        <w:rPr>
          <w:sz w:val="20"/>
          <w:szCs w:val="20"/>
          <w:color w:val="auto"/>
        </w:rPr>
      </w:pPr>
      <w:r>
        <w:rPr>
          <w:rFonts w:ascii="Arial" w:cs="Arial" w:eastAsia="Arial" w:hAnsi="Arial"/>
          <w:sz w:val="16"/>
          <w:szCs w:val="16"/>
          <w:b w:val="1"/>
          <w:bCs w:val="1"/>
          <w:color w:val="auto"/>
        </w:rPr>
        <w:t>6.2 Limited Services Warranty</w:t>
      </w:r>
      <w:r>
        <w:rPr>
          <w:rFonts w:ascii="Arial" w:cs="Arial" w:eastAsia="Arial" w:hAnsi="Arial"/>
          <w:sz w:val="16"/>
          <w:szCs w:val="16"/>
          <w:color w:val="auto"/>
        </w:rPr>
        <w:t>. AnaptysBio’s sole warranty with respect to each Project is that AnaptysBio will perform such Project with due care</w:t>
      </w:r>
      <w:r>
        <w:rPr>
          <w:rFonts w:ascii="Arial" w:cs="Arial" w:eastAsia="Arial" w:hAnsi="Arial"/>
          <w:sz w:val="16"/>
          <w:szCs w:val="16"/>
          <w:b w:val="1"/>
          <w:bCs w:val="1"/>
          <w:color w:val="auto"/>
        </w:rPr>
        <w:t xml:space="preserve"> </w:t>
      </w:r>
      <w:r>
        <w:rPr>
          <w:rFonts w:ascii="Arial" w:cs="Arial" w:eastAsia="Arial" w:hAnsi="Arial"/>
          <w:sz w:val="16"/>
          <w:szCs w:val="16"/>
          <w:color w:val="auto"/>
        </w:rPr>
        <w:t>and in accordance with applicable laws and regulations (including, without limitation, laws and regulations relating to health, safety and the environment, fair labor practices, unlawful discrimination and animal welfare), (b) the terms and conditions contained herein and (c) generally prevailing industry standards.</w:t>
      </w:r>
    </w:p>
    <w:p>
      <w:pPr>
        <w:spacing w:after="0" w:line="142"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b w:val="1"/>
          <w:bCs w:val="1"/>
          <w:color w:val="auto"/>
        </w:rPr>
        <w:t>6.3 Disclaimer</w:t>
      </w:r>
      <w:r>
        <w:rPr>
          <w:rFonts w:ascii="Arial" w:cs="Arial" w:eastAsia="Arial" w:hAnsi="Arial"/>
          <w:sz w:val="18"/>
          <w:szCs w:val="18"/>
          <w:color w:val="auto"/>
        </w:rPr>
        <w:t>. Except as expressly set forth herein, EACH PARTY EXPRESSLY DISCLAIMS ANY AND ALL WARRANTIES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EXPRESS OR IMPLIED, INCLUDING, WITHOUT LIMITATION, THE WARRANTIES OF DESIGN, MERCHANTABILITY, FITNESS FOR A PARTICULAR PURPOSE, NON-INFRINGEMENT OF THE INTELLECTUAL PROPERTY RIGHTS OF THIRD PARTIES, OR ARISING FROM A COURSE OF DEALING, USAGE OR TRADE PRACTICES. Without limiting the generality of the foregoing, Client acknowledges and agrees that AnaptysBio does not make, and that AnaptysBio hereby disclaims, any representation or warranty (a) that the Project Goals will be achieved by any Antibody generated in the course of any Project, (b) as to the safety or usefulness for any purpose of the AnaptysBio Technology or any Delivered Antibody, Delivered Antibody Information or other Results, or (c) that any Delivered Antibody, Product, Delivered</w:t>
      </w:r>
    </w:p>
    <w:p>
      <w:pPr>
        <w:spacing w:after="0" w:line="12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49" w:name="page250"/>
    <w:bookmarkEnd w:id="249"/>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Antibody Information or other Results will be acceptable to any regulatory governmental agency to which they are presented or that Client will be able to market or otherwise exploit any Delivered Antibody or Product.</w:t>
      </w:r>
    </w:p>
    <w:p>
      <w:pPr>
        <w:spacing w:after="0" w:line="166"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7"/>
          <w:szCs w:val="17"/>
          <w:b w:val="1"/>
          <w:bCs w:val="1"/>
          <w:color w:val="auto"/>
        </w:rPr>
        <w:t>6.4 Limitation of Liability</w:t>
      </w:r>
      <w:r>
        <w:rPr>
          <w:rFonts w:ascii="Arial" w:cs="Arial" w:eastAsia="Arial" w:hAnsi="Arial"/>
          <w:sz w:val="17"/>
          <w:szCs w:val="17"/>
          <w:color w:val="auto"/>
        </w:rPr>
        <w:t>. EXCEPT FOR LIABILITY FOR BREACH OF SECTION 4.1, 4.3 OR 4.4, OR ARTICLE 5 HEREOF, IN NO EVENT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EITHER PARTY BE ENTITLED TO RECOVER FROM THE OTHER PARTY ANY SPECIAL, INCIDENTAL, CONSEQUENTIAL OR PUNITIVE DAMAGES, INCLUDING, WITHOUT LIMITATION, LOST PROFITS AND THE COST OF PROCUREMENT OF SUBSTITUTE GOODS, TECHNOLOGY OR SERVICES, IN CONNECTION WITH THIS AGREEMENT, EVEN IF THE OTHER PARTY HAD NOTICE OF THE POSSIBILITY OF SUCH DAMAGES; provided, however, that the foregoing shall not be construed to limit either party’s indemnification obligations under Article 8. [*]</w:t>
      </w:r>
    </w:p>
    <w:p>
      <w:pPr>
        <w:spacing w:after="0" w:line="317"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w:t>
      </w:r>
      <w:r>
        <w:rPr>
          <w:rFonts w:ascii="Arial" w:cs="Arial" w:eastAsia="Arial" w:hAnsi="Arial"/>
          <w:sz w:val="18"/>
          <w:szCs w:val="18"/>
          <w:b w:val="1"/>
          <w:bCs w:val="1"/>
          <w:color w:val="auto"/>
        </w:rPr>
        <w:t>.</w:t>
      </w:r>
    </w:p>
    <w:p>
      <w:pPr>
        <w:spacing w:after="0" w:line="11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7.1 Term</w:t>
      </w:r>
      <w:r>
        <w:rPr>
          <w:rFonts w:ascii="Arial" w:cs="Arial" w:eastAsia="Arial" w:hAnsi="Arial"/>
          <w:sz w:val="18"/>
          <w:szCs w:val="18"/>
          <w:color w:val="auto"/>
        </w:rPr>
        <w:t>. The term of this Agreement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commence on the Effective Date and, subject to earlier termination of this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Article 7, shall continue until:</w:t>
      </w:r>
    </w:p>
    <w:p>
      <w:pPr>
        <w:spacing w:after="0" w:line="166" w:lineRule="exact"/>
        <w:rPr>
          <w:sz w:val="20"/>
          <w:szCs w:val="20"/>
          <w:color w:val="auto"/>
        </w:rPr>
      </w:pPr>
    </w:p>
    <w:p>
      <w:pPr>
        <w:ind w:firstLine="921"/>
        <w:spacing w:after="0" w:line="277" w:lineRule="auto"/>
        <w:tabs>
          <w:tab w:leader="none" w:pos="1176"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the Success Fee Due Date for the last Project initiated during the Research Period, unless Client has timely paid the Success Fee for at least one Project on or before the Success Fee Due Date for such last Project; or</w:t>
      </w:r>
    </w:p>
    <w:p>
      <w:pPr>
        <w:spacing w:after="0" w:line="170" w:lineRule="exact"/>
        <w:rPr>
          <w:rFonts w:ascii="Arial" w:cs="Arial" w:eastAsia="Arial" w:hAnsi="Arial"/>
          <w:sz w:val="18"/>
          <w:szCs w:val="18"/>
          <w:b w:val="1"/>
          <w:bCs w:val="1"/>
          <w:color w:val="auto"/>
        </w:rPr>
      </w:pPr>
    </w:p>
    <w:p>
      <w:pPr>
        <w:ind w:firstLine="921"/>
        <w:spacing w:after="0" w:line="308" w:lineRule="auto"/>
        <w:tabs>
          <w:tab w:leader="none" w:pos="1179"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if Client pays the Success Fee for at least one Project on or before the applicable Success Fee Due Date, the expiration of the last-to-expire of all Royalty Terms with respect to all Products associated with any Project for which Client obtained the assignment set forth in Section 4.1.</w:t>
      </w:r>
    </w:p>
    <w:p>
      <w:pPr>
        <w:spacing w:after="0" w:line="143"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7.2 Termination of Agreement for Material Breach</w:t>
      </w:r>
      <w:r>
        <w:rPr>
          <w:rFonts w:ascii="Arial" w:cs="Arial" w:eastAsia="Arial" w:hAnsi="Arial"/>
          <w:sz w:val="18"/>
          <w:szCs w:val="18"/>
          <w:color w:val="auto"/>
        </w:rPr>
        <w:t>. Each party shall have the right to terminate this Agreement upon 60 days’ prior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upon or after the material breach of any provision of this Agreement by the other party if the breaching party has not cured such breach by the end of such 60-day period.</w:t>
      </w:r>
    </w:p>
    <w:p>
      <w:pPr>
        <w:spacing w:after="0" w:line="176" w:lineRule="exact"/>
        <w:rPr>
          <w:sz w:val="20"/>
          <w:szCs w:val="20"/>
          <w:color w:val="auto"/>
        </w:rPr>
      </w:pPr>
    </w:p>
    <w:p>
      <w:pPr>
        <w:jc w:val="both"/>
        <w:ind w:firstLine="456"/>
        <w:spacing w:after="0" w:line="313" w:lineRule="auto"/>
        <w:rPr>
          <w:sz w:val="20"/>
          <w:szCs w:val="20"/>
          <w:color w:val="auto"/>
        </w:rPr>
      </w:pPr>
      <w:r>
        <w:rPr>
          <w:rFonts w:ascii="Arial" w:cs="Arial" w:eastAsia="Arial" w:hAnsi="Arial"/>
          <w:sz w:val="17"/>
          <w:szCs w:val="17"/>
          <w:b w:val="1"/>
          <w:bCs w:val="1"/>
          <w:color w:val="auto"/>
        </w:rPr>
        <w:t>7.3 Termination by Client At Will</w:t>
      </w:r>
      <w:r>
        <w:rPr>
          <w:rFonts w:ascii="Arial" w:cs="Arial" w:eastAsia="Arial" w:hAnsi="Arial"/>
          <w:sz w:val="17"/>
          <w:szCs w:val="17"/>
          <w:color w:val="auto"/>
        </w:rPr>
        <w:t>. Client shall have the right, at any time prior to delivery to Client of the Delivered Antibodies and Delivered</w:t>
      </w:r>
      <w:r>
        <w:rPr>
          <w:rFonts w:ascii="Arial" w:cs="Arial" w:eastAsia="Arial" w:hAnsi="Arial"/>
          <w:sz w:val="17"/>
          <w:szCs w:val="17"/>
          <w:b w:val="1"/>
          <w:bCs w:val="1"/>
          <w:color w:val="auto"/>
        </w:rPr>
        <w:t xml:space="preserve"> </w:t>
      </w:r>
      <w:r>
        <w:rPr>
          <w:rFonts w:ascii="Arial" w:cs="Arial" w:eastAsia="Arial" w:hAnsi="Arial"/>
          <w:sz w:val="17"/>
          <w:szCs w:val="17"/>
          <w:color w:val="auto"/>
        </w:rPr>
        <w:t>Antibody Information pursuant to Section 2.3 and in its sole discretion, to terminate this Agreement upon 30 days’ prior written notice to AnaptysBio.</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7.4 Disposal of Materials and Information</w:t>
      </w:r>
      <w:r>
        <w:rPr>
          <w:rFonts w:ascii="Arial" w:cs="Arial" w:eastAsia="Arial" w:hAnsi="Arial"/>
          <w:sz w:val="18"/>
          <w:szCs w:val="18"/>
          <w:color w:val="auto"/>
        </w:rPr>
        <w:t>. In the event of expiration or any termination of this Agreement:</w:t>
      </w:r>
    </w:p>
    <w:p>
      <w:pPr>
        <w:spacing w:after="0" w:line="229" w:lineRule="exact"/>
        <w:rPr>
          <w:sz w:val="20"/>
          <w:szCs w:val="20"/>
          <w:color w:val="auto"/>
        </w:rPr>
      </w:pPr>
    </w:p>
    <w:p>
      <w:pPr>
        <w:jc w:val="both"/>
        <w:ind w:firstLine="921"/>
        <w:spacing w:after="0" w:line="264" w:lineRule="auto"/>
        <w:tabs>
          <w:tab w:leader="none" w:pos="1195"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each party shall return to the other party all Materials of the other party remaining in such party’s possession promptly following such expiration or termination, except as expressly provided in Section 7.5 (including any surviving sections of this Agreement referenced therein); provided that AnaptysBio shall destroy all Remaining Materials;</w:t>
      </w:r>
    </w:p>
    <w:p>
      <w:pPr>
        <w:spacing w:after="0" w:line="110"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50" w:name="page251"/>
    <w:bookmarkEnd w:id="250"/>
    <w:p>
      <w:pPr>
        <w:jc w:val="both"/>
        <w:ind w:firstLine="921"/>
        <w:spacing w:after="0" w:line="257" w:lineRule="auto"/>
        <w:tabs>
          <w:tab w:leader="none" w:pos="1212" w:val="left"/>
        </w:tabs>
        <w:numPr>
          <w:ilvl w:val="0"/>
          <w:numId w:val="1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shall return to the other party all Confidential Information of the other party (including all copies thereof) in such party’s possession; provided, however, that each party may retain one copy of the other party’s Confidential Information in such party’s secure archives for the sole purpose of monitoring compliance with its obligations hereunder; and provided, further, that a party may retain such Confidential Information of the other party as is necessary or useful for the exercise or enforcement of any of its rights under this Agreement that survive such expiration or termination pursuant to the applicable provisions of Section 7.5; and</w:t>
      </w:r>
    </w:p>
    <w:p>
      <w:pPr>
        <w:spacing w:after="0" w:line="188" w:lineRule="exact"/>
        <w:rPr>
          <w:rFonts w:ascii="Arial" w:cs="Arial" w:eastAsia="Arial" w:hAnsi="Arial"/>
          <w:sz w:val="18"/>
          <w:szCs w:val="18"/>
          <w:b w:val="1"/>
          <w:bCs w:val="1"/>
          <w:color w:val="auto"/>
        </w:rPr>
      </w:pPr>
    </w:p>
    <w:p>
      <w:pPr>
        <w:ind w:right="20" w:firstLine="921"/>
        <w:spacing w:after="0" w:line="308" w:lineRule="auto"/>
        <w:tabs>
          <w:tab w:leader="none" w:pos="1158" w:val="left"/>
        </w:tabs>
        <w:numPr>
          <w:ilvl w:val="0"/>
          <w:numId w:val="180"/>
        </w:numPr>
        <w:rPr>
          <w:rFonts w:ascii="Arial" w:cs="Arial" w:eastAsia="Arial" w:hAnsi="Arial"/>
          <w:sz w:val="17"/>
          <w:szCs w:val="17"/>
          <w:b w:val="1"/>
          <w:bCs w:val="1"/>
          <w:color w:val="auto"/>
        </w:rPr>
      </w:pPr>
      <w:r>
        <w:rPr>
          <w:rFonts w:ascii="Arial" w:cs="Arial" w:eastAsia="Arial" w:hAnsi="Arial"/>
          <w:sz w:val="17"/>
          <w:szCs w:val="17"/>
          <w:color w:val="auto"/>
        </w:rPr>
        <w:t>each party covenants that, from and after such expiration or termination, it will not use any Confidential Information of the other party for any purpose whatsoever, except as expressly set forth in Section 7.5 (including any surviving sections of this Agreement referenced therein).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7.5 Consequences of Termination or Expiration</w:t>
      </w:r>
      <w:r>
        <w:rPr>
          <w:rFonts w:ascii="Arial" w:cs="Arial" w:eastAsia="Arial" w:hAnsi="Arial"/>
          <w:sz w:val="18"/>
          <w:szCs w:val="18"/>
          <w:color w:val="auto"/>
        </w:rPr>
        <w:t>.</w:t>
      </w:r>
    </w:p>
    <w:p>
      <w:pPr>
        <w:spacing w:after="0" w:line="225" w:lineRule="exact"/>
        <w:rPr>
          <w:sz w:val="20"/>
          <w:szCs w:val="20"/>
          <w:color w:val="auto"/>
        </w:rPr>
      </w:pPr>
    </w:p>
    <w:p>
      <w:pPr>
        <w:jc w:val="both"/>
        <w:ind w:firstLine="921"/>
        <w:spacing w:after="0" w:line="277" w:lineRule="auto"/>
        <w:tabs>
          <w:tab w:leader="none" w:pos="1181"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Project Goals Not Achieved; Success Fee Not Paid</w:t>
      </w:r>
      <w:r>
        <w:rPr>
          <w:rFonts w:ascii="Arial" w:cs="Arial" w:eastAsia="Arial" w:hAnsi="Arial"/>
          <w:sz w:val="17"/>
          <w:szCs w:val="17"/>
          <w:color w:val="auto"/>
        </w:rPr>
        <w:t>. On a Project-by-Project basis, in the event of any termination or expiration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if the Project Goals for a Project were not met prior to such termination or expiration, and Client did not pay the Success Fee for such Project in full to AnaptysBio on or before the applicable Success Fee Due Date (or, if earlier, prior to termination or expiration of this Agreement), then: (i) Sections 4.1, 4.3 and 4.4(a) shall terminate with respect to such Project and be of no further force or effect; and (ii) clauses (i) through (iv) of Section 2.5(c) shall become effective with respect to such Project and survive such termination or expiration.</w:t>
      </w:r>
    </w:p>
    <w:p>
      <w:pPr>
        <w:spacing w:after="0" w:line="168" w:lineRule="exact"/>
        <w:rPr>
          <w:rFonts w:ascii="Arial" w:cs="Arial" w:eastAsia="Arial" w:hAnsi="Arial"/>
          <w:sz w:val="17"/>
          <w:szCs w:val="17"/>
          <w:b w:val="1"/>
          <w:bCs w:val="1"/>
          <w:color w:val="auto"/>
        </w:rPr>
      </w:pPr>
    </w:p>
    <w:p>
      <w:pPr>
        <w:jc w:val="both"/>
        <w:ind w:firstLine="921"/>
        <w:spacing w:after="0" w:line="303" w:lineRule="auto"/>
        <w:tabs>
          <w:tab w:leader="none" w:pos="1178"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Success Fee Paid</w:t>
      </w:r>
      <w:r>
        <w:rPr>
          <w:rFonts w:ascii="Arial" w:cs="Arial" w:eastAsia="Arial" w:hAnsi="Arial"/>
          <w:sz w:val="16"/>
          <w:szCs w:val="16"/>
          <w:color w:val="auto"/>
        </w:rPr>
        <w:t>. On a Project-by-Project basis, in the event of any termination or expiration of this Agreement, if Client paid the Success</w:t>
      </w:r>
      <w:r>
        <w:rPr>
          <w:rFonts w:ascii="Arial" w:cs="Arial" w:eastAsia="Arial" w:hAnsi="Arial"/>
          <w:sz w:val="16"/>
          <w:szCs w:val="16"/>
          <w:b w:val="1"/>
          <w:bCs w:val="1"/>
          <w:color w:val="auto"/>
        </w:rPr>
        <w:t xml:space="preserve"> </w:t>
      </w:r>
      <w:r>
        <w:rPr>
          <w:rFonts w:ascii="Arial" w:cs="Arial" w:eastAsia="Arial" w:hAnsi="Arial"/>
          <w:sz w:val="16"/>
          <w:szCs w:val="16"/>
          <w:color w:val="auto"/>
        </w:rPr>
        <w:t>Fee for a Project in full on or before the Success Fee Due Date and prior to such termination or expiration, Sections 2.5(b), 4.1, 4.3 and 4.4(a) shall survive such termination or expiration with respect to such Project in accordance with their respective terms, subject to Client’s continued compliance with all applicable terms and conditions of this Agreement, including, without limitation, Sections 3.4 through 3.12 (which shall survive such termination).</w:t>
      </w:r>
    </w:p>
    <w:p>
      <w:pPr>
        <w:spacing w:after="0" w:line="151" w:lineRule="exact"/>
        <w:rPr>
          <w:rFonts w:ascii="Arial" w:cs="Arial" w:eastAsia="Arial" w:hAnsi="Arial"/>
          <w:sz w:val="16"/>
          <w:szCs w:val="16"/>
          <w:b w:val="1"/>
          <w:bCs w:val="1"/>
          <w:color w:val="auto"/>
        </w:rPr>
      </w:pPr>
    </w:p>
    <w:p>
      <w:pPr>
        <w:jc w:val="both"/>
        <w:ind w:firstLine="921"/>
        <w:spacing w:after="0" w:line="254" w:lineRule="auto"/>
        <w:tabs>
          <w:tab w:leader="none" w:pos="1157"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Except as expressly set forth in Section 7.4, 7.5(a) or 7.5(b), or below in this Section 7.5(c), upon expiration or any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all rights and obligations of the parties under this Agreement shall terminate and be of no further force or effect.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 or at law or in equity, with respect to breach of this Agreement. In the event of expiration or any termination of this Agreement (and in addition to any provisions of this Agreement that survive pursuant to the preceding provisions of this Section 7.5), the following provisions of this Agreement shall survive such expiration or termination in accordance with their respective terms and conditions: Sections 2.6 (last sentence only), 3.11, 3.12, 4.2, 4.4(b), 4.5 (solely as it applies to Joint Patents), 4.6, 6.3, 6.4, 7.4 and 7.5, and Articles 5, 8 and 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51" w:name="page252"/>
    <w:bookmarkEnd w:id="251"/>
    <w:p>
      <w:pPr>
        <w:ind w:left="460" w:hanging="452"/>
        <w:spacing w:after="0"/>
        <w:tabs>
          <w:tab w:leader="none" w:pos="4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5"/>
          <w:szCs w:val="15"/>
          <w:b w:val="1"/>
          <w:bCs w:val="1"/>
          <w:color w:val="auto"/>
        </w:rPr>
        <w:t>NDEMNIFICATION</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b w:val="1"/>
          <w:bCs w:val="1"/>
          <w:color w:val="auto"/>
        </w:rPr>
        <w:t>8.1 By Client</w:t>
      </w:r>
      <w:r>
        <w:rPr>
          <w:rFonts w:ascii="Arial" w:cs="Arial" w:eastAsia="Arial" w:hAnsi="Arial"/>
          <w:sz w:val="16"/>
          <w:szCs w:val="16"/>
          <w:color w:val="auto"/>
        </w:rPr>
        <w:t>. Client hereby agrees to save, defend, indemnify and hold harmless AnaptysBio and its officers, directors, employees, consultants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agents (each, an “</w:t>
      </w:r>
      <w:r>
        <w:rPr>
          <w:rFonts w:ascii="Arial" w:cs="Arial" w:eastAsia="Arial" w:hAnsi="Arial"/>
          <w:sz w:val="16"/>
          <w:szCs w:val="16"/>
          <w:b w:val="1"/>
          <w:bCs w:val="1"/>
          <w:i w:val="1"/>
          <w:iCs w:val="1"/>
          <w:color w:val="auto"/>
        </w:rPr>
        <w:t>AnaptysBio Indemnitee</w:t>
      </w:r>
      <w:r>
        <w:rPr>
          <w:rFonts w:ascii="Arial" w:cs="Arial" w:eastAsia="Arial" w:hAnsi="Arial"/>
          <w:sz w:val="16"/>
          <w:szCs w:val="16"/>
          <w:color w:val="auto"/>
        </w:rPr>
        <w:t>”) from and against any and all losses, damages, liabilities, expenses and costs, including reasonable legal expense and attorneys’ fees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to which any AnaptysBio Indemnitee may become subject as a result of any claim, demand, action or other proceeding by any Third Party to the extent such Losses arise directly or indirectly out of (a) the use of Client Materials or Client Information in performance of a Project, (b) the development, manufacture, use, handling, storage, sale or other disposition of any Delivered Antibody or Product or use of any Delivered Antibody Information by or on behalf of Client or any Affiliate or Third Party to whom Client sells, licenses, transfers or disposes of its rights therein, (c) the negligence or willful misconduct of any Client Indemnitee, or (d) the breach by Client of any warranty, representation , covenant or agreement made by Client in this Agreement; except, in each case, to the extent such Losses result from the negligence or willful misconduct of any AnaptysBio Indemnitee or the breach by AnaptysBio of any warranty, representation, covenant or agreement made by AnaptysBio in this Agreement.</w:t>
      </w:r>
    </w:p>
    <w:p>
      <w:pPr>
        <w:spacing w:after="0" w:line="160" w:lineRule="exact"/>
        <w:rPr>
          <w:sz w:val="20"/>
          <w:szCs w:val="20"/>
          <w:color w:val="auto"/>
        </w:rPr>
      </w:pPr>
    </w:p>
    <w:p>
      <w:pPr>
        <w:jc w:val="both"/>
        <w:ind w:firstLine="456"/>
        <w:spacing w:after="0" w:line="274" w:lineRule="auto"/>
        <w:rPr>
          <w:sz w:val="20"/>
          <w:szCs w:val="20"/>
          <w:color w:val="auto"/>
        </w:rPr>
      </w:pPr>
      <w:r>
        <w:rPr>
          <w:rFonts w:ascii="Arial" w:cs="Arial" w:eastAsia="Arial" w:hAnsi="Arial"/>
          <w:sz w:val="17"/>
          <w:szCs w:val="17"/>
          <w:b w:val="1"/>
          <w:bCs w:val="1"/>
          <w:color w:val="auto"/>
        </w:rPr>
        <w:t>8.2 By AnaptysBio</w:t>
      </w:r>
      <w:r>
        <w:rPr>
          <w:rFonts w:ascii="Arial" w:cs="Arial" w:eastAsia="Arial" w:hAnsi="Arial"/>
          <w:sz w:val="17"/>
          <w:szCs w:val="17"/>
          <w:color w:val="auto"/>
        </w:rPr>
        <w:t>. AnaptysBio hereby agrees to save, defend, indemnify and hold harmless Client and its officers, directors, employees, consultants</w:t>
      </w:r>
      <w:r>
        <w:rPr>
          <w:rFonts w:ascii="Arial" w:cs="Arial" w:eastAsia="Arial" w:hAnsi="Arial"/>
          <w:sz w:val="17"/>
          <w:szCs w:val="17"/>
          <w:b w:val="1"/>
          <w:bCs w:val="1"/>
          <w:color w:val="auto"/>
        </w:rPr>
        <w:t xml:space="preserve"> </w:t>
      </w:r>
      <w:r>
        <w:rPr>
          <w:rFonts w:ascii="Arial" w:cs="Arial" w:eastAsia="Arial" w:hAnsi="Arial"/>
          <w:sz w:val="17"/>
          <w:szCs w:val="17"/>
          <w:color w:val="auto"/>
        </w:rPr>
        <w:t>and agents (each, a “</w:t>
      </w:r>
      <w:r>
        <w:rPr>
          <w:rFonts w:ascii="Arial" w:cs="Arial" w:eastAsia="Arial" w:hAnsi="Arial"/>
          <w:sz w:val="17"/>
          <w:szCs w:val="17"/>
          <w:b w:val="1"/>
          <w:bCs w:val="1"/>
          <w:i w:val="1"/>
          <w:iCs w:val="1"/>
          <w:color w:val="auto"/>
        </w:rPr>
        <w:t>Client Indemnitee</w:t>
      </w:r>
      <w:r>
        <w:rPr>
          <w:rFonts w:ascii="Arial" w:cs="Arial" w:eastAsia="Arial" w:hAnsi="Arial"/>
          <w:sz w:val="17"/>
          <w:szCs w:val="17"/>
          <w:color w:val="auto"/>
        </w:rPr>
        <w:t>”) from and against any and all Losses to which any Client Indemnitee may become subject as a result of any claim, demand, action or other proceeding by any Third Party to the extent such Losses arise directly or indirectly out of (a) the negligence or willful misconduct of any AnaptysBio Indemnitee, or (b) the breach by AnaptysBio of any warranty, representation, covenant or agreement made by AnaptysBio in this Agreement; except, in each case, to the extent such Losses result from the negligence or willful misconduct of any Client Indemnitee or the breach by Client of any warranty, representation, covenant or agreement made by Client in this Agreement.</w:t>
      </w:r>
    </w:p>
    <w:p>
      <w:pPr>
        <w:spacing w:after="0" w:line="174" w:lineRule="exact"/>
        <w:rPr>
          <w:sz w:val="20"/>
          <w:szCs w:val="20"/>
          <w:color w:val="auto"/>
        </w:rPr>
      </w:pPr>
    </w:p>
    <w:p>
      <w:pPr>
        <w:jc w:val="both"/>
        <w:ind w:firstLine="456"/>
        <w:spacing w:after="0" w:line="281" w:lineRule="auto"/>
        <w:rPr>
          <w:sz w:val="20"/>
          <w:szCs w:val="20"/>
          <w:color w:val="auto"/>
        </w:rPr>
      </w:pPr>
      <w:r>
        <w:rPr>
          <w:rFonts w:ascii="Arial" w:cs="Arial" w:eastAsia="Arial" w:hAnsi="Arial"/>
          <w:sz w:val="17"/>
          <w:szCs w:val="17"/>
          <w:b w:val="1"/>
          <w:bCs w:val="1"/>
          <w:color w:val="auto"/>
        </w:rPr>
        <w:t>8.3 Control of Defense</w:t>
      </w:r>
      <w:r>
        <w:rPr>
          <w:rFonts w:ascii="Arial" w:cs="Arial" w:eastAsia="Arial" w:hAnsi="Arial"/>
          <w:sz w:val="17"/>
          <w:szCs w:val="17"/>
          <w:color w:val="auto"/>
        </w:rPr>
        <w:t>. In the event a party seeks indemnification under Section 8.1 or Section 8.2, it shall inform the other party (the “</w:t>
      </w:r>
      <w:r>
        <w:rPr>
          <w:rFonts w:ascii="Arial" w:cs="Arial" w:eastAsia="Arial" w:hAnsi="Arial"/>
          <w:sz w:val="17"/>
          <w:szCs w:val="17"/>
          <w:b w:val="1"/>
          <w:bCs w:val="1"/>
          <w:i w:val="1"/>
          <w:iCs w:val="1"/>
          <w:color w:val="auto"/>
        </w:rPr>
        <w:t>Indemnifying</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of a claim as soon as reasonably practicable after it receives notice of the claim, shall permit the Indemnifying Party to assume direction and control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defense of the claim (including the right to settle the claim solely for monetary consideration with no admission of fault) at the Indemnifying Party’s expense, and shall cooperate as requested (at the expense of the Indemnifying Party) in the defense of the claim.</w:t>
      </w:r>
    </w:p>
    <w:p>
      <w:pPr>
        <w:spacing w:after="0" w:line="314"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117"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9.1 Independent Contractor Relationship</w:t>
      </w:r>
      <w:r>
        <w:rPr>
          <w:rFonts w:ascii="Arial" w:cs="Arial" w:eastAsia="Arial" w:hAnsi="Arial"/>
          <w:sz w:val="18"/>
          <w:szCs w:val="18"/>
          <w:color w:val="auto"/>
        </w:rPr>
        <w:t>. AnaptysBio’s relationship with Client is that of an independent contractor, and nothing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should be construed to create a partnership, joint venture, or employer-employee relationship. Neither party is an agent of the other party or authorized to make any representation, contract, or commitment on behalf of the other party.</w:t>
      </w:r>
    </w:p>
    <w:p>
      <w:pPr>
        <w:spacing w:after="0" w:line="176"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9.2 Entire Agreement; Amendment</w:t>
      </w:r>
      <w:r>
        <w:rPr>
          <w:rFonts w:ascii="Arial" w:cs="Arial" w:eastAsia="Arial" w:hAnsi="Arial"/>
          <w:sz w:val="18"/>
          <w:szCs w:val="18"/>
          <w:color w:val="auto"/>
        </w:rPr>
        <w:t>. This Agreement, together with all Exhibits attached hereto, constitutes the final, complete and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with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52" w:name="page253"/>
    <w:bookmarkEnd w:id="252"/>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subject matter hereof and supersedes all prior and contemporaneous understandings and agreements relating to its subject matter, including, without limitation, that certain Mutual Confidentiality Agreement between the parties dated May 11, 2011 (the “</w:t>
      </w:r>
      <w:r>
        <w:rPr>
          <w:rFonts w:ascii="Arial" w:cs="Arial" w:eastAsia="Arial" w:hAnsi="Arial"/>
          <w:sz w:val="18"/>
          <w:szCs w:val="18"/>
          <w:b w:val="1"/>
          <w:bCs w:val="1"/>
          <w:i w:val="1"/>
          <w:iCs w:val="1"/>
          <w:color w:val="auto"/>
        </w:rPr>
        <w:t>CDA</w:t>
      </w:r>
      <w:r>
        <w:rPr>
          <w:rFonts w:ascii="Arial" w:cs="Arial" w:eastAsia="Arial" w:hAnsi="Arial"/>
          <w:sz w:val="18"/>
          <w:szCs w:val="18"/>
          <w:color w:val="auto"/>
        </w:rPr>
        <w:t>”); provided, however, that all “Confidential Information,” as such term is defined in the CDA, that was disclosed by a party to the other party pursuant to the CDA shall be deemed Confidential Information of such party for purposes of this Agreement. This Agreement (including its Exhibits) may not be changed, modified, amended or supplemented except by a written instrument signed by both parties.</w:t>
      </w:r>
    </w:p>
    <w:p>
      <w:pPr>
        <w:spacing w:after="0" w:line="184"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9.3 Non-Waiver</w:t>
      </w:r>
      <w:r>
        <w:rPr>
          <w:rFonts w:ascii="Arial" w:cs="Arial" w:eastAsia="Arial" w:hAnsi="Arial"/>
          <w:sz w:val="18"/>
          <w:szCs w:val="18"/>
          <w:color w:val="auto"/>
        </w:rPr>
        <w:t>. The failure of a party to insist upon strict performance of any provision of this Agreement or to exercise any right arising out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80" w:lineRule="exact"/>
        <w:rPr>
          <w:sz w:val="20"/>
          <w:szCs w:val="20"/>
          <w:color w:val="auto"/>
        </w:rPr>
      </w:pPr>
    </w:p>
    <w:p>
      <w:pPr>
        <w:jc w:val="both"/>
        <w:ind w:firstLine="456"/>
        <w:spacing w:after="0" w:line="282" w:lineRule="auto"/>
        <w:rPr>
          <w:sz w:val="20"/>
          <w:szCs w:val="20"/>
          <w:color w:val="auto"/>
        </w:rPr>
      </w:pPr>
      <w:r>
        <w:rPr>
          <w:rFonts w:ascii="Arial" w:cs="Arial" w:eastAsia="Arial" w:hAnsi="Arial"/>
          <w:sz w:val="18"/>
          <w:szCs w:val="18"/>
          <w:b w:val="1"/>
          <w:bCs w:val="1"/>
          <w:color w:val="auto"/>
        </w:rPr>
        <w:t>9.4 Severability</w:t>
      </w:r>
      <w:r>
        <w:rPr>
          <w:rFonts w:ascii="Arial" w:cs="Arial" w:eastAsia="Arial" w:hAnsi="Arial"/>
          <w:sz w:val="18"/>
          <w:szCs w:val="18"/>
          <w:color w:val="auto"/>
        </w:rPr>
        <w:t>. If any provision of this Agreement should be held invalid or unenforceable, the remaining provisions shall be unaffected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to the extent consistent with the intent of the parties as evidenced by this Agreement as a whole.</w:t>
      </w:r>
    </w:p>
    <w:p>
      <w:pPr>
        <w:spacing w:after="0" w:line="162"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b w:val="1"/>
          <w:bCs w:val="1"/>
          <w:color w:val="auto"/>
        </w:rPr>
        <w:t>9.5 Assignment</w:t>
      </w:r>
      <w:r>
        <w:rPr>
          <w:rFonts w:ascii="Arial" w:cs="Arial" w:eastAsia="Arial" w:hAnsi="Arial"/>
          <w:sz w:val="18"/>
          <w:szCs w:val="18"/>
          <w:color w:val="auto"/>
        </w:rPr>
        <w:t>. Neither this Agreement nor any rights or obligations hereunder may be assigned by either party without the prior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(which consent shall not be unreasonably withheld); provided, however, that either party may assign this Agreement and its rights and obligations hereunder without the other party’s consent to an Affiliate of the assigning party or in connection with the transfer or sale of all or substantially all of the business of such party to which this Agreement relates to a Third Party, whether by merger, sale of stock, sale of assets or otherwise, provided that in the event of any such transaction involving AnaptysBio (whether this Agreement is actually assigned or is assumed by the acquiring party by operation of law (e.g., in the context of a reverse triangular merger)), intellectual property rights of the acquiring party to such transaction (if other than AnaptysBio) shall not be included in the technology subject to this Agreement.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9.6 Governing Law</w:t>
      </w:r>
      <w:r>
        <w:rPr>
          <w:rFonts w:ascii="Arial" w:cs="Arial" w:eastAsia="Arial" w:hAnsi="Arial"/>
          <w:sz w:val="18"/>
          <w:szCs w:val="18"/>
          <w:color w:val="auto"/>
        </w:rPr>
        <w:t>. This Agreement shall be governed by the laws of the State of California, excluding its conflict of laws principles.</w:t>
      </w:r>
    </w:p>
    <w:p>
      <w:pPr>
        <w:spacing w:after="0" w:line="225" w:lineRule="exact"/>
        <w:rPr>
          <w:sz w:val="20"/>
          <w:szCs w:val="20"/>
          <w:color w:val="auto"/>
        </w:rPr>
      </w:pPr>
    </w:p>
    <w:p>
      <w:pPr>
        <w:jc w:val="both"/>
        <w:ind w:firstLine="456"/>
        <w:spacing w:after="0" w:line="261" w:lineRule="auto"/>
        <w:rPr>
          <w:sz w:val="20"/>
          <w:szCs w:val="20"/>
          <w:color w:val="auto"/>
        </w:rPr>
      </w:pPr>
      <w:r>
        <w:rPr>
          <w:rFonts w:ascii="Arial" w:cs="Arial" w:eastAsia="Arial" w:hAnsi="Arial"/>
          <w:sz w:val="18"/>
          <w:szCs w:val="18"/>
          <w:b w:val="1"/>
          <w:bCs w:val="1"/>
          <w:color w:val="auto"/>
        </w:rPr>
        <w:t>9.7 Force Majeure</w:t>
      </w:r>
      <w:r>
        <w:rPr>
          <w:rFonts w:ascii="Arial" w:cs="Arial" w:eastAsia="Arial" w:hAnsi="Arial"/>
          <w:sz w:val="18"/>
          <w:szCs w:val="18"/>
          <w:color w:val="auto"/>
        </w:rPr>
        <w:t>. Except for the obligation to make payment when due, each party shall be excused from liability for the failure or delay in</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of any obligation under this Agreement by reason of any event beyond such party’s reasonable control including but not limited to Acts of God, fire, flood, explosion, earthquake, or other natural forces, war, civil unrest, acts of terrorism, accident, destruction or other casualty, any lack or failure of transportation facilities, any lack or failure of supply of raw materials, any strike or labor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53" w:name="page254"/>
    <w:bookmarkEnd w:id="25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disturbance, or any other event similar to those enumerated above. Such excuse from liability shall be effective only to the extent and duration of the event(s) causing the failure or delay in performance and provided that the party has not caused such event(s) to occur. All delivery dates under this Agreement that have been affected by force majeure shall be tolled for the duration of such force majeure.</w:t>
      </w:r>
    </w:p>
    <w:p>
      <w:pPr>
        <w:spacing w:after="0" w:line="177" w:lineRule="exact"/>
        <w:rPr>
          <w:sz w:val="20"/>
          <w:szCs w:val="20"/>
          <w:color w:val="auto"/>
        </w:rPr>
      </w:pPr>
    </w:p>
    <w:p>
      <w:pPr>
        <w:jc w:val="both"/>
        <w:ind w:right="20" w:firstLine="456"/>
        <w:spacing w:after="0" w:line="261" w:lineRule="auto"/>
        <w:rPr>
          <w:sz w:val="20"/>
          <w:szCs w:val="20"/>
          <w:color w:val="auto"/>
        </w:rPr>
      </w:pPr>
      <w:r>
        <w:rPr>
          <w:rFonts w:ascii="Arial" w:cs="Arial" w:eastAsia="Arial" w:hAnsi="Arial"/>
          <w:sz w:val="18"/>
          <w:szCs w:val="18"/>
          <w:b w:val="1"/>
          <w:bCs w:val="1"/>
          <w:color w:val="auto"/>
        </w:rPr>
        <w:t>9.8 Notices</w:t>
      </w:r>
      <w:r>
        <w:rPr>
          <w:rFonts w:ascii="Arial" w:cs="Arial" w:eastAsia="Arial" w:hAnsi="Arial"/>
          <w:sz w:val="18"/>
          <w:szCs w:val="18"/>
          <w:color w:val="auto"/>
        </w:rPr>
        <w:t>. Any notice to be given under this Agreement must be in writing and delivered either in person, by any method of mail (postage prepaid)</w:t>
      </w:r>
      <w:r>
        <w:rPr>
          <w:rFonts w:ascii="Arial" w:cs="Arial" w:eastAsia="Arial" w:hAnsi="Arial"/>
          <w:sz w:val="18"/>
          <w:szCs w:val="18"/>
          <w:b w:val="1"/>
          <w:bCs w:val="1"/>
          <w:color w:val="auto"/>
        </w:rPr>
        <w:t xml:space="preserve"> </w:t>
      </w:r>
      <w:r>
        <w:rPr>
          <w:rFonts w:ascii="Arial" w:cs="Arial" w:eastAsia="Arial" w:hAnsi="Arial"/>
          <w:sz w:val="18"/>
          <w:szCs w:val="18"/>
          <w:color w:val="auto"/>
        </w:rPr>
        <w:t>requiring return receipt, by overnight courier, or by facsimile, to the party to be notified at its address(es) given below, or at any address such party has previously designated by prior written notice to the other. Notice shall be deemed sufficiently given for all purposes upon the earlier of: (a) the date of actual receipt; or (b) if mailed, three calendar days after the date of postmark.</w:t>
      </w:r>
    </w:p>
    <w:p>
      <w:pPr>
        <w:sectPr>
          <w:pgSz w:w="11900" w:h="16838" w:orient="portrait"/>
          <w:cols w:equalWidth="0" w:num="1">
            <w:col w:w="11420"/>
          </w:cols>
          <w:pgMar w:left="240" w:top="274" w:right="239" w:bottom="1440" w:gutter="0" w:footer="0" w:header="0"/>
        </w:sect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lf to AnaptysBio: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10421 Pacific Center Court,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(858) 228-9642</w:t>
      </w:r>
    </w:p>
    <w:p>
      <w:pPr>
        <w:spacing w:after="0" w:line="200" w:lineRule="exact"/>
        <w:rPr>
          <w:sz w:val="20"/>
          <w:szCs w:val="20"/>
          <w:color w:val="auto"/>
        </w:rPr>
      </w:pPr>
    </w:p>
    <w:p>
      <w:pPr>
        <w:sectPr>
          <w:pgSz w:w="11900" w:h="16838" w:orient="portrait"/>
          <w:cols w:equalWidth="0" w:num="2">
            <w:col w:w="1700" w:space="640"/>
            <w:col w:w="9080"/>
          </w:cols>
          <w:pgMar w:left="240" w:top="274" w:right="23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If to Client: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Celgene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 Morris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NJ 07901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George S. Golumbeski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(908) 673-2769</w:t>
      </w:r>
    </w:p>
    <w:p>
      <w:pPr>
        <w:spacing w:after="0" w:line="200" w:lineRule="exact"/>
        <w:rPr>
          <w:sz w:val="20"/>
          <w:szCs w:val="20"/>
          <w:color w:val="auto"/>
        </w:rPr>
      </w:pPr>
    </w:p>
    <w:p>
      <w:pPr>
        <w:sectPr>
          <w:pgSz w:w="11900" w:h="16838" w:orient="portrait"/>
          <w:cols w:equalWidth="0" w:num="2">
            <w:col w:w="1620" w:space="720"/>
            <w:col w:w="9080"/>
          </w:cols>
          <w:pgMar w:left="240" w:top="274" w:right="23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Celgene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 Morris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Summit, NJ 07901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Legal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(908) 673-2771</w:t>
      </w:r>
    </w:p>
    <w:p>
      <w:pPr>
        <w:spacing w:after="0" w:line="200" w:lineRule="exact"/>
        <w:rPr>
          <w:sz w:val="20"/>
          <w:szCs w:val="20"/>
          <w:color w:val="auto"/>
        </w:rPr>
      </w:pPr>
    </w:p>
    <w:p>
      <w:pPr>
        <w:sectPr>
          <w:pgSz w:w="11900" w:h="16838" w:orient="portrait"/>
          <w:cols w:equalWidth="0" w:num="2">
            <w:col w:w="1620" w:space="720"/>
            <w:col w:w="9080"/>
          </w:cols>
          <w:pgMar w:left="240" w:top="274" w:right="239" w:bottom="1440" w:gutter="0" w:footer="0" w:header="0"/>
          <w:type w:val="continuous"/>
        </w:sectPr>
      </w:pPr>
    </w:p>
    <w:p>
      <w:pPr>
        <w:spacing w:after="0" w:line="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b w:val="1"/>
          <w:bCs w:val="1"/>
          <w:color w:val="auto"/>
        </w:rPr>
        <w:t>9.9 Interpretation</w:t>
      </w:r>
      <w:r>
        <w:rPr>
          <w:rFonts w:ascii="Arial" w:cs="Arial" w:eastAsia="Arial" w:hAnsi="Arial"/>
          <w:sz w:val="18"/>
          <w:szCs w:val="18"/>
          <w:color w:val="auto"/>
        </w:rPr>
        <w:t>. The headings of clauses contained in this Agreement preceding the text of the sections, subsections and paragraphs hereof are</w:t>
      </w:r>
      <w:r>
        <w:rPr>
          <w:rFonts w:ascii="Arial" w:cs="Arial" w:eastAsia="Arial" w:hAnsi="Arial"/>
          <w:sz w:val="18"/>
          <w:szCs w:val="18"/>
          <w:b w:val="1"/>
          <w:bCs w:val="1"/>
          <w:color w:val="auto"/>
        </w:rPr>
        <w:t xml:space="preserve"> </w:t>
      </w:r>
      <w:r>
        <w:rPr>
          <w:rFonts w:ascii="Arial" w:cs="Arial" w:eastAsia="Arial" w:hAnsi="Arial"/>
          <w:sz w:val="18"/>
          <w:szCs w:val="18"/>
          <w:color w:val="auto"/>
        </w:rPr>
        <w:t>inserted solely for convenience and ease of reference only and shall not constitute any part of this Agreement, or have any effect on its interpretation or construction. All references in this Agreement to the singular shall include the plural where applicable.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type w:val="continuous"/>
        </w:sectPr>
      </w:pPr>
    </w:p>
    <w:bookmarkStart w:id="254" w:name="page255"/>
    <w:bookmarkEnd w:id="254"/>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9.10 Counterparts</w:t>
      </w:r>
      <w:r>
        <w:rPr>
          <w:rFonts w:ascii="Arial" w:cs="Arial" w:eastAsia="Arial" w:hAnsi="Arial"/>
          <w:sz w:val="18"/>
          <w:szCs w:val="18"/>
          <w:color w:val="auto"/>
        </w:rPr>
        <w:t>. This Agreement may be executed in counterparts, including by transmission of facsimile or PDF copies of signature pages,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deemed an original and all of which together shall constitute one and the same instrument.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255" w:name="page256"/>
    <w:bookmarkEnd w:id="25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ANTIBODY GENERATION AGREEMENT on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NAPTYS</w:t>
            </w: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ELGENE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Hamza Suria</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G.S. Golumberski</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Hamza Suria</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G.S. Golumberski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Acting CEO</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SVP Business Development</w:t>
            </w:r>
          </w:p>
        </w:tc>
      </w:tr>
      <w:tr>
        <w:trPr>
          <w:trHeight w:val="432"/>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ELGENE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w:t>
            </w:r>
          </w:p>
        </w:tc>
      </w:tr>
      <w:tr>
        <w:trPr>
          <w:trHeight w:val="432"/>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Hugin</w:t>
            </w:r>
          </w:p>
        </w:tc>
      </w:tr>
      <w:tr>
        <w:trPr>
          <w:trHeight w:val="209"/>
        </w:trPr>
        <w:tc>
          <w:tcPr>
            <w:tcW w:w="6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Robert J. Hugin</w:t>
            </w:r>
          </w:p>
        </w:tc>
      </w:tr>
      <w:tr>
        <w:trPr>
          <w:trHeight w:val="230"/>
        </w:trPr>
        <w:tc>
          <w:tcPr>
            <w:tcW w:w="6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70" w:right="239" w:bottom="1440" w:gutter="0" w:footer="0" w:header="0"/>
        </w:sectPr>
      </w:pPr>
    </w:p>
    <w:bookmarkStart w:id="256" w:name="page257"/>
    <w:bookmarkEnd w:id="256"/>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Research Plan</w:t>
      </w:r>
    </w:p>
    <w:p>
      <w:pPr>
        <w:spacing w:after="0" w:line="26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0220"/>
          </w:cols>
          <w:pgMar w:left="1440" w:top="270" w:right="2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Steering Committee</w:t>
      </w:r>
    </w:p>
    <w:p>
      <w:pPr>
        <w:spacing w:after="0" w:line="225" w:lineRule="exact"/>
        <w:rPr>
          <w:sz w:val="20"/>
          <w:szCs w:val="20"/>
          <w:color w:val="auto"/>
        </w:rPr>
      </w:pPr>
    </w:p>
    <w:p>
      <w:pPr>
        <w:ind w:firstLine="464"/>
        <w:spacing w:after="0" w:line="282" w:lineRule="auto"/>
        <w:tabs>
          <w:tab w:leader="none" w:pos="701" w:val="left"/>
        </w:tabs>
        <w:numPr>
          <w:ilvl w:val="0"/>
          <w:numId w:val="184"/>
        </w:numPr>
        <w:rPr>
          <w:rFonts w:ascii="Arial" w:cs="Arial" w:eastAsia="Arial" w:hAnsi="Arial"/>
          <w:sz w:val="18"/>
          <w:szCs w:val="18"/>
          <w:color w:val="auto"/>
        </w:rPr>
      </w:pPr>
      <w:r>
        <w:rPr>
          <w:rFonts w:ascii="Arial" w:cs="Arial" w:eastAsia="Arial" w:hAnsi="Arial"/>
          <w:sz w:val="18"/>
          <w:szCs w:val="18"/>
          <w:b w:val="1"/>
          <w:bCs w:val="1"/>
          <w:u w:val="single" w:color="auto"/>
          <w:color w:val="auto"/>
        </w:rPr>
        <w:t>Steering Committee</w:t>
      </w:r>
      <w:r>
        <w:rPr>
          <w:rFonts w:ascii="Arial" w:cs="Arial" w:eastAsia="Arial" w:hAnsi="Arial"/>
          <w:sz w:val="18"/>
          <w:szCs w:val="18"/>
          <w:color w:val="auto"/>
        </w:rPr>
        <w:t>. A steering committee (hereinafter the “Steering Committee”) shall be formed within [*] after the Effective Date. The duties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Steering Committee shall include: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both"/>
        <w:ind w:firstLine="464"/>
        <w:spacing w:after="0" w:line="266" w:lineRule="auto"/>
        <w:tabs>
          <w:tab w:leader="none" w:pos="725"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Steering Committee Composition</w:t>
      </w:r>
      <w:r>
        <w:rPr>
          <w:rFonts w:ascii="Arial" w:cs="Arial" w:eastAsia="Arial" w:hAnsi="Arial"/>
          <w:sz w:val="18"/>
          <w:szCs w:val="18"/>
          <w:color w:val="auto"/>
        </w:rPr>
        <w:t>. The Steering Committee shall be comprised of [*] representatives from each Party. The Steering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from each party shall be designated by such party upon written notice to the other party, and each party can change its designated representatives from time to time upon written notice to the other party.</w:t>
      </w:r>
    </w:p>
    <w:p>
      <w:pPr>
        <w:spacing w:after="0" w:line="176" w:lineRule="exact"/>
        <w:rPr>
          <w:rFonts w:ascii="Arial" w:cs="Arial" w:eastAsia="Arial" w:hAnsi="Arial"/>
          <w:sz w:val="18"/>
          <w:szCs w:val="18"/>
          <w:color w:val="auto"/>
        </w:rPr>
      </w:pPr>
    </w:p>
    <w:p>
      <w:pPr>
        <w:jc w:val="both"/>
        <w:ind w:firstLine="464"/>
        <w:spacing w:after="0" w:line="261" w:lineRule="auto"/>
        <w:tabs>
          <w:tab w:leader="none" w:pos="701" w:val="left"/>
        </w:tabs>
        <w:numPr>
          <w:ilvl w:val="0"/>
          <w:numId w:val="185"/>
        </w:numPr>
        <w:rPr>
          <w:rFonts w:ascii="Arial" w:cs="Arial" w:eastAsia="Arial" w:hAnsi="Arial"/>
          <w:sz w:val="18"/>
          <w:szCs w:val="18"/>
          <w:color w:val="auto"/>
        </w:rPr>
      </w:pPr>
      <w:r>
        <w:rPr>
          <w:rFonts w:ascii="Arial" w:cs="Arial" w:eastAsia="Arial" w:hAnsi="Arial"/>
          <w:sz w:val="18"/>
          <w:szCs w:val="18"/>
          <w:b w:val="1"/>
          <w:bCs w:val="1"/>
          <w:u w:val="single" w:color="auto"/>
          <w:color w:val="auto"/>
        </w:rPr>
        <w:t>Steering Committee Meetings</w:t>
      </w:r>
      <w:r>
        <w:rPr>
          <w:rFonts w:ascii="Arial" w:cs="Arial" w:eastAsia="Arial" w:hAnsi="Arial"/>
          <w:sz w:val="18"/>
          <w:szCs w:val="18"/>
          <w:color w:val="auto"/>
        </w:rPr>
        <w:t>. The Steering Committee shall meet [*] and meetings may be conducted by telephone, electronic mail, facsimile,</w:t>
      </w:r>
      <w:r>
        <w:rPr>
          <w:rFonts w:ascii="Arial" w:cs="Arial" w:eastAsia="Arial" w:hAnsi="Arial"/>
          <w:sz w:val="18"/>
          <w:szCs w:val="18"/>
          <w:b w:val="1"/>
          <w:bCs w:val="1"/>
          <w:color w:val="auto"/>
        </w:rPr>
        <w:t xml:space="preserve"> </w:t>
      </w:r>
      <w:r>
        <w:rPr>
          <w:rFonts w:ascii="Arial" w:cs="Arial" w:eastAsia="Arial" w:hAnsi="Arial"/>
          <w:sz w:val="18"/>
          <w:szCs w:val="18"/>
          <w:color w:val="auto"/>
        </w:rPr>
        <w:t>video conference or in person. Up to [*] additional employees of each party may attend the Steering Committee meetings as non-voting observers. The Steering Committee shall be chaired by one of the representatives [*] (the “Chairperson”). The Chairperson shall prepare written minutes of each Steering Committee meeting and a written record of all Steering Committee decisions made during such meetings.</w:t>
      </w:r>
    </w:p>
    <w:p>
      <w:pPr>
        <w:spacing w:after="0" w:line="180" w:lineRule="exact"/>
        <w:rPr>
          <w:rFonts w:ascii="Arial" w:cs="Arial" w:eastAsia="Arial" w:hAnsi="Arial"/>
          <w:sz w:val="18"/>
          <w:szCs w:val="18"/>
          <w:color w:val="auto"/>
        </w:rPr>
      </w:pPr>
    </w:p>
    <w:p>
      <w:pPr>
        <w:ind w:firstLine="464"/>
        <w:spacing w:after="0" w:line="347" w:lineRule="auto"/>
        <w:tabs>
          <w:tab w:leader="none" w:pos="711" w:val="left"/>
        </w:tabs>
        <w:numPr>
          <w:ilvl w:val="0"/>
          <w:numId w:val="185"/>
        </w:numPr>
        <w:rPr>
          <w:rFonts w:ascii="Arial" w:cs="Arial" w:eastAsia="Arial" w:hAnsi="Arial"/>
          <w:sz w:val="16"/>
          <w:szCs w:val="16"/>
          <w:color w:val="auto"/>
        </w:rPr>
      </w:pPr>
      <w:r>
        <w:rPr>
          <w:rFonts w:ascii="Arial" w:cs="Arial" w:eastAsia="Arial" w:hAnsi="Arial"/>
          <w:sz w:val="16"/>
          <w:szCs w:val="16"/>
          <w:b w:val="1"/>
          <w:bCs w:val="1"/>
          <w:u w:val="single" w:color="auto"/>
          <w:color w:val="auto"/>
        </w:rPr>
        <w:t>Quorum; Required Vote</w:t>
      </w:r>
      <w:r>
        <w:rPr>
          <w:rFonts w:ascii="Arial" w:cs="Arial" w:eastAsia="Arial" w:hAnsi="Arial"/>
          <w:sz w:val="16"/>
          <w:szCs w:val="16"/>
          <w:color w:val="auto"/>
        </w:rPr>
        <w:t>. No Steering Committee meeting may be conducted unless at least [*] Steering Committee member from each party is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participating. For the purposes of any approval or action taken by the Steering Committee, all decisions of the Steering Committee initially will be taken [*].</w:t>
      </w:r>
    </w:p>
    <w:p>
      <w:pPr>
        <w:spacing w:after="0" w:line="49" w:lineRule="exact"/>
        <w:rPr>
          <w:sz w:val="20"/>
          <w:szCs w:val="20"/>
          <w:color w:val="auto"/>
        </w:rPr>
      </w:pPr>
    </w:p>
    <w:p>
      <w:pPr>
        <w:jc w:val="right"/>
        <w:spacing w:after="0"/>
        <w:tabs>
          <w:tab w:leader="none" w:pos="2760" w:val="left"/>
        </w:tabs>
        <w:rPr>
          <w:sz w:val="20"/>
          <w:szCs w:val="20"/>
          <w:color w:val="auto"/>
        </w:rPr>
      </w:pPr>
      <w:r>
        <w:rPr>
          <w:rFonts w:ascii="Arial" w:cs="Arial" w:eastAsia="Arial" w:hAnsi="Arial"/>
          <w:sz w:val="18"/>
          <w:szCs w:val="18"/>
          <w:color w:val="auto"/>
        </w:rPr>
        <w:t>B-1</w:t>
      </w:r>
      <w:r>
        <w:rPr>
          <w:sz w:val="20"/>
          <w:szCs w:val="20"/>
          <w:color w:val="auto"/>
        </w:rPr>
        <w:tab/>
      </w:r>
      <w:r>
        <w:rPr>
          <w:rFonts w:ascii="Arial" w:cs="Arial" w:eastAsia="Arial" w:hAnsi="Arial"/>
          <w:sz w:val="16"/>
          <w:szCs w:val="16"/>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February 12, 2016, included herein and to the reference to our firm under the heading “Experts” in the prospectus.</w:t>
      </w: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27, 2016</w:t>
      </w:r>
    </w:p>
    <w:sectPr>
      <w:pgSz w:w="11900" w:h="16838" w:orient="portrait"/>
      <w:cols w:equalWidth="0" w:num="1">
        <w:col w:w="11420"/>
      </w:cols>
      <w:pgMar w:left="240" w:top="1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1)"/>
      <w:numFmt w:val="decimal"/>
      <w:start w:val="1"/>
    </w:lvl>
  </w:abstractNum>
  <w:abstractNum w:abstractNumId="1">
    <w:nsid w:val="43F18422"/>
    <w:multiLevelType w:val="hybridMultilevel"/>
    <w:lvl w:ilvl="0">
      <w:lvlJc w:val="left"/>
      <w:lvlText w:val="•"/>
      <w:numFmt w:val="bullet"/>
      <w:start w:val="1"/>
    </w:lvl>
  </w:abstractNum>
  <w:abstractNum w:abstractNumId="2">
    <w:nsid w:val="60EF0119"/>
    <w:multiLevelType w:val="hybridMultilevel"/>
    <w:lvl w:ilvl="0">
      <w:lvlJc w:val="left"/>
      <w:lvlText w:val="•"/>
      <w:numFmt w:val="bullet"/>
      <w:start w:val="1"/>
    </w:lvl>
  </w:abstractNum>
  <w:abstractNum w:abstractNumId="3">
    <w:nsid w:val="26F324BA"/>
    <w:multiLevelType w:val="hybridMultilevel"/>
    <w:lvl w:ilvl="0">
      <w:lvlJc w:val="left"/>
      <w:lvlText w:val="•"/>
      <w:numFmt w:val="bullet"/>
      <w:start w:val="1"/>
    </w:lvl>
  </w:abstractNum>
  <w:abstractNum w:abstractNumId="4">
    <w:nsid w:val="7F01579B"/>
    <w:multiLevelType w:val="hybridMultilevel"/>
    <w:lvl w:ilvl="0">
      <w:lvlJc w:val="left"/>
      <w:lvlText w:val="•"/>
      <w:numFmt w:val="bullet"/>
      <w:start w:val="1"/>
    </w:lvl>
  </w:abstractNum>
  <w:abstractNum w:abstractNumId="5">
    <w:nsid w:val="49DA307D"/>
    <w:multiLevelType w:val="hybridMultilevel"/>
    <w:lvl w:ilvl="0">
      <w:lvlJc w:val="left"/>
      <w:lvlText w:val="•"/>
      <w:numFmt w:val="bullet"/>
      <w:start w:val="1"/>
    </w:lvl>
  </w:abstractNum>
  <w:abstractNum w:abstractNumId="6">
    <w:nsid w:val="7055A5F5"/>
    <w:multiLevelType w:val="hybridMultilevel"/>
    <w:lvl w:ilvl="0">
      <w:lvlJc w:val="left"/>
      <w:lvlText w:val="•"/>
      <w:numFmt w:val="bullet"/>
      <w:start w:val="1"/>
    </w:lvl>
  </w:abstractNum>
  <w:abstractNum w:abstractNumId="7">
    <w:nsid w:val="5FB8370B"/>
    <w:multiLevelType w:val="hybridMultilevel"/>
    <w:lvl w:ilvl="0">
      <w:lvlJc w:val="left"/>
      <w:lvlText w:val="•"/>
      <w:numFmt w:val="bullet"/>
      <w:start w:val="1"/>
    </w:lvl>
  </w:abstractNum>
  <w:abstractNum w:abstractNumId="8">
    <w:nsid w:val="50801EE1"/>
    <w:multiLevelType w:val="hybridMultilevel"/>
    <w:lvl w:ilvl="0">
      <w:lvlJc w:val="left"/>
      <w:lvlText w:val="•"/>
      <w:numFmt w:val="bullet"/>
      <w:start w:val="1"/>
    </w:lvl>
  </w:abstractNum>
  <w:abstractNum w:abstractNumId="9">
    <w:nsid w:val="488AC1A"/>
    <w:multiLevelType w:val="hybridMultilevel"/>
    <w:lvl w:ilvl="0">
      <w:lvlJc w:val="left"/>
      <w:lvlText w:val="•"/>
      <w:numFmt w:val="bullet"/>
      <w:start w:val="1"/>
    </w:lvl>
  </w:abstractNum>
  <w:abstractNum w:abstractNumId="10">
    <w:nsid w:val="5FB8011C"/>
    <w:multiLevelType w:val="hybridMultilevel"/>
    <w:lvl w:ilvl="0">
      <w:lvlJc w:val="left"/>
      <w:lvlText w:val="•"/>
      <w:numFmt w:val="bullet"/>
      <w:start w:val="1"/>
    </w:lvl>
  </w:abstractNum>
  <w:abstractNum w:abstractNumId="11">
    <w:nsid w:val="6AA78F7F"/>
    <w:multiLevelType w:val="hybridMultilevel"/>
    <w:lvl w:ilvl="0">
      <w:lvlJc w:val="left"/>
      <w:lvlText w:val="•"/>
      <w:numFmt w:val="bullet"/>
      <w:start w:val="1"/>
    </w:lvl>
  </w:abstractNum>
  <w:abstractNum w:abstractNumId="12">
    <w:nsid w:val="7672BD23"/>
    <w:multiLevelType w:val="hybridMultilevel"/>
    <w:lvl w:ilvl="0">
      <w:lvlJc w:val="left"/>
      <w:lvlText w:val="•"/>
      <w:numFmt w:val="bullet"/>
      <w:start w:val="1"/>
    </w:lvl>
  </w:abstractNum>
  <w:abstractNum w:abstractNumId="13">
    <w:nsid w:val="6FC75AF8"/>
    <w:multiLevelType w:val="hybridMultilevel"/>
    <w:lvl w:ilvl="0">
      <w:lvlJc w:val="left"/>
      <w:lvlText w:val="•"/>
      <w:numFmt w:val="bullet"/>
      <w:start w:val="1"/>
    </w:lvl>
  </w:abstractNum>
  <w:abstractNum w:abstractNumId="14">
    <w:nsid w:val="6A5F7029"/>
    <w:multiLevelType w:val="hybridMultilevel"/>
    <w:lvl w:ilvl="0">
      <w:lvlJc w:val="left"/>
      <w:lvlText w:val="•"/>
      <w:numFmt w:val="bullet"/>
      <w:start w:val="1"/>
    </w:lvl>
  </w:abstractNum>
  <w:abstractNum w:abstractNumId="15">
    <w:nsid w:val="7D5E18F8"/>
    <w:multiLevelType w:val="hybridMultilevel"/>
    <w:lvl w:ilvl="0">
      <w:lvlJc w:val="left"/>
      <w:lvlText w:val="(%1)"/>
      <w:numFmt w:val="decimal"/>
      <w:start w:val="1"/>
    </w:lvl>
  </w:abstractNum>
  <w:abstractNum w:abstractNumId="16">
    <w:nsid w:val="5F3534A4"/>
    <w:multiLevelType w:val="hybridMultilevel"/>
    <w:lvl w:ilvl="0">
      <w:lvlJc w:val="left"/>
      <w:lvlText w:val="(%1)"/>
      <w:numFmt w:val="decimal"/>
      <w:start w:val="1"/>
    </w:lvl>
  </w:abstractNum>
  <w:abstractNum w:abstractNumId="17">
    <w:nsid w:val="73A1821B"/>
    <w:multiLevelType w:val="hybridMultilevel"/>
    <w:lvl w:ilvl="0">
      <w:lvlJc w:val="left"/>
      <w:lvlText w:val="•"/>
      <w:numFmt w:val="bullet"/>
      <w:start w:val="1"/>
    </w:lvl>
  </w:abstractNum>
  <w:abstractNum w:abstractNumId="18">
    <w:nsid w:val="7DE67713"/>
    <w:multiLevelType w:val="hybridMultilevel"/>
    <w:lvl w:ilvl="0">
      <w:lvlJc w:val="left"/>
      <w:lvlText w:val="•"/>
      <w:numFmt w:val="bullet"/>
      <w:start w:val="1"/>
    </w:lvl>
  </w:abstractNum>
  <w:abstractNum w:abstractNumId="19">
    <w:nsid w:val="555C55B5"/>
    <w:multiLevelType w:val="hybridMultilevel"/>
    <w:lvl w:ilvl="0">
      <w:lvlJc w:val="left"/>
      <w:lvlText w:val="•"/>
      <w:numFmt w:val="bullet"/>
      <w:start w:val="1"/>
    </w:lvl>
  </w:abstractNum>
  <w:abstractNum w:abstractNumId="20">
    <w:nsid w:val="3FA62ACA"/>
    <w:multiLevelType w:val="hybridMultilevel"/>
    <w:lvl w:ilvl="0">
      <w:lvlJc w:val="left"/>
      <w:lvlText w:val="•"/>
      <w:numFmt w:val="bullet"/>
      <w:start w:val="1"/>
    </w:lvl>
  </w:abstractNum>
  <w:abstractNum w:abstractNumId="21">
    <w:nsid w:val="14FCE74E"/>
    <w:multiLevelType w:val="hybridMultilevel"/>
    <w:lvl w:ilvl="0">
      <w:lvlJc w:val="left"/>
      <w:lvlText w:val="•"/>
      <w:numFmt w:val="bullet"/>
      <w:start w:val="1"/>
    </w:lvl>
  </w:abstractNum>
  <w:abstractNum w:abstractNumId="22">
    <w:nsid w:val="6A3DD3E8"/>
    <w:multiLevelType w:val="hybridMultilevel"/>
    <w:lvl w:ilvl="0">
      <w:lvlJc w:val="left"/>
      <w:lvlText w:val="•"/>
      <w:numFmt w:val="bullet"/>
      <w:start w:val="1"/>
    </w:lvl>
  </w:abstractNum>
  <w:abstractNum w:abstractNumId="23">
    <w:nsid w:val="71C91298"/>
    <w:multiLevelType w:val="hybridMultilevel"/>
    <w:lvl w:ilvl="0">
      <w:lvlJc w:val="left"/>
      <w:lvlText w:val="•"/>
      <w:numFmt w:val="bullet"/>
      <w:start w:val="1"/>
    </w:lvl>
  </w:abstractNum>
  <w:abstractNum w:abstractNumId="24">
    <w:nsid w:val="9DAF632"/>
    <w:multiLevelType w:val="hybridMultilevel"/>
    <w:lvl w:ilvl="0">
      <w:lvlJc w:val="left"/>
      <w:lvlText w:val="•"/>
      <w:numFmt w:val="bullet"/>
      <w:start w:val="1"/>
    </w:lvl>
  </w:abstractNum>
  <w:abstractNum w:abstractNumId="25">
    <w:nsid w:val="53299938"/>
    <w:multiLevelType w:val="hybridMultilevel"/>
    <w:lvl w:ilvl="0">
      <w:lvlJc w:val="left"/>
      <w:lvlText w:val="•"/>
      <w:numFmt w:val="bullet"/>
      <w:start w:val="1"/>
    </w:lvl>
  </w:abstractNum>
  <w:abstractNum w:abstractNumId="26">
    <w:nsid w:val="1FBFE8E0"/>
    <w:multiLevelType w:val="hybridMultilevel"/>
    <w:lvl w:ilvl="0">
      <w:lvlJc w:val="left"/>
      <w:lvlText w:val="•"/>
      <w:numFmt w:val="bullet"/>
      <w:start w:val="1"/>
    </w:lvl>
  </w:abstractNum>
  <w:abstractNum w:abstractNumId="27">
    <w:nsid w:val="5092CA79"/>
    <w:multiLevelType w:val="hybridMultilevel"/>
    <w:lvl w:ilvl="0">
      <w:lvlJc w:val="left"/>
      <w:lvlText w:val="•"/>
      <w:numFmt w:val="bullet"/>
      <w:start w:val="1"/>
    </w:lvl>
  </w:abstractNum>
  <w:abstractNum w:abstractNumId="28">
    <w:nsid w:val="1D545C4D"/>
    <w:multiLevelType w:val="hybridMultilevel"/>
    <w:lvl w:ilvl="0">
      <w:lvlJc w:val="left"/>
      <w:lvlText w:val="•"/>
      <w:numFmt w:val="bullet"/>
      <w:start w:val="1"/>
    </w:lvl>
  </w:abstractNum>
  <w:abstractNum w:abstractNumId="29">
    <w:nsid w:val="59ADEA3D"/>
    <w:multiLevelType w:val="hybridMultilevel"/>
    <w:lvl w:ilvl="0">
      <w:lvlJc w:val="left"/>
      <w:lvlText w:val="•"/>
      <w:numFmt w:val="bullet"/>
      <w:start w:val="1"/>
    </w:lvl>
  </w:abstractNum>
  <w:abstractNum w:abstractNumId="30">
    <w:nsid w:val="288F1A34"/>
    <w:multiLevelType w:val="hybridMultilevel"/>
    <w:lvl w:ilvl="0">
      <w:lvlJc w:val="left"/>
      <w:lvlText w:val="•"/>
      <w:numFmt w:val="bullet"/>
      <w:start w:val="1"/>
    </w:lvl>
  </w:abstractNum>
  <w:abstractNum w:abstractNumId="31">
    <w:nsid w:val="2A155DBC"/>
    <w:multiLevelType w:val="hybridMultilevel"/>
    <w:lvl w:ilvl="0">
      <w:lvlJc w:val="left"/>
      <w:lvlText w:val="•"/>
      <w:numFmt w:val="bullet"/>
      <w:start w:val="1"/>
    </w:lvl>
  </w:abstractNum>
  <w:abstractNum w:abstractNumId="32">
    <w:nsid w:val="1D9F6E5F"/>
    <w:multiLevelType w:val="hybridMultilevel"/>
    <w:lvl w:ilvl="0">
      <w:lvlJc w:val="left"/>
      <w:lvlText w:val="•"/>
      <w:numFmt w:val="bullet"/>
      <w:start w:val="1"/>
    </w:lvl>
  </w:abstractNum>
  <w:abstractNum w:abstractNumId="33">
    <w:nsid w:val="97E1B4E"/>
    <w:multiLevelType w:val="hybridMultilevel"/>
    <w:lvl w:ilvl="0">
      <w:lvlJc w:val="left"/>
      <w:lvlText w:val="•"/>
      <w:numFmt w:val="bullet"/>
      <w:start w:val="1"/>
    </w:lvl>
  </w:abstractNum>
  <w:abstractNum w:abstractNumId="34">
    <w:nsid w:val="51088277"/>
    <w:multiLevelType w:val="hybridMultilevel"/>
    <w:lvl w:ilvl="0">
      <w:lvlJc w:val="left"/>
      <w:lvlText w:val="•"/>
      <w:numFmt w:val="bullet"/>
      <w:start w:val="1"/>
    </w:lvl>
  </w:abstractNum>
  <w:abstractNum w:abstractNumId="35">
    <w:nsid w:val="1CA0C5FA"/>
    <w:multiLevelType w:val="hybridMultilevel"/>
    <w:lvl w:ilvl="0">
      <w:lvlJc w:val="left"/>
      <w:lvlText w:val="•"/>
      <w:numFmt w:val="bullet"/>
      <w:start w:val="1"/>
    </w:lvl>
  </w:abstractNum>
  <w:abstractNum w:abstractNumId="36">
    <w:nsid w:val="53584BCB"/>
    <w:multiLevelType w:val="hybridMultilevel"/>
    <w:lvl w:ilvl="0">
      <w:lvlJc w:val="left"/>
      <w:lvlText w:val="•"/>
      <w:numFmt w:val="bullet"/>
      <w:start w:val="1"/>
    </w:lvl>
  </w:abstractNum>
  <w:abstractNum w:abstractNumId="37">
    <w:nsid w:val="415E286C"/>
    <w:multiLevelType w:val="hybridMultilevel"/>
    <w:lvl w:ilvl="0">
      <w:lvlJc w:val="left"/>
      <w:lvlText w:val="$"/>
      <w:numFmt w:val="bullet"/>
      <w:start w:val="1"/>
    </w:lvl>
  </w:abstractNum>
  <w:abstractNum w:abstractNumId="38">
    <w:nsid w:val="7C58FD05"/>
    <w:multiLevelType w:val="hybridMultilevel"/>
    <w:lvl w:ilvl="0">
      <w:lvlJc w:val="left"/>
      <w:lvlText w:val="•"/>
      <w:numFmt w:val="bullet"/>
      <w:start w:val="1"/>
    </w:lvl>
  </w:abstractNum>
  <w:abstractNum w:abstractNumId="39">
    <w:nsid w:val="23D86AAC"/>
    <w:multiLevelType w:val="hybridMultilevel"/>
    <w:lvl w:ilvl="0">
      <w:lvlJc w:val="left"/>
      <w:lvlText w:val="•"/>
      <w:numFmt w:val="bullet"/>
      <w:start w:val="1"/>
    </w:lvl>
  </w:abstractNum>
  <w:abstractNum w:abstractNumId="40">
    <w:nsid w:val="45E6D486"/>
    <w:multiLevelType w:val="hybridMultilevel"/>
    <w:lvl w:ilvl="0">
      <w:lvlJc w:val="left"/>
      <w:lvlText w:val="$"/>
      <w:numFmt w:val="bullet"/>
      <w:start w:val="1"/>
    </w:lvl>
  </w:abstractNum>
  <w:abstractNum w:abstractNumId="41">
    <w:nsid w:val="5C10FE21"/>
    <w:multiLevelType w:val="hybridMultilevel"/>
    <w:lvl w:ilvl="0">
      <w:lvlJc w:val="left"/>
      <w:lvlText w:val="$"/>
      <w:numFmt w:val="bullet"/>
      <w:start w:val="1"/>
    </w:lvl>
  </w:abstractNum>
  <w:abstractNum w:abstractNumId="42">
    <w:nsid w:val="E7FFA2B"/>
    <w:multiLevelType w:val="hybridMultilevel"/>
    <w:lvl w:ilvl="0">
      <w:lvlJc w:val="left"/>
      <w:lvlText w:val="•"/>
      <w:numFmt w:val="bullet"/>
      <w:start w:val="1"/>
    </w:lvl>
  </w:abstractNum>
  <w:abstractNum w:abstractNumId="43">
    <w:nsid w:val="3C5991AA"/>
    <w:multiLevelType w:val="hybridMultilevel"/>
    <w:lvl w:ilvl="0">
      <w:lvlJc w:val="left"/>
      <w:lvlText w:val="•"/>
      <w:numFmt w:val="bullet"/>
      <w:start w:val="1"/>
    </w:lvl>
  </w:abstractNum>
  <w:abstractNum w:abstractNumId="44">
    <w:nsid w:val="4BD8591A"/>
    <w:multiLevelType w:val="hybridMultilevel"/>
    <w:lvl w:ilvl="0">
      <w:lvlJc w:val="left"/>
      <w:lvlText w:val="•"/>
      <w:numFmt w:val="bullet"/>
      <w:start w:val="1"/>
    </w:lvl>
  </w:abstractNum>
  <w:abstractNum w:abstractNumId="45">
    <w:nsid w:val="78DF6A55"/>
    <w:multiLevelType w:val="hybridMultilevel"/>
    <w:lvl w:ilvl="0">
      <w:lvlJc w:val="left"/>
      <w:lvlText w:val="•"/>
      <w:numFmt w:val="bullet"/>
      <w:start w:val="1"/>
    </w:lvl>
  </w:abstractNum>
  <w:abstractNum w:abstractNumId="46">
    <w:nsid w:val="39B7AAA2"/>
    <w:multiLevelType w:val="hybridMultilevel"/>
    <w:lvl w:ilvl="0">
      <w:lvlJc w:val="left"/>
      <w:lvlText w:val="(%1)"/>
      <w:numFmt w:val="lowerRoman"/>
      <w:start w:val="2"/>
    </w:lvl>
  </w:abstractNum>
  <w:abstractNum w:abstractNumId="47">
    <w:nsid w:val="2B0D8DBE"/>
    <w:multiLevelType w:val="hybridMultilevel"/>
    <w:lvl w:ilvl="0">
      <w:lvlJc w:val="left"/>
      <w:lvlText w:val="$"/>
      <w:numFmt w:val="bullet"/>
      <w:start w:val="1"/>
    </w:lvl>
  </w:abstractNum>
  <w:abstractNum w:abstractNumId="48">
    <w:nsid w:val="6C80EC70"/>
    <w:multiLevelType w:val="hybridMultilevel"/>
    <w:lvl w:ilvl="0">
      <w:lvlJc w:val="left"/>
      <w:lvlText w:val="$"/>
      <w:numFmt w:val="bullet"/>
      <w:start w:val="1"/>
    </w:lvl>
  </w:abstractNum>
  <w:abstractNum w:abstractNumId="49">
    <w:nsid w:val="379E21B5"/>
    <w:multiLevelType w:val="hybridMultilevel"/>
    <w:lvl w:ilvl="0">
      <w:lvlJc w:val="left"/>
      <w:lvlText w:val="•"/>
      <w:numFmt w:val="bullet"/>
      <w:start w:val="1"/>
    </w:lvl>
  </w:abstractNum>
  <w:abstractNum w:abstractNumId="50">
    <w:nsid w:val="69E373"/>
    <w:multiLevelType w:val="hybridMultilevel"/>
    <w:lvl w:ilvl="0">
      <w:lvlJc w:val="left"/>
      <w:lvlText w:val="•"/>
      <w:numFmt w:val="bullet"/>
      <w:start w:val="1"/>
    </w:lvl>
  </w:abstractNum>
  <w:abstractNum w:abstractNumId="51">
    <w:nsid w:val="2C27173B"/>
    <w:multiLevelType w:val="hybridMultilevel"/>
    <w:lvl w:ilvl="0">
      <w:lvlJc w:val="left"/>
      <w:lvlText w:val="(%1)"/>
      <w:numFmt w:val="decimal"/>
      <w:start w:val="1"/>
    </w:lvl>
  </w:abstractNum>
  <w:abstractNum w:abstractNumId="52">
    <w:nsid w:val="4C9B0904"/>
    <w:multiLevelType w:val="hybridMultilevel"/>
    <w:lvl w:ilvl="0">
      <w:lvlJc w:val="left"/>
      <w:lvlText w:val="•"/>
      <w:numFmt w:val="bullet"/>
      <w:start w:val="1"/>
    </w:lvl>
  </w:abstractNum>
  <w:abstractNum w:abstractNumId="53">
    <w:nsid w:val="6AA7B75C"/>
    <w:multiLevelType w:val="hybridMultilevel"/>
    <w:lvl w:ilvl="0">
      <w:lvlJc w:val="left"/>
      <w:lvlText w:val="•"/>
      <w:numFmt w:val="bullet"/>
      <w:start w:val="1"/>
    </w:lvl>
  </w:abstractNum>
  <w:abstractNum w:abstractNumId="54">
    <w:nsid w:val="1DF029D3"/>
    <w:multiLevelType w:val="hybridMultilevel"/>
    <w:lvl w:ilvl="0">
      <w:lvlJc w:val="left"/>
      <w:lvlText w:val="•"/>
      <w:numFmt w:val="bullet"/>
      <w:start w:val="1"/>
    </w:lvl>
  </w:abstractNum>
  <w:abstractNum w:abstractNumId="55">
    <w:nsid w:val="5675FF36"/>
    <w:multiLevelType w:val="hybridMultilevel"/>
    <w:lvl w:ilvl="0">
      <w:lvlJc w:val="left"/>
      <w:lvlText w:val="•"/>
      <w:numFmt w:val="bullet"/>
      <w:start w:val="1"/>
    </w:lvl>
  </w:abstractNum>
  <w:abstractNum w:abstractNumId="56">
    <w:nsid w:val="3DD15094"/>
    <w:multiLevelType w:val="hybridMultilevel"/>
    <w:lvl w:ilvl="0">
      <w:lvlJc w:val="left"/>
      <w:lvlText w:val="•"/>
      <w:numFmt w:val="bullet"/>
      <w:start w:val="1"/>
    </w:lvl>
  </w:abstractNum>
  <w:abstractNum w:abstractNumId="57">
    <w:nsid w:val="3DB012B3"/>
    <w:multiLevelType w:val="hybridMultilevel"/>
    <w:lvl w:ilvl="0">
      <w:lvlJc w:val="left"/>
      <w:lvlText w:val="•"/>
      <w:numFmt w:val="bullet"/>
      <w:start w:val="1"/>
    </w:lvl>
  </w:abstractNum>
  <w:abstractNum w:abstractNumId="58">
    <w:nsid w:val="2708C9AF"/>
    <w:multiLevelType w:val="hybridMultilevel"/>
    <w:lvl w:ilvl="0">
      <w:lvlJc w:val="left"/>
      <w:lvlText w:val="•"/>
      <w:numFmt w:val="bullet"/>
      <w:start w:val="1"/>
    </w:lvl>
  </w:abstractNum>
  <w:abstractNum w:abstractNumId="59">
    <w:nsid w:val="5B25ACE2"/>
    <w:multiLevelType w:val="hybridMultilevel"/>
    <w:lvl w:ilvl="0">
      <w:lvlJc w:val="left"/>
      <w:lvlText w:val="•"/>
      <w:numFmt w:val="bullet"/>
      <w:start w:val="1"/>
    </w:lvl>
  </w:abstractNum>
  <w:abstractNum w:abstractNumId="60">
    <w:nsid w:val="175DFCF0"/>
    <w:multiLevelType w:val="hybridMultilevel"/>
    <w:lvl w:ilvl="0">
      <w:lvlJc w:val="left"/>
      <w:lvlText w:val="•"/>
      <w:numFmt w:val="bullet"/>
      <w:start w:val="1"/>
    </w:lvl>
  </w:abstractNum>
  <w:abstractNum w:abstractNumId="61">
    <w:nsid w:val="4F97E3E4"/>
    <w:multiLevelType w:val="hybridMultilevel"/>
    <w:lvl w:ilvl="0">
      <w:lvlJc w:val="left"/>
      <w:lvlText w:val="(%1)"/>
      <w:numFmt w:val="decimal"/>
      <w:start w:val="1"/>
    </w:lvl>
  </w:abstractNum>
  <w:abstractNum w:abstractNumId="62">
    <w:nsid w:val="53B0A9E"/>
    <w:multiLevelType w:val="hybridMultilevel"/>
    <w:lvl w:ilvl="0">
      <w:lvlJc w:val="left"/>
      <w:lvlText w:val="(%1)"/>
      <w:numFmt w:val="decimal"/>
      <w:start w:val="2"/>
    </w:lvl>
  </w:abstractNum>
  <w:abstractNum w:abstractNumId="63">
    <w:nsid w:val="34FD6B4F"/>
    <w:multiLevelType w:val="hybridMultilevel"/>
    <w:lvl w:ilvl="0">
      <w:lvlJc w:val="left"/>
      <w:lvlText w:val="•"/>
      <w:numFmt w:val="bullet"/>
      <w:start w:val="1"/>
    </w:lvl>
  </w:abstractNum>
  <w:abstractNum w:abstractNumId="64">
    <w:nsid w:val="5915FF32"/>
    <w:multiLevelType w:val="hybridMultilevel"/>
    <w:lvl w:ilvl="0">
      <w:lvlJc w:val="left"/>
      <w:lvlText w:val="•"/>
      <w:numFmt w:val="bullet"/>
      <w:start w:val="1"/>
    </w:lvl>
  </w:abstractNum>
  <w:abstractNum w:abstractNumId="65">
    <w:nsid w:val="56438D15"/>
    <w:multiLevelType w:val="hybridMultilevel"/>
    <w:lvl w:ilvl="0">
      <w:lvlJc w:val="left"/>
      <w:lvlText w:val="•"/>
      <w:numFmt w:val="bullet"/>
      <w:start w:val="1"/>
    </w:lvl>
  </w:abstractNum>
  <w:abstractNum w:abstractNumId="66">
    <w:nsid w:val="519E3149"/>
    <w:multiLevelType w:val="hybridMultilevel"/>
    <w:lvl w:ilvl="0">
      <w:lvlJc w:val="left"/>
      <w:lvlText w:val="•"/>
      <w:numFmt w:val="bullet"/>
      <w:start w:val="1"/>
    </w:lvl>
  </w:abstractNum>
  <w:abstractNum w:abstractNumId="67">
    <w:nsid w:val="2C6E4AFD"/>
    <w:multiLevelType w:val="hybridMultilevel"/>
    <w:lvl w:ilvl="0">
      <w:lvlJc w:val="left"/>
      <w:lvlText w:val="•"/>
      <w:numFmt w:val="bullet"/>
      <w:start w:val="1"/>
    </w:lvl>
  </w:abstractNum>
  <w:abstractNum w:abstractNumId="68">
    <w:nsid w:val="17A1B582"/>
    <w:multiLevelType w:val="hybridMultilevel"/>
    <w:lvl w:ilvl="0">
      <w:lvlJc w:val="left"/>
      <w:lvlText w:val="•"/>
      <w:numFmt w:val="bullet"/>
      <w:start w:val="1"/>
    </w:lvl>
  </w:abstractNum>
  <w:abstractNum w:abstractNumId="69">
    <w:nsid w:val="4DF72E4E"/>
    <w:multiLevelType w:val="hybridMultilevel"/>
    <w:lvl w:ilvl="0">
      <w:lvlJc w:val="left"/>
      <w:lvlText w:val="•"/>
      <w:numFmt w:val="bullet"/>
      <w:start w:val="1"/>
    </w:lvl>
  </w:abstractNum>
  <w:abstractNum w:abstractNumId="70">
    <w:nsid w:val="5046B5A9"/>
    <w:multiLevelType w:val="hybridMultilevel"/>
    <w:lvl w:ilvl="0">
      <w:lvlJc w:val="left"/>
      <w:lvlText w:val="•"/>
      <w:numFmt w:val="bullet"/>
      <w:start w:val="1"/>
    </w:lvl>
  </w:abstractNum>
  <w:abstractNum w:abstractNumId="71">
    <w:nsid w:val="5D888A08"/>
    <w:multiLevelType w:val="hybridMultilevel"/>
    <w:lvl w:ilvl="0">
      <w:lvlJc w:val="left"/>
      <w:lvlText w:val="•"/>
      <w:numFmt w:val="bullet"/>
      <w:start w:val="1"/>
    </w:lvl>
  </w:abstractNum>
  <w:abstractNum w:abstractNumId="72">
    <w:nsid w:val="2A082C70"/>
    <w:multiLevelType w:val="hybridMultilevel"/>
    <w:lvl w:ilvl="0">
      <w:lvlJc w:val="left"/>
      <w:lvlText w:val="•"/>
      <w:numFmt w:val="bullet"/>
      <w:start w:val="1"/>
    </w:lvl>
  </w:abstractNum>
  <w:abstractNum w:abstractNumId="73">
    <w:nsid w:val="5EC6AFD4"/>
    <w:multiLevelType w:val="hybridMultilevel"/>
    <w:lvl w:ilvl="0">
      <w:lvlJc w:val="left"/>
      <w:lvlText w:val="(%1)"/>
      <w:numFmt w:val="lowerRoman"/>
      <w:start w:val="2"/>
    </w:lvl>
  </w:abstractNum>
  <w:abstractNum w:abstractNumId="74">
    <w:nsid w:val="19E21BB2"/>
    <w:multiLevelType w:val="hybridMultilevel"/>
    <w:lvl w:ilvl="0">
      <w:lvlJc w:val="left"/>
      <w:lvlText w:val="•"/>
      <w:numFmt w:val="bullet"/>
      <w:start w:val="1"/>
    </w:lvl>
  </w:abstractNum>
  <w:abstractNum w:abstractNumId="75">
    <w:nsid w:val="75E0858A"/>
    <w:multiLevelType w:val="hybridMultilevel"/>
    <w:lvl w:ilvl="0">
      <w:lvlJc w:val="left"/>
      <w:lvlText w:val="•"/>
      <w:numFmt w:val="bullet"/>
      <w:start w:val="1"/>
    </w:lvl>
  </w:abstractNum>
  <w:abstractNum w:abstractNumId="76">
    <w:nsid w:val="57A61A29"/>
    <w:multiLevelType w:val="hybridMultilevel"/>
    <w:lvl w:ilvl="0">
      <w:lvlJc w:val="left"/>
      <w:lvlText w:val="•"/>
      <w:numFmt w:val="bullet"/>
      <w:start w:val="1"/>
    </w:lvl>
  </w:abstractNum>
  <w:abstractNum w:abstractNumId="77">
    <w:nsid w:val="5399C654"/>
    <w:multiLevelType w:val="hybridMultilevel"/>
    <w:lvl w:ilvl="0">
      <w:lvlJc w:val="left"/>
      <w:lvlText w:val="•"/>
      <w:numFmt w:val="bullet"/>
      <w:start w:val="1"/>
    </w:lvl>
  </w:abstractNum>
  <w:abstractNum w:abstractNumId="78">
    <w:nsid w:val="20EE1348"/>
    <w:multiLevelType w:val="hybridMultilevel"/>
    <w:lvl w:ilvl="0">
      <w:lvlJc w:val="left"/>
      <w:lvlText w:val="•"/>
      <w:numFmt w:val="bullet"/>
      <w:start w:val="1"/>
    </w:lvl>
  </w:abstractNum>
  <w:abstractNum w:abstractNumId="79">
    <w:nsid w:val="4427069A"/>
    <w:multiLevelType w:val="hybridMultilevel"/>
    <w:lvl w:ilvl="0">
      <w:lvlJc w:val="left"/>
      <w:lvlText w:val="•"/>
      <w:numFmt w:val="bullet"/>
      <w:start w:val="1"/>
    </w:lvl>
  </w:abstractNum>
  <w:abstractNum w:abstractNumId="80">
    <w:nsid w:val="B37E80A"/>
    <w:multiLevelType w:val="hybridMultilevel"/>
    <w:lvl w:ilvl="0">
      <w:lvlJc w:val="left"/>
      <w:lvlText w:val="•"/>
      <w:numFmt w:val="bullet"/>
      <w:start w:val="1"/>
    </w:lvl>
  </w:abstractNum>
  <w:abstractNum w:abstractNumId="81">
    <w:nsid w:val="2157F6BC"/>
    <w:multiLevelType w:val="hybridMultilevel"/>
    <w:lvl w:ilvl="0">
      <w:lvlJc w:val="left"/>
      <w:lvlText w:val="*"/>
      <w:numFmt w:val="bullet"/>
      <w:start w:val="1"/>
    </w:lvl>
  </w:abstractNum>
  <w:abstractNum w:abstractNumId="82">
    <w:nsid w:val="704E1DD5"/>
    <w:multiLevelType w:val="hybridMultilevel"/>
    <w:lvl w:ilvl="0">
      <w:lvlJc w:val="left"/>
      <w:lvlText w:val="(%1)"/>
      <w:numFmt w:val="decimal"/>
      <w:start w:val="1"/>
    </w:lvl>
  </w:abstractNum>
  <w:abstractNum w:abstractNumId="83">
    <w:nsid w:val="57D2F10E"/>
    <w:multiLevelType w:val="hybridMultilevel"/>
    <w:lvl w:ilvl="0">
      <w:lvlJc w:val="left"/>
      <w:lvlText w:val="•"/>
      <w:numFmt w:val="bullet"/>
      <w:start w:val="1"/>
    </w:lvl>
  </w:abstractNum>
  <w:abstractNum w:abstractNumId="84">
    <w:nsid w:val="BFFAE18"/>
    <w:multiLevelType w:val="hybridMultilevel"/>
    <w:lvl w:ilvl="0">
      <w:lvlJc w:val="left"/>
      <w:lvlText w:val="•"/>
      <w:numFmt w:val="bullet"/>
      <w:start w:val="1"/>
    </w:lvl>
  </w:abstractNum>
  <w:abstractNum w:abstractNumId="85">
    <w:nsid w:val="E3E47A8"/>
    <w:multiLevelType w:val="hybridMultilevel"/>
    <w:lvl w:ilvl="0">
      <w:lvlJc w:val="left"/>
      <w:lvlText w:val="•"/>
      <w:numFmt w:val="bullet"/>
      <w:start w:val="1"/>
    </w:lvl>
  </w:abstractNum>
  <w:abstractNum w:abstractNumId="86">
    <w:nsid w:val="2E48F044"/>
    <w:multiLevelType w:val="hybridMultilevel"/>
    <w:lvl w:ilvl="0">
      <w:lvlJc w:val="left"/>
      <w:lvlText w:val="•"/>
      <w:numFmt w:val="bullet"/>
      <w:start w:val="1"/>
    </w:lvl>
  </w:abstractNum>
  <w:abstractNum w:abstractNumId="87">
    <w:nsid w:val="49D0FEAC"/>
    <w:multiLevelType w:val="hybridMultilevel"/>
    <w:lvl w:ilvl="0">
      <w:lvlJc w:val="left"/>
      <w:lvlText w:val="•"/>
      <w:numFmt w:val="bullet"/>
      <w:start w:val="1"/>
    </w:lvl>
  </w:abstractNum>
  <w:abstractNum w:abstractNumId="88">
    <w:nsid w:val="4BEE5A5B"/>
    <w:multiLevelType w:val="hybridMultilevel"/>
    <w:lvl w:ilvl="0">
      <w:lvlJc w:val="left"/>
      <w:lvlText w:val="•"/>
      <w:numFmt w:val="bullet"/>
      <w:start w:val="1"/>
    </w:lvl>
  </w:abstractNum>
  <w:abstractNum w:abstractNumId="89">
    <w:nsid w:val="5551B9F3"/>
    <w:multiLevelType w:val="hybridMultilevel"/>
    <w:lvl w:ilvl="0">
      <w:lvlJc w:val="left"/>
      <w:lvlText w:val="(%1)"/>
      <w:numFmt w:val="decimal"/>
      <w:start w:val="1"/>
    </w:lvl>
  </w:abstractNum>
  <w:abstractNum w:abstractNumId="90">
    <w:nsid w:val="24F6AB8E"/>
    <w:multiLevelType w:val="hybridMultilevel"/>
    <w:lvl w:ilvl="0">
      <w:lvlJc w:val="left"/>
      <w:lvlText w:val="•"/>
      <w:numFmt w:val="bullet"/>
      <w:start w:val="1"/>
    </w:lvl>
  </w:abstractNum>
  <w:abstractNum w:abstractNumId="91">
    <w:nsid w:val="634C574C"/>
    <w:multiLevelType w:val="hybridMultilevel"/>
    <w:lvl w:ilvl="0">
      <w:lvlJc w:val="left"/>
      <w:lvlText w:val="(%1)"/>
      <w:numFmt w:val="decimal"/>
      <w:start w:val="1"/>
    </w:lvl>
  </w:abstractNum>
  <w:abstractNum w:abstractNumId="92">
    <w:nsid w:val="24E99DD7"/>
    <w:multiLevelType w:val="hybridMultilevel"/>
    <w:lvl w:ilvl="0">
      <w:lvlJc w:val="left"/>
      <w:lvlText w:val="(%1)"/>
      <w:numFmt w:val="decimal"/>
      <w:start w:val="1"/>
    </w:lvl>
  </w:abstractNum>
  <w:abstractNum w:abstractNumId="93">
    <w:nsid w:val="2A31B62D"/>
    <w:multiLevelType w:val="hybridMultilevel"/>
    <w:lvl w:ilvl="0">
      <w:lvlJc w:val="left"/>
      <w:lvlText w:val="(%1)"/>
      <w:numFmt w:val="decimal"/>
      <w:start w:val="3"/>
    </w:lvl>
  </w:abstractNum>
  <w:abstractNum w:abstractNumId="94">
    <w:nsid w:val="1849C29B"/>
    <w:multiLevelType w:val="hybridMultilevel"/>
    <w:lvl w:ilvl="0">
      <w:lvlJc w:val="left"/>
      <w:lvlText w:val="•"/>
      <w:numFmt w:val="bullet"/>
      <w:start w:val="1"/>
    </w:lvl>
  </w:abstractNum>
  <w:abstractNum w:abstractNumId="95">
    <w:nsid w:val="7DFF9D09"/>
    <w:multiLevelType w:val="hybridMultilevel"/>
    <w:lvl w:ilvl="0">
      <w:lvlJc w:val="left"/>
      <w:lvlText w:val="•"/>
      <w:numFmt w:val="bullet"/>
      <w:start w:val="1"/>
    </w:lvl>
  </w:abstractNum>
  <w:abstractNum w:abstractNumId="96">
    <w:nsid w:val="754342"/>
    <w:multiLevelType w:val="hybridMultilevel"/>
    <w:lvl w:ilvl="0">
      <w:lvlJc w:val="left"/>
      <w:lvlText w:val="•"/>
      <w:numFmt w:val="bullet"/>
      <w:start w:val="1"/>
    </w:lvl>
  </w:abstractNum>
  <w:abstractNum w:abstractNumId="97">
    <w:nsid w:val="69E7F3E5"/>
    <w:multiLevelType w:val="hybridMultilevel"/>
    <w:lvl w:ilvl="0">
      <w:lvlJc w:val="left"/>
      <w:lvlText w:val="(%1)"/>
      <w:numFmt w:val="decimal"/>
      <w:start w:val="1"/>
    </w:lvl>
  </w:abstractNum>
  <w:abstractNum w:abstractNumId="98">
    <w:nsid w:val="2A6DE806"/>
    <w:multiLevelType w:val="hybridMultilevel"/>
    <w:lvl w:ilvl="0">
      <w:lvlJc w:val="left"/>
      <w:lvlText w:val="(%1)"/>
      <w:numFmt w:val="decimal"/>
      <w:start w:val="1"/>
    </w:lvl>
  </w:abstractNum>
  <w:abstractNum w:abstractNumId="99">
    <w:nsid w:val="1816F8C4"/>
    <w:multiLevelType w:val="hybridMultilevel"/>
    <w:lvl w:ilvl="0">
      <w:lvlJc w:val="left"/>
      <w:lvlText w:val="•"/>
      <w:numFmt w:val="bullet"/>
      <w:start w:val="1"/>
    </w:lvl>
  </w:abstractNum>
  <w:abstractNum w:abstractNumId="100">
    <w:nsid w:val="37DF2233"/>
    <w:multiLevelType w:val="hybridMultilevel"/>
    <w:lvl w:ilvl="0">
      <w:lvlJc w:val="left"/>
      <w:lvlText w:val="(%1)"/>
      <w:numFmt w:val="decimal"/>
      <w:start w:val="1"/>
    </w:lvl>
    <w:lvl w:ilvl="1">
      <w:lvlJc w:val="left"/>
      <w:lvlText w:val="(%2)"/>
      <w:numFmt w:val="lowerLetter"/>
      <w:start w:val="2"/>
    </w:lvl>
  </w:abstractNum>
  <w:abstractNum w:abstractNumId="101">
    <w:nsid w:val="7AB49DAF"/>
    <w:multiLevelType w:val="hybridMultilevel"/>
    <w:lvl w:ilvl="0">
      <w:lvlJc w:val="left"/>
      <w:lvlText w:val="(%1)"/>
      <w:numFmt w:val="decimal"/>
      <w:start w:val="9"/>
    </w:lvl>
    <w:lvl w:ilvl="1">
      <w:lvlJc w:val="left"/>
      <w:lvlText w:val="(%2)"/>
      <w:numFmt w:val="lowerLetter"/>
      <w:start w:val="2"/>
    </w:lvl>
  </w:abstractNum>
  <w:abstractNum w:abstractNumId="102">
    <w:nsid w:val="759F82CD"/>
    <w:multiLevelType w:val="hybridMultilevel"/>
    <w:lvl w:ilvl="0">
      <w:lvlJc w:val="left"/>
      <w:lvlText w:val="%1"/>
      <w:numFmt w:val="decimal"/>
      <w:start w:val="1"/>
    </w:lvl>
    <w:lvl w:ilvl="1">
      <w:lvlJc w:val="left"/>
      <w:lvlText w:val="(%2)"/>
      <w:numFmt w:val="lowerLetter"/>
      <w:start w:val="4"/>
    </w:lvl>
  </w:abstractNum>
  <w:abstractNum w:abstractNumId="103">
    <w:nsid w:val="61E74EA3"/>
    <w:multiLevelType w:val="hybridMultilevel"/>
    <w:lvl w:ilvl="0">
      <w:lvlJc w:val="left"/>
      <w:lvlText w:val="(%1)"/>
      <w:numFmt w:val="decimal"/>
      <w:start w:val="11"/>
    </w:lvl>
    <w:lvl w:ilvl="1">
      <w:lvlJc w:val="left"/>
      <w:lvlText w:val="(%2)"/>
      <w:numFmt w:val="lowerLetter"/>
      <w:start w:val="2"/>
    </w:lvl>
  </w:abstractNum>
  <w:abstractNum w:abstractNumId="104">
    <w:nsid w:val="597B4D84"/>
    <w:multiLevelType w:val="hybridMultilevel"/>
    <w:lvl w:ilvl="0">
      <w:lvlJc w:val="left"/>
      <w:lvlText w:val="•"/>
      <w:numFmt w:val="bullet"/>
      <w:start w:val="1"/>
    </w:lvl>
  </w:abstractNum>
  <w:abstractNum w:abstractNumId="105">
    <w:nsid w:val="F819E7F"/>
    <w:multiLevelType w:val="hybridMultilevel"/>
    <w:lvl w:ilvl="0">
      <w:lvlJc w:val="left"/>
      <w:lvlText w:val="•"/>
      <w:numFmt w:val="bullet"/>
      <w:start w:val="1"/>
    </w:lvl>
  </w:abstractNum>
  <w:abstractNum w:abstractNumId="106">
    <w:nsid w:val="57C7D42D"/>
    <w:multiLevelType w:val="hybridMultilevel"/>
    <w:lvl w:ilvl="0">
      <w:lvlJc w:val="left"/>
      <w:lvlText w:val="•"/>
      <w:numFmt w:val="bullet"/>
      <w:start w:val="1"/>
    </w:lvl>
  </w:abstractNum>
  <w:abstractNum w:abstractNumId="107">
    <w:nsid w:val="312167AD"/>
    <w:multiLevelType w:val="hybridMultilevel"/>
    <w:lvl w:ilvl="0">
      <w:lvlJc w:val="left"/>
      <w:lvlText w:val="•"/>
      <w:numFmt w:val="bullet"/>
      <w:start w:val="1"/>
    </w:lvl>
  </w:abstractNum>
  <w:abstractNum w:abstractNumId="108">
    <w:nsid w:val="631B64D4"/>
    <w:multiLevelType w:val="hybridMultilevel"/>
    <w:lvl w:ilvl="0">
      <w:lvlJc w:val="left"/>
      <w:lvlText w:val="•"/>
      <w:numFmt w:val="bullet"/>
      <w:start w:val="1"/>
    </w:lvl>
  </w:abstractNum>
  <w:abstractNum w:abstractNumId="109">
    <w:nsid w:val="78B5E776"/>
    <w:multiLevelType w:val="hybridMultilevel"/>
    <w:lvl w:ilvl="0">
      <w:lvlJc w:val="left"/>
      <w:lvlText w:val="•"/>
      <w:numFmt w:val="bullet"/>
      <w:start w:val="1"/>
    </w:lvl>
  </w:abstractNum>
  <w:abstractNum w:abstractNumId="110">
    <w:nsid w:val="75486E47"/>
    <w:multiLevelType w:val="hybridMultilevel"/>
    <w:lvl w:ilvl="0">
      <w:lvlJc w:val="left"/>
      <w:lvlText w:val="•"/>
      <w:numFmt w:val="bullet"/>
      <w:start w:val="1"/>
    </w:lvl>
  </w:abstractNum>
  <w:abstractNum w:abstractNumId="111">
    <w:nsid w:val="6E534CDE"/>
    <w:multiLevelType w:val="hybridMultilevel"/>
    <w:lvl w:ilvl="0">
      <w:lvlJc w:val="left"/>
      <w:lvlText w:val="•"/>
      <w:numFmt w:val="bullet"/>
      <w:start w:val="1"/>
    </w:lvl>
  </w:abstractNum>
  <w:abstractNum w:abstractNumId="112">
    <w:nsid w:val="1A0DDE32"/>
    <w:multiLevelType w:val="hybridMultilevel"/>
    <w:lvl w:ilvl="0">
      <w:lvlJc w:val="left"/>
      <w:lvlText w:val="•"/>
      <w:numFmt w:val="bullet"/>
      <w:start w:val="1"/>
    </w:lvl>
  </w:abstractNum>
  <w:abstractNum w:abstractNumId="113">
    <w:nsid w:val="65968C1C"/>
    <w:multiLevelType w:val="hybridMultilevel"/>
    <w:lvl w:ilvl="0">
      <w:lvlJc w:val="left"/>
      <w:lvlText w:val="•"/>
      <w:numFmt w:val="bullet"/>
      <w:start w:val="1"/>
    </w:lvl>
  </w:abstractNum>
  <w:abstractNum w:abstractNumId="114">
    <w:nsid w:val="46263DEC"/>
    <w:multiLevelType w:val="hybridMultilevel"/>
    <w:lvl w:ilvl="0">
      <w:lvlJc w:val="left"/>
      <w:lvlText w:val="•"/>
      <w:numFmt w:val="bullet"/>
      <w:start w:val="1"/>
    </w:lvl>
  </w:abstractNum>
  <w:abstractNum w:abstractNumId="115">
    <w:nsid w:val="260D8C4A"/>
    <w:multiLevelType w:val="hybridMultilevel"/>
    <w:lvl w:ilvl="0">
      <w:lvlJc w:val="left"/>
      <w:lvlText w:val="•"/>
      <w:numFmt w:val="bullet"/>
      <w:start w:val="1"/>
    </w:lvl>
  </w:abstractNum>
  <w:abstractNum w:abstractNumId="116">
    <w:nsid w:val="73D4D3C4"/>
    <w:multiLevelType w:val="hybridMultilevel"/>
    <w:lvl w:ilvl="0">
      <w:lvlJc w:val="left"/>
      <w:lvlText w:val="•"/>
      <w:numFmt w:val="bullet"/>
      <w:start w:val="1"/>
    </w:lvl>
  </w:abstractNum>
  <w:abstractNum w:abstractNumId="117">
    <w:nsid w:val="746F2E30"/>
    <w:multiLevelType w:val="hybridMultilevel"/>
    <w:lvl w:ilvl="0">
      <w:lvlJc w:val="left"/>
      <w:lvlText w:val="(%1)"/>
      <w:numFmt w:val="lowerLetter"/>
      <w:start w:val="2"/>
    </w:lvl>
  </w:abstractNum>
  <w:abstractNum w:abstractNumId="118">
    <w:nsid w:val="6FDE8AF6"/>
    <w:multiLevelType w:val="hybridMultilevel"/>
    <w:lvl w:ilvl="0">
      <w:lvlJc w:val="left"/>
      <w:lvlText w:val="•"/>
      <w:numFmt w:val="bullet"/>
      <w:start w:val="1"/>
    </w:lvl>
  </w:abstractNum>
  <w:abstractNum w:abstractNumId="119">
    <w:nsid w:val="3FC32E20"/>
    <w:multiLevelType w:val="hybridMultilevel"/>
    <w:lvl w:ilvl="0">
      <w:lvlJc w:val="left"/>
      <w:lvlText w:val="•"/>
      <w:numFmt w:val="bullet"/>
      <w:start w:val="1"/>
    </w:lvl>
    <w:lvl w:ilvl="1">
      <w:lvlJc w:val="left"/>
      <w:lvlText w:val="•"/>
      <w:numFmt w:val="bullet"/>
      <w:start w:val="1"/>
    </w:lvl>
  </w:abstractNum>
  <w:abstractNum w:abstractNumId="120">
    <w:nsid w:val="49C0E823"/>
    <w:multiLevelType w:val="hybridMultilevel"/>
    <w:lvl w:ilvl="0">
      <w:lvlJc w:val="left"/>
      <w:lvlText w:val="(%1)"/>
      <w:numFmt w:val="lowerLetter"/>
      <w:start w:val="2"/>
    </w:lvl>
  </w:abstractNum>
  <w:abstractNum w:abstractNumId="121">
    <w:nsid w:val="14D53685"/>
    <w:multiLevelType w:val="hybridMultilevel"/>
    <w:lvl w:ilvl="0">
      <w:lvlJc w:val="left"/>
      <w:lvlText w:val="(%1)"/>
      <w:numFmt w:val="lowerRoman"/>
      <w:start w:val="11"/>
    </w:lvl>
  </w:abstractNum>
  <w:abstractNum w:abstractNumId="122">
    <w:nsid w:val="230F856C"/>
    <w:multiLevelType w:val="hybridMultilevel"/>
    <w:lvl w:ilvl="0">
      <w:lvlJc w:val="left"/>
      <w:lvlText w:val="•"/>
      <w:numFmt w:val="bullet"/>
      <w:start w:val="1"/>
    </w:lvl>
  </w:abstractNum>
  <w:abstractNum w:abstractNumId="123">
    <w:nsid w:val="6EAA85FB"/>
    <w:multiLevelType w:val="hybridMultilevel"/>
    <w:lvl w:ilvl="0">
      <w:lvlJc w:val="left"/>
      <w:lvlText w:val="•"/>
      <w:numFmt w:val="bullet"/>
      <w:start w:val="1"/>
    </w:lvl>
  </w:abstractNum>
  <w:abstractNum w:abstractNumId="124">
    <w:nsid w:val="3F06ECB2"/>
    <w:multiLevelType w:val="hybridMultilevel"/>
    <w:lvl w:ilvl="0">
      <w:lvlJc w:val="left"/>
      <w:lvlText w:val="(%1)"/>
      <w:numFmt w:val="lowerRoman"/>
      <w:start w:val="2"/>
    </w:lvl>
  </w:abstractNum>
  <w:abstractNum w:abstractNumId="125">
    <w:nsid w:val="3B594807"/>
    <w:multiLevelType w:val="hybridMultilevel"/>
    <w:lvl w:ilvl="0">
      <w:lvlJc w:val="left"/>
      <w:lvlText w:val="(%1)"/>
      <w:numFmt w:val="decimal"/>
      <w:start w:val="1"/>
    </w:lvl>
  </w:abstractNum>
  <w:abstractNum w:abstractNumId="126">
    <w:nsid w:val="6CAA2304"/>
    <w:multiLevelType w:val="hybridMultilevel"/>
    <w:lvl w:ilvl="0">
      <w:lvlJc w:val="left"/>
      <w:lvlText w:val="•"/>
      <w:numFmt w:val="bullet"/>
      <w:start w:val="1"/>
    </w:lvl>
  </w:abstractNum>
  <w:abstractNum w:abstractNumId="127">
    <w:nsid w:val="3F7C2FF4"/>
    <w:multiLevelType w:val="hybridMultilevel"/>
    <w:lvl w:ilvl="0">
      <w:lvlJc w:val="left"/>
      <w:lvlText w:val="(%1)"/>
      <w:numFmt w:val="lowerRoman"/>
      <w:start w:val="1"/>
    </w:lvl>
  </w:abstractNum>
  <w:abstractNum w:abstractNumId="128">
    <w:nsid w:val="25413BEC"/>
    <w:multiLevelType w:val="hybridMultilevel"/>
    <w:lvl w:ilvl="0">
      <w:lvlJc w:val="left"/>
      <w:lvlText w:val="(%1)"/>
      <w:numFmt w:val="decimal"/>
      <w:start w:val="1"/>
    </w:lvl>
  </w:abstractNum>
  <w:abstractNum w:abstractNumId="129">
    <w:nsid w:val="17180B0B"/>
    <w:multiLevelType w:val="hybridMultilevel"/>
    <w:lvl w:ilvl="0">
      <w:lvlJc w:val="left"/>
      <w:lvlText w:val="•"/>
      <w:numFmt w:val="bullet"/>
      <w:start w:val="1"/>
    </w:lvl>
  </w:abstractNum>
  <w:abstractNum w:abstractNumId="130">
    <w:nsid w:val="579328B9"/>
    <w:multiLevelType w:val="hybridMultilevel"/>
    <w:lvl w:ilvl="0">
      <w:lvlJc w:val="left"/>
      <w:lvlText w:val="•"/>
      <w:numFmt w:val="bullet"/>
      <w:start w:val="1"/>
    </w:lvl>
  </w:abstractNum>
  <w:abstractNum w:abstractNumId="131">
    <w:nsid w:val="5D205E20"/>
    <w:multiLevelType w:val="hybridMultilevel"/>
    <w:lvl w:ilvl="0">
      <w:lvlJc w:val="left"/>
      <w:lvlText w:val="•"/>
      <w:numFmt w:val="bullet"/>
      <w:start w:val="1"/>
    </w:lvl>
  </w:abstractNum>
  <w:abstractNum w:abstractNumId="132">
    <w:nsid w:val="11CCA8BA"/>
    <w:multiLevelType w:val="hybridMultilevel"/>
    <w:lvl w:ilvl="0">
      <w:lvlJc w:val="left"/>
      <w:lvlText w:val="%1."/>
      <w:numFmt w:val="decimal"/>
      <w:start w:val="1"/>
    </w:lvl>
  </w:abstractNum>
  <w:abstractNum w:abstractNumId="133">
    <w:nsid w:val="4D32AB86"/>
    <w:multiLevelType w:val="hybridMultilevel"/>
    <w:lvl w:ilvl="0">
      <w:lvlJc w:val="left"/>
      <w:lvlText w:val="(%1)"/>
      <w:numFmt w:val="lowerLetter"/>
      <w:start w:val="1"/>
    </w:lvl>
  </w:abstractNum>
  <w:abstractNum w:abstractNumId="134">
    <w:nsid w:val="3F07ACC3"/>
    <w:multiLevelType w:val="hybridMultilevel"/>
    <w:lvl w:ilvl="0">
      <w:lvlJc w:val="left"/>
      <w:lvlText w:val="+"/>
      <w:numFmt w:val="bullet"/>
      <w:start w:val="1"/>
    </w:lvl>
  </w:abstractNum>
  <w:abstractNum w:abstractNumId="135">
    <w:nsid w:val="6B47F63E"/>
    <w:multiLevelType w:val="hybridMultilevel"/>
    <w:lvl w:ilvl="0">
      <w:lvlJc w:val="left"/>
      <w:lvlText w:val="%1."/>
      <w:numFmt w:val="decimal"/>
      <w:start w:val="1"/>
    </w:lvl>
  </w:abstractNum>
  <w:abstractNum w:abstractNumId="136">
    <w:nsid w:val="5CB44A05"/>
    <w:multiLevelType w:val="hybridMultilevel"/>
    <w:lvl w:ilvl="0">
      <w:lvlJc w:val="left"/>
      <w:lvlText w:val="%1."/>
      <w:numFmt w:val="decimal"/>
      <w:start w:val="2"/>
    </w:lvl>
  </w:abstractNum>
  <w:abstractNum w:abstractNumId="137">
    <w:nsid w:val="16CF80F1"/>
    <w:multiLevelType w:val="hybridMultilevel"/>
    <w:lvl w:ilvl="0">
      <w:lvlJc w:val="left"/>
      <w:lvlText w:val="%1."/>
      <w:numFmt w:val="decimal"/>
      <w:start w:val="3"/>
    </w:lvl>
  </w:abstractNum>
  <w:abstractNum w:abstractNumId="138">
    <w:nsid w:val="1C695DEC"/>
    <w:multiLevelType w:val="hybridMultilevel"/>
    <w:lvl w:ilvl="0">
      <w:lvlJc w:val="left"/>
      <w:lvlText w:val="%1."/>
      <w:numFmt w:val="decimal"/>
      <w:start w:val="4"/>
    </w:lvl>
  </w:abstractNum>
  <w:abstractNum w:abstractNumId="139">
    <w:nsid w:val="3FCFAED9"/>
    <w:multiLevelType w:val="hybridMultilevel"/>
    <w:lvl w:ilvl="0">
      <w:lvlJc w:val="left"/>
      <w:lvlText w:val="(%1)"/>
      <w:numFmt w:val="lowerLetter"/>
      <w:start w:val="24"/>
    </w:lvl>
  </w:abstractNum>
  <w:abstractNum w:abstractNumId="140">
    <w:nsid w:val="F856867"/>
    <w:multiLevelType w:val="hybridMultilevel"/>
    <w:lvl w:ilvl="0">
      <w:lvlJc w:val="left"/>
      <w:lvlText w:val="(%1)"/>
      <w:numFmt w:val="decimal"/>
      <w:start w:val="5"/>
    </w:lvl>
  </w:abstractNum>
  <w:abstractNum w:abstractNumId="141">
    <w:nsid w:val="11B1CC33"/>
    <w:multiLevelType w:val="hybridMultilevel"/>
    <w:lvl w:ilvl="0">
      <w:lvlJc w:val="left"/>
      <w:lvlText w:val="%1."/>
      <w:numFmt w:val="decimal"/>
      <w:start w:val="5"/>
    </w:lvl>
  </w:abstractNum>
  <w:abstractNum w:abstractNumId="142">
    <w:nsid w:val="2E22FBB7"/>
    <w:multiLevelType w:val="hybridMultilevel"/>
    <w:lvl w:ilvl="0">
      <w:lvlJc w:val="left"/>
      <w:lvlText w:val="%1."/>
      <w:numFmt w:val="decimal"/>
      <w:start w:val="6"/>
    </w:lvl>
  </w:abstractNum>
  <w:abstractNum w:abstractNumId="143">
    <w:nsid w:val="29934699"/>
    <w:multiLevelType w:val="hybridMultilevel"/>
    <w:lvl w:ilvl="0">
      <w:lvlJc w:val="left"/>
      <w:lvlText w:val="%1."/>
      <w:numFmt w:val="decimal"/>
      <w:start w:val="7"/>
    </w:lvl>
  </w:abstractNum>
  <w:abstractNum w:abstractNumId="144">
    <w:nsid w:val="77485850"/>
    <w:multiLevelType w:val="hybridMultilevel"/>
    <w:lvl w:ilvl="0">
      <w:lvlJc w:val="left"/>
      <w:lvlText w:val="%1."/>
      <w:numFmt w:val="decimal"/>
      <w:start w:val="8"/>
    </w:lvl>
  </w:abstractNum>
  <w:abstractNum w:abstractNumId="145">
    <w:nsid w:val="744939A3"/>
    <w:multiLevelType w:val="hybridMultilevel"/>
    <w:lvl w:ilvl="0">
      <w:lvlJc w:val="left"/>
      <w:lvlText w:val="%1."/>
      <w:numFmt w:val="decimal"/>
      <w:start w:val="9"/>
    </w:lvl>
  </w:abstractNum>
  <w:abstractNum w:abstractNumId="146">
    <w:nsid w:val="4FA0D2E3"/>
    <w:multiLevelType w:val="hybridMultilevel"/>
    <w:lvl w:ilvl="0">
      <w:lvlJc w:val="left"/>
      <w:lvlText w:val="%1."/>
      <w:numFmt w:val="decimal"/>
      <w:start w:val="10"/>
    </w:lvl>
  </w:abstractNum>
  <w:abstractNum w:abstractNumId="147">
    <w:nsid w:val="6B1D2C14"/>
    <w:multiLevelType w:val="hybridMultilevel"/>
    <w:lvl w:ilvl="0">
      <w:lvlJc w:val="left"/>
      <w:lvlText w:val="%1."/>
      <w:numFmt w:val="decimal"/>
      <w:start w:val="11"/>
    </w:lvl>
  </w:abstractNum>
  <w:abstractNum w:abstractNumId="148">
    <w:nsid w:val="68B867D3"/>
    <w:multiLevelType w:val="hybridMultilevel"/>
    <w:lvl w:ilvl="0">
      <w:lvlJc w:val="left"/>
      <w:lvlText w:val="%1."/>
      <w:numFmt w:val="decimal"/>
      <w:start w:val="12"/>
    </w:lvl>
  </w:abstractNum>
  <w:abstractNum w:abstractNumId="149">
    <w:nsid w:val="3F7F5DD9"/>
    <w:multiLevelType w:val="hybridMultilevel"/>
    <w:lvl w:ilvl="0">
      <w:lvlJc w:val="left"/>
      <w:lvlText w:val="%1."/>
      <w:numFmt w:val="decimal"/>
      <w:start w:val="13"/>
    </w:lvl>
  </w:abstractNum>
  <w:abstractNum w:abstractNumId="150">
    <w:nsid w:val="2AE05A34"/>
    <w:multiLevelType w:val="hybridMultilevel"/>
    <w:lvl w:ilvl="0">
      <w:lvlJc w:val="left"/>
      <w:lvlText w:val="%1."/>
      <w:numFmt w:val="decimal"/>
      <w:start w:val="14"/>
    </w:lvl>
  </w:abstractNum>
  <w:abstractNum w:abstractNumId="151">
    <w:nsid w:val="32794FF7"/>
    <w:multiLevelType w:val="hybridMultilevel"/>
    <w:lvl w:ilvl="0">
      <w:lvlJc w:val="left"/>
      <w:lvlText w:val="%1."/>
      <w:numFmt w:val="decimal"/>
      <w:start w:val="15"/>
    </w:lvl>
  </w:abstractNum>
  <w:abstractNum w:abstractNumId="152">
    <w:nsid w:val="5454945E"/>
    <w:multiLevelType w:val="hybridMultilevel"/>
    <w:lvl w:ilvl="0">
      <w:lvlJc w:val="left"/>
      <w:lvlText w:val="%1."/>
      <w:numFmt w:val="decimal"/>
      <w:start w:val="16"/>
    </w:lvl>
  </w:abstractNum>
  <w:abstractNum w:abstractNumId="153">
    <w:nsid w:val="4DEFDFA0"/>
    <w:multiLevelType w:val="hybridMultilevel"/>
    <w:lvl w:ilvl="0">
      <w:lvlJc w:val="left"/>
      <w:lvlText w:val="%1."/>
      <w:numFmt w:val="decimal"/>
      <w:start w:val="17"/>
    </w:lvl>
  </w:abstractNum>
  <w:abstractNum w:abstractNumId="154">
    <w:nsid w:val="2123D5F2"/>
    <w:multiLevelType w:val="hybridMultilevel"/>
    <w:lvl w:ilvl="0">
      <w:lvlJc w:val="left"/>
      <w:lvlText w:val="%1."/>
      <w:numFmt w:val="decimal"/>
      <w:start w:val="18"/>
    </w:lvl>
  </w:abstractNum>
  <w:abstractNum w:abstractNumId="155">
    <w:nsid w:val="135B8110"/>
    <w:multiLevelType w:val="hybridMultilevel"/>
    <w:lvl w:ilvl="0">
      <w:lvlJc w:val="left"/>
      <w:lvlText w:val="%1."/>
      <w:numFmt w:val="decimal"/>
      <w:start w:val="1"/>
    </w:lvl>
  </w:abstractNum>
  <w:abstractNum w:abstractNumId="156">
    <w:nsid w:val="94927A8"/>
    <w:multiLevelType w:val="hybridMultilevel"/>
    <w:lvl w:ilvl="0">
      <w:lvlJc w:val="left"/>
      <w:lvlText w:val="(%1)"/>
      <w:numFmt w:val="lowerLetter"/>
      <w:start w:val="1"/>
    </w:lvl>
  </w:abstractNum>
  <w:abstractNum w:abstractNumId="157">
    <w:nsid w:val="DCDF8F6"/>
    <w:multiLevelType w:val="hybridMultilevel"/>
    <w:lvl w:ilvl="0">
      <w:lvlJc w:val="left"/>
      <w:lvlText w:val="%1"/>
      <w:numFmt w:val="lowerLetter"/>
      <w:start w:val="1"/>
    </w:lvl>
    <w:lvl w:ilvl="1">
      <w:lvlJc w:val="left"/>
      <w:lvlText w:val="(%2)"/>
      <w:numFmt w:val="lowerLetter"/>
      <w:start w:val="1"/>
    </w:lvl>
  </w:abstractNum>
  <w:abstractNum w:abstractNumId="158">
    <w:nsid w:val="52D7B105"/>
    <w:multiLevelType w:val="hybridMultilevel"/>
    <w:lvl w:ilvl="0">
      <w:lvlJc w:val="left"/>
      <w:lvlText w:val="(%1)"/>
      <w:numFmt w:val="lowerLetter"/>
      <w:start w:val="35"/>
    </w:lvl>
    <w:lvl w:ilvl="1">
      <w:lvlJc w:val="left"/>
      <w:lvlText w:val="(%2)"/>
      <w:numFmt w:val="lowerLetter"/>
      <w:start w:val="2"/>
    </w:lvl>
  </w:abstractNum>
  <w:abstractNum w:abstractNumId="159">
    <w:nsid w:val="2E8A6394"/>
    <w:multiLevelType w:val="hybridMultilevel"/>
    <w:lvl w:ilvl="0">
      <w:lvlJc w:val="left"/>
      <w:lvlText w:val="%1."/>
      <w:numFmt w:val="decimal"/>
      <w:start w:val="2"/>
    </w:lvl>
  </w:abstractNum>
  <w:abstractNum w:abstractNumId="160">
    <w:nsid w:val="24E60401"/>
    <w:multiLevelType w:val="hybridMultilevel"/>
    <w:lvl w:ilvl="0">
      <w:lvlJc w:val="left"/>
      <w:lvlText w:val="(%1)"/>
      <w:numFmt w:val="lowerLetter"/>
      <w:start w:val="1"/>
    </w:lvl>
  </w:abstractNum>
  <w:abstractNum w:abstractNumId="161">
    <w:nsid w:val="2A6AD9BE"/>
    <w:multiLevelType w:val="hybridMultilevel"/>
    <w:lvl w:ilvl="0">
      <w:lvlJc w:val="left"/>
      <w:lvlText w:val="(%1)"/>
      <w:numFmt w:val="lowerLetter"/>
      <w:start w:val="3"/>
    </w:lvl>
  </w:abstractNum>
  <w:abstractNum w:abstractNumId="162">
    <w:nsid w:val="BAAC1B4"/>
    <w:multiLevelType w:val="hybridMultilevel"/>
    <w:lvl w:ilvl="0">
      <w:lvlJc w:val="left"/>
      <w:lvlText w:val="(%1)"/>
      <w:numFmt w:val="lowerLetter"/>
      <w:start w:val="1"/>
    </w:lvl>
  </w:abstractNum>
  <w:abstractNum w:abstractNumId="163">
    <w:nsid w:val="36B2ACBC"/>
    <w:multiLevelType w:val="hybridMultilevel"/>
    <w:lvl w:ilvl="0">
      <w:lvlJc w:val="left"/>
      <w:lvlText w:val="(%1)"/>
      <w:numFmt w:val="lowerLetter"/>
      <w:start w:val="1"/>
    </w:lvl>
  </w:abstractNum>
  <w:abstractNum w:abstractNumId="164">
    <w:nsid w:val="779D8544"/>
    <w:multiLevelType w:val="hybridMultilevel"/>
    <w:lvl w:ilvl="0">
      <w:lvlJc w:val="left"/>
      <w:lvlText w:val="(%1)"/>
      <w:numFmt w:val="lowerLetter"/>
      <w:start w:val="2"/>
    </w:lvl>
  </w:abstractNum>
  <w:abstractNum w:abstractNumId="165">
    <w:nsid w:val="4AB26E78"/>
    <w:multiLevelType w:val="hybridMultilevel"/>
    <w:lvl w:ilvl="0">
      <w:lvlJc w:val="left"/>
      <w:lvlText w:val="(%1)"/>
      <w:numFmt w:val="lowerLetter"/>
      <w:start w:val="1"/>
    </w:lvl>
    <w:lvl w:ilvl="1">
      <w:lvlJc w:val="left"/>
      <w:lvlText w:val="(%2)"/>
      <w:numFmt w:val="lowerRoman"/>
      <w:start w:val="1"/>
    </w:lvl>
  </w:abstractNum>
  <w:abstractNum w:abstractNumId="166">
    <w:nsid w:val="21FAA2FA"/>
    <w:multiLevelType w:val="hybridMultilevel"/>
    <w:lvl w:ilvl="0">
      <w:lvlJc w:val="left"/>
      <w:lvlText w:val="%1"/>
      <w:numFmt w:val="lowerLetter"/>
      <w:start w:val="1"/>
    </w:lvl>
    <w:lvl w:ilvl="1">
      <w:lvlJc w:val="left"/>
      <w:lvlText w:val="(%2)"/>
      <w:numFmt w:val="lowerRoman"/>
      <w:start w:val="1"/>
    </w:lvl>
  </w:abstractNum>
  <w:abstractNum w:abstractNumId="167">
    <w:nsid w:val="5451CF49"/>
    <w:multiLevelType w:val="hybridMultilevel"/>
    <w:lvl w:ilvl="0">
      <w:lvlJc w:val="left"/>
      <w:lvlText w:val="(%1)"/>
      <w:numFmt w:val="lowerLetter"/>
      <w:start w:val="3"/>
    </w:lvl>
    <w:lvl w:ilvl="1">
      <w:lvlJc w:val="left"/>
      <w:lvlText w:val="(%2)"/>
      <w:numFmt w:val="lowerRoman"/>
      <w:start w:val="1"/>
    </w:lvl>
  </w:abstractNum>
  <w:abstractNum w:abstractNumId="168">
    <w:nsid w:val="6181EF69"/>
    <w:multiLevelType w:val="hybridMultilevel"/>
    <w:lvl w:ilvl="0">
      <w:lvlJc w:val="left"/>
      <w:lvlText w:val="%1."/>
      <w:numFmt w:val="decimal"/>
      <w:start w:val="3"/>
    </w:lvl>
  </w:abstractNum>
  <w:abstractNum w:abstractNumId="169">
    <w:nsid w:val="3E6400E6"/>
    <w:multiLevelType w:val="hybridMultilevel"/>
    <w:lvl w:ilvl="0">
      <w:lvlJc w:val="left"/>
      <w:lvlText w:val="(%1)"/>
      <w:numFmt w:val="lowerLetter"/>
      <w:start w:val="1"/>
    </w:lvl>
  </w:abstractNum>
  <w:abstractNum w:abstractNumId="170">
    <w:nsid w:val="14217E23"/>
    <w:multiLevelType w:val="hybridMultilevel"/>
    <w:lvl w:ilvl="0">
      <w:lvlJc w:val="left"/>
      <w:lvlText w:val="%1."/>
      <w:numFmt w:val="decimal"/>
      <w:start w:val="4"/>
    </w:lvl>
  </w:abstractNum>
  <w:abstractNum w:abstractNumId="171">
    <w:nsid w:val="710757D0"/>
    <w:multiLevelType w:val="hybridMultilevel"/>
    <w:lvl w:ilvl="0">
      <w:lvlJc w:val="left"/>
      <w:lvlText w:val="(%1)"/>
      <w:numFmt w:val="lowerLetter"/>
      <w:start w:val="1"/>
    </w:lvl>
  </w:abstractNum>
  <w:abstractNum w:abstractNumId="172">
    <w:nsid w:val="5015CD1A"/>
    <w:multiLevelType w:val="hybridMultilevel"/>
    <w:lvl w:ilvl="0">
      <w:lvlJc w:val="left"/>
      <w:lvlText w:val="(%1)"/>
      <w:numFmt w:val="lowerLetter"/>
      <w:start w:val="1"/>
    </w:lvl>
  </w:abstractNum>
  <w:abstractNum w:abstractNumId="173">
    <w:nsid w:val="424479DA"/>
    <w:multiLevelType w:val="hybridMultilevel"/>
    <w:lvl w:ilvl="0">
      <w:lvlJc w:val="left"/>
      <w:lvlText w:val="%1."/>
      <w:numFmt w:val="decimal"/>
      <w:start w:val="5"/>
    </w:lvl>
  </w:abstractNum>
  <w:abstractNum w:abstractNumId="174">
    <w:nsid w:val="1A9A9E69"/>
    <w:multiLevelType w:val="hybridMultilevel"/>
    <w:lvl w:ilvl="0">
      <w:lvlJc w:val="left"/>
      <w:lvlText w:val="(%1)"/>
      <w:numFmt w:val="lowerLetter"/>
      <w:start w:val="1"/>
    </w:lvl>
  </w:abstractNum>
  <w:abstractNum w:abstractNumId="175">
    <w:nsid w:val="475E256A"/>
    <w:multiLevelType w:val="hybridMultilevel"/>
    <w:lvl w:ilvl="0">
      <w:lvlJc w:val="left"/>
      <w:lvlText w:val="%1."/>
      <w:numFmt w:val="decimal"/>
      <w:start w:val="6"/>
    </w:lvl>
  </w:abstractNum>
  <w:abstractNum w:abstractNumId="176">
    <w:nsid w:val="368DB37E"/>
    <w:multiLevelType w:val="hybridMultilevel"/>
    <w:lvl w:ilvl="0">
      <w:lvlJc w:val="left"/>
      <w:lvlText w:val="%1."/>
      <w:numFmt w:val="decimal"/>
      <w:start w:val="7"/>
    </w:lvl>
  </w:abstractNum>
  <w:abstractNum w:abstractNumId="177">
    <w:nsid w:val="6A3B714C"/>
    <w:multiLevelType w:val="hybridMultilevel"/>
    <w:lvl w:ilvl="0">
      <w:lvlJc w:val="left"/>
      <w:lvlText w:val="(%1)"/>
      <w:numFmt w:val="lowerLetter"/>
      <w:start w:val="1"/>
    </w:lvl>
  </w:abstractNum>
  <w:abstractNum w:abstractNumId="178">
    <w:nsid w:val="327B517E"/>
    <w:multiLevelType w:val="hybridMultilevel"/>
    <w:lvl w:ilvl="0">
      <w:lvlJc w:val="left"/>
      <w:lvlText w:val="(%1)"/>
      <w:numFmt w:val="lowerLetter"/>
      <w:start w:val="1"/>
    </w:lvl>
  </w:abstractNum>
  <w:abstractNum w:abstractNumId="179">
    <w:nsid w:val="1F461B51"/>
    <w:multiLevelType w:val="hybridMultilevel"/>
    <w:lvl w:ilvl="0">
      <w:lvlJc w:val="left"/>
      <w:lvlText w:val="(%1)"/>
      <w:numFmt w:val="lowerLetter"/>
      <w:start w:val="2"/>
    </w:lvl>
  </w:abstractNum>
  <w:abstractNum w:abstractNumId="180">
    <w:nsid w:val="29BACF25"/>
    <w:multiLevelType w:val="hybridMultilevel"/>
    <w:lvl w:ilvl="0">
      <w:lvlJc w:val="left"/>
      <w:lvlText w:val="(%1)"/>
      <w:numFmt w:val="lowerLetter"/>
      <w:start w:val="1"/>
    </w:lvl>
  </w:abstractNum>
  <w:abstractNum w:abstractNumId="181">
    <w:nsid w:val="5D5BABB3"/>
    <w:multiLevelType w:val="hybridMultilevel"/>
    <w:lvl w:ilvl="0">
      <w:lvlJc w:val="left"/>
      <w:lvlText w:val="%1."/>
      <w:numFmt w:val="decimal"/>
      <w:start w:val="8"/>
    </w:lvl>
  </w:abstractNum>
  <w:abstractNum w:abstractNumId="182">
    <w:nsid w:val="51BF6B48"/>
    <w:multiLevelType w:val="hybridMultilevel"/>
    <w:lvl w:ilvl="0">
      <w:lvlJc w:val="left"/>
      <w:lvlText w:val="%1."/>
      <w:numFmt w:val="decimal"/>
      <w:start w:val="9"/>
    </w:lvl>
  </w:abstractNum>
  <w:abstractNum w:abstractNumId="183">
    <w:nsid w:val="7E0F6384"/>
    <w:multiLevelType w:val="hybridMultilevel"/>
    <w:lvl w:ilvl="0">
      <w:lvlJc w:val="left"/>
      <w:lvlText w:val="(%1)"/>
      <w:numFmt w:val="lowerLetter"/>
      <w:start w:val="1"/>
    </w:lvl>
  </w:abstractNum>
  <w:abstractNum w:abstractNumId="184">
    <w:nsid w:val="2B4B8B5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2019-12-08T12:33:26Z</dcterms:created>
  <dcterms:modified xsi:type="dcterms:W3CDTF">2019-12-08T12:33:26Z</dcterms:modified>
</cp:coreProperties>
</file>