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4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1"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FORM 8-K</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CURRENT REPORT PURSUANT TO</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SECTION 13 OR 15(d) OF THE SECURITIES EXCHANGE ACT OF 1934</w:t>
      </w:r>
    </w:p>
    <w:p>
      <w:pPr>
        <w:spacing w:after="0" w:line="20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6"/>
          <w:szCs w:val="16"/>
          <w:b w:val="1"/>
          <w:bCs w:val="1"/>
          <w:color w:val="auto"/>
        </w:rPr>
        <w:t>Date of Report: June 12, 2024</w:t>
      </w:r>
    </w:p>
    <w:p>
      <w:pPr>
        <w:spacing w:after="0" w:line="16"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6"/>
          <w:szCs w:val="16"/>
          <w:color w:val="auto"/>
        </w:rPr>
        <w:t>(Date of earliest event reported)</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ANAPTYSBIO, INC.</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Charter)</w:t>
      </w:r>
    </w:p>
    <w:p>
      <w:pPr>
        <w:sectPr>
          <w:pgSz w:w="11900" w:h="16838" w:orient="portrait"/>
          <w:cols w:equalWidth="0" w:num="1">
            <w:col w:w="11280"/>
          </w:cols>
          <w:pgMar w:left="300" w:top="1222" w:right="319" w:bottom="1440" w:gutter="0" w:footer="0" w:header="0"/>
        </w:sectPr>
      </w:pPr>
    </w:p>
    <w:p>
      <w:pPr>
        <w:spacing w:after="0" w:line="210"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jc w:val="center"/>
        <w:ind w:right="2240"/>
        <w:spacing w:after="0"/>
        <w:rPr>
          <w:sz w:val="20"/>
          <w:szCs w:val="20"/>
          <w:color w:val="auto"/>
        </w:rPr>
      </w:pPr>
      <w:r>
        <w:rPr>
          <w:rFonts w:ascii="Times New Roman" w:cs="Times New Roman" w:eastAsia="Times New Roman" w:hAnsi="Times New Roman"/>
          <w:sz w:val="14"/>
          <w:szCs w:val="14"/>
          <w:b w:val="1"/>
          <w:bCs w:val="1"/>
          <w:color w:val="auto"/>
        </w:rPr>
        <w:t>001-37985</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20-3828755</w:t>
      </w:r>
    </w:p>
    <w:p>
      <w:pPr>
        <w:spacing w:after="0" w:line="44" w:lineRule="exact"/>
        <w:rPr>
          <w:sz w:val="24"/>
          <w:szCs w:val="24"/>
          <w:color w:val="auto"/>
        </w:rPr>
      </w:pPr>
    </w:p>
    <w:p>
      <w:pPr>
        <w:sectPr>
          <w:pgSz w:w="11900" w:h="16838" w:orient="portrait"/>
          <w:cols w:equalWidth="0" w:num="3">
            <w:col w:w="4620" w:space="720"/>
            <w:col w:w="2920" w:space="720"/>
            <w:col w:w="2300"/>
          </w:cols>
          <w:pgMar w:left="300" w:top="1222" w:right="31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100" w:space="720"/>
            <w:col w:w="2740" w:space="720"/>
            <w:col w:w="3000"/>
          </w:cols>
          <w:pgMar w:left="300" w:top="1222" w:right="319" w:bottom="1440" w:gutter="0" w:footer="0" w:header="0"/>
          <w:type w:val="continuous"/>
        </w:sectPr>
      </w:pPr>
    </w:p>
    <w:p>
      <w:pPr>
        <w:spacing w:after="0" w:line="82" w:lineRule="exact"/>
        <w:rPr>
          <w:sz w:val="24"/>
          <w:szCs w:val="24"/>
          <w:color w:val="auto"/>
        </w:rPr>
      </w:pPr>
    </w:p>
    <w:p>
      <w:pPr>
        <w:ind w:left="4500"/>
        <w:spacing w:after="0"/>
        <w:rPr>
          <w:sz w:val="20"/>
          <w:szCs w:val="20"/>
          <w:color w:val="auto"/>
        </w:rPr>
      </w:pPr>
      <w:r>
        <w:rPr>
          <w:rFonts w:ascii="Times New Roman" w:cs="Times New Roman" w:eastAsia="Times New Roman" w:hAnsi="Times New Roman"/>
          <w:sz w:val="16"/>
          <w:szCs w:val="16"/>
          <w:b w:val="1"/>
          <w:bCs w:val="1"/>
          <w:color w:val="auto"/>
        </w:rPr>
        <w:t>10770 Wateridge Circle, Suite 210,</w:t>
      </w:r>
    </w:p>
    <w:p>
      <w:pPr>
        <w:spacing w:after="0" w:line="19" w:lineRule="exact"/>
        <w:rPr>
          <w:sz w:val="24"/>
          <w:szCs w:val="24"/>
          <w:color w:val="auto"/>
        </w:rPr>
      </w:pPr>
    </w:p>
    <w:p>
      <w:pPr>
        <w:ind w:left="4940"/>
        <w:spacing w:after="0"/>
        <w:rPr>
          <w:sz w:val="20"/>
          <w:szCs w:val="20"/>
          <w:color w:val="auto"/>
        </w:rPr>
      </w:pPr>
      <w:r>
        <w:rPr>
          <w:rFonts w:ascii="Times New Roman" w:cs="Times New Roman" w:eastAsia="Times New Roman" w:hAnsi="Times New Roman"/>
          <w:sz w:val="16"/>
          <w:szCs w:val="16"/>
          <w:b w:val="1"/>
          <w:bCs w:val="1"/>
          <w:color w:val="auto"/>
        </w:rPr>
        <w:t>San Diego, CA 92121</w:t>
      </w:r>
    </w:p>
    <w:p>
      <w:pPr>
        <w:jc w:val="center"/>
        <w:spacing w:after="0"/>
        <w:rPr>
          <w:sz w:val="20"/>
          <w:szCs w:val="20"/>
          <w:color w:val="auto"/>
        </w:rPr>
      </w:pPr>
      <w:r>
        <w:rPr>
          <w:rFonts w:ascii="Times New Roman" w:cs="Times New Roman" w:eastAsia="Times New Roman" w:hAnsi="Times New Roman"/>
          <w:sz w:val="11"/>
          <w:szCs w:val="11"/>
          <w:color w:val="auto"/>
        </w:rPr>
        <w:t>(Address of Principal Executive Offices, and Zip Code)</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(858) 362-6295</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(Registrant’s Telephone Number, Including Area Code)</w:t>
      </w:r>
    </w:p>
    <w:p>
      <w:pPr>
        <w:spacing w:after="0" w:line="1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color w:val="auto"/>
        </w:rPr>
        <w:t>(Former name or former address, if changed since last report.)</w:t>
      </w:r>
    </w:p>
    <w:p>
      <w:pPr>
        <w:sectPr>
          <w:pgSz w:w="11900" w:h="16838" w:orient="portrait"/>
          <w:cols w:equalWidth="0" w:num="1">
            <w:col w:w="11280"/>
          </w:cols>
          <w:pgMar w:left="300" w:top="1222" w:right="319" w:bottom="1440" w:gutter="0" w:footer="0" w:header="0"/>
          <w:type w:val="continuous"/>
        </w:sectPr>
      </w:pP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 (see General Instruction A.2.</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below):</w:t>
      </w:r>
    </w:p>
    <w:p>
      <w:pPr>
        <w:spacing w:after="0" w:line="154"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Written communication pursuant to Rule 425 under the Securities Act (17 CFR 230.425)</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Soliciting material pursuant to Rule 14a-12 under the Exchange Act (17 CFR 240.14a-12)</w:t>
      </w:r>
    </w:p>
    <w:p>
      <w:pPr>
        <w:spacing w:after="0" w:line="4"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Pre-commencement communication pursuant to Rule 14d-2(b) under the Exchange Act (17 CFR 240.14d-2(b))</w:t>
      </w:r>
    </w:p>
    <w:p>
      <w:pPr>
        <w:spacing w:after="0" w:line="14" w:lineRule="exact"/>
        <w:rPr>
          <w:sz w:val="24"/>
          <w:szCs w:val="24"/>
          <w:color w:val="auto"/>
        </w:rPr>
      </w:pPr>
    </w:p>
    <w:p>
      <w:pPr>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Pre-commencement communication pursuant to Rule 13e-4(c) under the Exchange Act (17 CFR 240.13e-4(c))</w:t>
      </w:r>
    </w:p>
    <w:p>
      <w:pPr>
        <w:spacing w:after="0" w:line="78"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99" w:lineRule="exact"/>
        <w:rPr>
          <w:sz w:val="24"/>
          <w:szCs w:val="24"/>
          <w:color w:val="auto"/>
        </w:rPr>
      </w:pPr>
    </w:p>
    <w:tbl>
      <w:tblPr>
        <w:tblLayout w:type="fixed"/>
        <w:tblInd w:w="190" w:type="dxa"/>
        <w:tblCellMar>
          <w:top w:w="0" w:type="dxa"/>
          <w:left w:w="0" w:type="dxa"/>
          <w:bottom w:w="0" w:type="dxa"/>
          <w:right w:w="0" w:type="dxa"/>
        </w:tblCellMar>
      </w:tblPr>
      <w:tr>
        <w:trPr>
          <w:trHeight w:val="195"/>
        </w:trPr>
        <w:tc>
          <w:tcPr>
            <w:tcW w:w="400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8"/>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Trading Symbol(s)</w:t>
            </w:r>
          </w:p>
        </w:tc>
        <w:tc>
          <w:tcPr>
            <w:tcW w:w="48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8"/>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r>
      <w:tr>
        <w:trPr>
          <w:trHeight w:val="175"/>
        </w:trPr>
        <w:tc>
          <w:tcPr>
            <w:tcW w:w="400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$0.001 per share</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ANAB</w:t>
            </w:r>
          </w:p>
        </w:tc>
        <w:tc>
          <w:tcPr>
            <w:tcW w:w="48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8"/>
        </w:trPr>
        <w:tc>
          <w:tcPr>
            <w:tcW w:w="400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86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4"/>
          <w:szCs w:val="24"/>
          <w:color w:val="auto"/>
        </w:rPr>
      </w:pPr>
    </w:p>
    <w:p>
      <w:pPr>
        <w:ind w:right="100"/>
        <w:spacing w:after="0" w:line="271"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25" w:lineRule="exact"/>
        <w:rPr>
          <w:sz w:val="24"/>
          <w:szCs w:val="24"/>
          <w:color w:val="auto"/>
        </w:rPr>
      </w:pPr>
    </w:p>
    <w:p>
      <w:pPr>
        <w:ind w:left="958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pacing w:after="0" w:line="242" w:lineRule="exact"/>
        <w:rPr>
          <w:sz w:val="24"/>
          <w:szCs w:val="24"/>
          <w:color w:val="auto"/>
        </w:rPr>
      </w:pPr>
    </w:p>
    <w:p>
      <w:pPr>
        <w:ind w:right="220"/>
        <w:spacing w:after="0" w:line="188"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674370</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22" w:right="319" w:bottom="1440" w:gutter="0" w:footer="0" w:header="0"/>
          <w:type w:val="continuous"/>
        </w:sectPr>
      </w:pPr>
    </w:p>
    <w:bookmarkStart w:id="1" w:name="page2"/>
    <w:bookmarkEnd w:id="1"/>
    <w:p>
      <w:pPr>
        <w:spacing w:after="0"/>
        <w:tabs>
          <w:tab w:leader="none" w:pos="840" w:val="left"/>
        </w:tabs>
        <w:rPr>
          <w:sz w:val="20"/>
          <w:szCs w:val="20"/>
          <w:color w:val="auto"/>
        </w:rPr>
      </w:pPr>
      <w:r>
        <w:rPr>
          <w:rFonts w:ascii="Times New Roman" w:cs="Times New Roman" w:eastAsia="Times New Roman" w:hAnsi="Times New Roman"/>
          <w:sz w:val="16"/>
          <w:szCs w:val="16"/>
          <w:b w:val="1"/>
          <w:bCs w:val="1"/>
          <w:color w:val="auto"/>
        </w:rPr>
        <w:t>Item 5.07.</w:t>
      </w:r>
      <w:r>
        <w:rPr>
          <w:sz w:val="20"/>
          <w:szCs w:val="20"/>
          <w:color w:val="auto"/>
        </w:rPr>
        <w:tab/>
      </w:r>
      <w:r>
        <w:rPr>
          <w:rFonts w:ascii="Times New Roman" w:cs="Times New Roman" w:eastAsia="Times New Roman" w:hAnsi="Times New Roman"/>
          <w:sz w:val="14"/>
          <w:szCs w:val="14"/>
          <w:b w:val="1"/>
          <w:bCs w:val="1"/>
          <w:color w:val="auto"/>
        </w:rPr>
        <w:t>Submission of Matters to a Vote of Security Holders.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On June 12, 2024, AnaptysBio,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held its 2024 Annual Meeting of Stockholders and the following proposals were adopted:</w:t>
      </w:r>
    </w:p>
    <w:p>
      <w:pPr>
        <w:spacing w:after="0" w:line="200" w:lineRule="exact"/>
        <w:rPr>
          <w:sz w:val="20"/>
          <w:szCs w:val="20"/>
          <w:color w:val="auto"/>
        </w:rPr>
      </w:pPr>
    </w:p>
    <w:p>
      <w:pPr>
        <w:ind w:left="520" w:hanging="260"/>
        <w:spacing w:after="0" w:line="273" w:lineRule="auto"/>
        <w:tabs>
          <w:tab w:leader="none" w:pos="52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Election of three Class I directors, Daniel Faga, Dennis Fenton, Ph.D., and Oleg Nodelman, each to serve a three-year term, which will expire at the 2027 Annual Meeting of Stockholders or until such time as his or her respective successor has been duly elected and qualified or until such director’s earlier resignation or removal:</w:t>
      </w:r>
    </w:p>
    <w:p>
      <w:pPr>
        <w:spacing w:after="0" w:line="178" w:lineRule="exact"/>
        <w:rPr>
          <w:sz w:val="20"/>
          <w:szCs w:val="20"/>
          <w:color w:val="auto"/>
        </w:rPr>
      </w:pPr>
    </w:p>
    <w:tbl>
      <w:tblPr>
        <w:tblLayout w:type="fixed"/>
        <w:tblInd w:w="520" w:type="dxa"/>
        <w:tblCellMar>
          <w:top w:w="0" w:type="dxa"/>
          <w:left w:w="0" w:type="dxa"/>
          <w:bottom w:w="0" w:type="dxa"/>
          <w:right w:w="0" w:type="dxa"/>
        </w:tblCellMar>
      </w:tblPr>
      <w:tr>
        <w:trPr>
          <w:trHeight w:val="186"/>
        </w:trPr>
        <w:tc>
          <w:tcPr>
            <w:tcW w:w="33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Nominees</w:t>
            </w:r>
          </w:p>
        </w:tc>
        <w:tc>
          <w:tcPr>
            <w:tcW w:w="2260" w:type="dxa"/>
            <w:vAlign w:val="bottom"/>
            <w:gridSpan w:val="2"/>
          </w:tcPr>
          <w:p>
            <w:pPr>
              <w:ind w:left="760"/>
              <w:spacing w:after="0"/>
              <w:rPr>
                <w:sz w:val="20"/>
                <w:szCs w:val="20"/>
                <w:color w:val="auto"/>
              </w:rPr>
            </w:pPr>
            <w:r>
              <w:rPr>
                <w:rFonts w:ascii="Times New Roman" w:cs="Times New Roman" w:eastAsia="Times New Roman" w:hAnsi="Times New Roman"/>
                <w:sz w:val="14"/>
                <w:szCs w:val="14"/>
                <w:b w:val="1"/>
                <w:bCs w:val="1"/>
                <w:color w:val="auto"/>
              </w:rPr>
              <w:t>Shares For</w:t>
            </w:r>
          </w:p>
        </w:tc>
        <w:tc>
          <w:tcPr>
            <w:tcW w:w="228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Shares Withheld / Abstaining</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Broker Non-Votes</w:t>
            </w:r>
          </w:p>
        </w:tc>
      </w:tr>
      <w:tr>
        <w:trPr>
          <w:trHeight w:val="22"/>
        </w:trPr>
        <w:tc>
          <w:tcPr>
            <w:tcW w:w="3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195"/>
        </w:trPr>
        <w:tc>
          <w:tcPr>
            <w:tcW w:w="334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6"/>
                <w:szCs w:val="16"/>
                <w:color w:val="auto"/>
                <w:w w:val="97"/>
              </w:rPr>
              <w:t>Daniel Faga</w:t>
            </w:r>
          </w:p>
        </w:tc>
        <w:tc>
          <w:tcPr>
            <w:tcW w:w="21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22,287,039</w:t>
            </w:r>
          </w:p>
        </w:tc>
        <w:tc>
          <w:tcPr>
            <w:tcW w:w="100" w:type="dxa"/>
            <w:vAlign w:val="bottom"/>
            <w:shd w:val="clear" w:color="auto" w:fill="CCEEFF"/>
          </w:tcPr>
          <w:p>
            <w:pPr>
              <w:spacing w:after="0"/>
              <w:rPr>
                <w:sz w:val="16"/>
                <w:szCs w:val="16"/>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545,311</w:t>
            </w: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1,943,741</w:t>
            </w:r>
          </w:p>
        </w:tc>
      </w:tr>
      <w:tr>
        <w:trPr>
          <w:trHeight w:val="209"/>
        </w:trPr>
        <w:tc>
          <w:tcPr>
            <w:tcW w:w="33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w w:val="96"/>
              </w:rPr>
              <w:t>Dennis Fenton, Ph.D.</w:t>
            </w:r>
          </w:p>
        </w:tc>
        <w:tc>
          <w:tcPr>
            <w:tcW w:w="21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21,883,756</w:t>
            </w:r>
          </w:p>
        </w:tc>
        <w:tc>
          <w:tcPr>
            <w:tcW w:w="1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948,594</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1,943,741</w:t>
            </w:r>
          </w:p>
        </w:tc>
      </w:tr>
      <w:tr>
        <w:trPr>
          <w:trHeight w:val="216"/>
        </w:trPr>
        <w:tc>
          <w:tcPr>
            <w:tcW w:w="33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w w:val="96"/>
              </w:rPr>
              <w:t>Oleg Nodelman</w:t>
            </w:r>
          </w:p>
        </w:tc>
        <w:tc>
          <w:tcPr>
            <w:tcW w:w="216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4"/>
                <w:szCs w:val="14"/>
                <w:color w:val="auto"/>
              </w:rPr>
              <w:t>18,793,914</w:t>
            </w:r>
          </w:p>
        </w:tc>
        <w:tc>
          <w:tcPr>
            <w:tcW w:w="100" w:type="dxa"/>
            <w:vAlign w:val="bottom"/>
            <w:shd w:val="clear" w:color="auto" w:fill="CCEEFF"/>
          </w:tcPr>
          <w:p>
            <w:pPr>
              <w:spacing w:after="0"/>
              <w:rPr>
                <w:sz w:val="18"/>
                <w:szCs w:val="18"/>
                <w:color w:val="auto"/>
              </w:rPr>
            </w:pPr>
          </w:p>
        </w:tc>
        <w:tc>
          <w:tcPr>
            <w:tcW w:w="21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3,885,244</w:t>
            </w:r>
          </w:p>
        </w:tc>
        <w:tc>
          <w:tcPr>
            <w:tcW w:w="10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2,096,933</w:t>
            </w:r>
          </w:p>
        </w:tc>
      </w:tr>
    </w:tbl>
    <w:p>
      <w:pPr>
        <w:spacing w:after="0" w:line="247"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6"/>
          <w:szCs w:val="16"/>
          <w:color w:val="auto"/>
        </w:rPr>
        <w:t>2.</w:t>
      </w:r>
      <w:r>
        <w:rPr>
          <w:sz w:val="20"/>
          <w:szCs w:val="20"/>
          <w:color w:val="auto"/>
        </w:rPr>
        <w:tab/>
      </w:r>
      <w:r>
        <w:rPr>
          <w:rFonts w:ascii="Times New Roman" w:cs="Times New Roman" w:eastAsia="Times New Roman" w:hAnsi="Times New Roman"/>
          <w:sz w:val="14"/>
          <w:szCs w:val="14"/>
          <w:color w:val="auto"/>
        </w:rPr>
        <w:t>Ratification of the appointment of KPMG LLP as the Company’s independent registered public accounting firm for the fiscal year ending December 31, 2024:</w:t>
      </w:r>
    </w:p>
    <w:p>
      <w:pPr>
        <w:spacing w:after="0" w:line="221" w:lineRule="exact"/>
        <w:rPr>
          <w:sz w:val="20"/>
          <w:szCs w:val="20"/>
          <w:color w:val="auto"/>
        </w:rPr>
      </w:pPr>
    </w:p>
    <w:tbl>
      <w:tblPr>
        <w:tblLayout w:type="fixed"/>
        <w:tblInd w:w="520" w:type="dxa"/>
        <w:tblCellMar>
          <w:top w:w="0" w:type="dxa"/>
          <w:left w:w="0" w:type="dxa"/>
          <w:bottom w:w="0" w:type="dxa"/>
          <w:right w:w="0" w:type="dxa"/>
        </w:tblCellMar>
      </w:tblPr>
      <w:tr>
        <w:trPr>
          <w:trHeight w:val="186"/>
        </w:trPr>
        <w:tc>
          <w:tcPr>
            <w:tcW w:w="3320" w:type="dxa"/>
            <w:vAlign w:val="bottom"/>
            <w:gridSpan w:val="2"/>
          </w:tcPr>
          <w:p>
            <w:pPr>
              <w:ind w:left="1280"/>
              <w:spacing w:after="0"/>
              <w:rPr>
                <w:sz w:val="20"/>
                <w:szCs w:val="20"/>
                <w:color w:val="auto"/>
              </w:rPr>
            </w:pPr>
            <w:r>
              <w:rPr>
                <w:rFonts w:ascii="Times New Roman" w:cs="Times New Roman" w:eastAsia="Times New Roman" w:hAnsi="Times New Roman"/>
                <w:sz w:val="14"/>
                <w:szCs w:val="14"/>
                <w:b w:val="1"/>
                <w:bCs w:val="1"/>
                <w:color w:val="auto"/>
              </w:rPr>
              <w:t>Shares For</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Against</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Withheld/Abstaining</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Broker Non-Votes</w:t>
            </w:r>
          </w:p>
        </w:tc>
      </w:tr>
      <w:tr>
        <w:trPr>
          <w:trHeight w:val="22"/>
        </w:trPr>
        <w:tc>
          <w:tcPr>
            <w:tcW w:w="3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20"/>
        </w:trPr>
        <w:tc>
          <w:tcPr>
            <w:tcW w:w="3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r>
      <w:tr>
        <w:trPr>
          <w:trHeight w:val="184"/>
        </w:trPr>
        <w:tc>
          <w:tcPr>
            <w:tcW w:w="3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24,744,224</w:t>
            </w: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809"/>
              <w:spacing w:after="0"/>
              <w:rPr>
                <w:sz w:val="20"/>
                <w:szCs w:val="20"/>
                <w:color w:val="auto"/>
              </w:rPr>
            </w:pPr>
            <w:r>
              <w:rPr>
                <w:rFonts w:ascii="Times New Roman" w:cs="Times New Roman" w:eastAsia="Times New Roman" w:hAnsi="Times New Roman"/>
                <w:sz w:val="14"/>
                <w:szCs w:val="14"/>
                <w:color w:val="auto"/>
              </w:rPr>
              <w:t>30,261</w:t>
            </w: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1,606</w:t>
            </w: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r>
    </w:tbl>
    <w:p>
      <w:pPr>
        <w:spacing w:after="0" w:line="247"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6"/>
          <w:szCs w:val="16"/>
          <w:color w:val="auto"/>
        </w:rPr>
        <w:t>3.</w:t>
      </w:r>
      <w:r>
        <w:rPr>
          <w:sz w:val="20"/>
          <w:szCs w:val="20"/>
          <w:color w:val="auto"/>
        </w:rPr>
        <w:tab/>
      </w:r>
      <w:r>
        <w:rPr>
          <w:rFonts w:ascii="Times New Roman" w:cs="Times New Roman" w:eastAsia="Times New Roman" w:hAnsi="Times New Roman"/>
          <w:sz w:val="14"/>
          <w:szCs w:val="14"/>
          <w:color w:val="auto"/>
        </w:rPr>
        <w:t>Non-binding, advisory approval of compensation paid to the Company’s named executive officers:</w:t>
      </w:r>
    </w:p>
    <w:p>
      <w:pPr>
        <w:spacing w:after="0" w:line="232" w:lineRule="exact"/>
        <w:rPr>
          <w:sz w:val="20"/>
          <w:szCs w:val="20"/>
          <w:color w:val="auto"/>
        </w:rPr>
      </w:pPr>
    </w:p>
    <w:tbl>
      <w:tblPr>
        <w:tblLayout w:type="fixed"/>
        <w:tblInd w:w="520" w:type="dxa"/>
        <w:tblCellMar>
          <w:top w:w="0" w:type="dxa"/>
          <w:left w:w="0" w:type="dxa"/>
          <w:bottom w:w="0" w:type="dxa"/>
          <w:right w:w="0" w:type="dxa"/>
        </w:tblCellMar>
      </w:tblPr>
      <w:tr>
        <w:trPr>
          <w:trHeight w:val="186"/>
        </w:trPr>
        <w:tc>
          <w:tcPr>
            <w:tcW w:w="3320" w:type="dxa"/>
            <w:vAlign w:val="bottom"/>
            <w:gridSpan w:val="2"/>
          </w:tcPr>
          <w:p>
            <w:pPr>
              <w:ind w:left="1280"/>
              <w:spacing w:after="0"/>
              <w:rPr>
                <w:sz w:val="20"/>
                <w:szCs w:val="20"/>
                <w:color w:val="auto"/>
              </w:rPr>
            </w:pPr>
            <w:r>
              <w:rPr>
                <w:rFonts w:ascii="Times New Roman" w:cs="Times New Roman" w:eastAsia="Times New Roman" w:hAnsi="Times New Roman"/>
                <w:sz w:val="14"/>
                <w:szCs w:val="14"/>
                <w:b w:val="1"/>
                <w:bCs w:val="1"/>
                <w:color w:val="auto"/>
              </w:rPr>
              <w:t>Shares For</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Against</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Withheld/Abstaining</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Broker Non-Votes</w:t>
            </w:r>
          </w:p>
        </w:tc>
      </w:tr>
      <w:tr>
        <w:trPr>
          <w:trHeight w:val="20"/>
        </w:trPr>
        <w:tc>
          <w:tcPr>
            <w:tcW w:w="3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r>
      <w:tr>
        <w:trPr>
          <w:trHeight w:val="184"/>
        </w:trPr>
        <w:tc>
          <w:tcPr>
            <w:tcW w:w="3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19,874,097</w:t>
            </w: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2,954,956</w:t>
            </w: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849"/>
              <w:spacing w:after="0"/>
              <w:rPr>
                <w:sz w:val="20"/>
                <w:szCs w:val="20"/>
                <w:color w:val="auto"/>
              </w:rPr>
            </w:pPr>
            <w:r>
              <w:rPr>
                <w:rFonts w:ascii="Times New Roman" w:cs="Times New Roman" w:eastAsia="Times New Roman" w:hAnsi="Times New Roman"/>
                <w:sz w:val="14"/>
                <w:szCs w:val="14"/>
                <w:color w:val="auto"/>
              </w:rPr>
              <w:t>3,397</w:t>
            </w: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1,943,641</w:t>
            </w:r>
          </w:p>
        </w:tc>
      </w:tr>
    </w:tbl>
    <w:p>
      <w:pPr>
        <w:spacing w:after="0" w:line="236" w:lineRule="exact"/>
        <w:rPr>
          <w:sz w:val="20"/>
          <w:szCs w:val="20"/>
          <w:color w:val="auto"/>
        </w:rPr>
      </w:pPr>
    </w:p>
    <w:p>
      <w:pPr>
        <w:ind w:left="260"/>
        <w:spacing w:after="0"/>
        <w:tabs>
          <w:tab w:leader="none" w:pos="500" w:val="left"/>
        </w:tabs>
        <w:rPr>
          <w:sz w:val="20"/>
          <w:szCs w:val="20"/>
          <w:color w:val="auto"/>
        </w:rPr>
      </w:pPr>
      <w:r>
        <w:rPr>
          <w:rFonts w:ascii="Times New Roman" w:cs="Times New Roman" w:eastAsia="Times New Roman" w:hAnsi="Times New Roman"/>
          <w:sz w:val="16"/>
          <w:szCs w:val="16"/>
          <w:color w:val="auto"/>
        </w:rPr>
        <w:t>4.</w:t>
      </w:r>
      <w:r>
        <w:rPr>
          <w:sz w:val="20"/>
          <w:szCs w:val="20"/>
          <w:color w:val="auto"/>
        </w:rPr>
        <w:tab/>
      </w:r>
      <w:r>
        <w:rPr>
          <w:rFonts w:ascii="Times New Roman" w:cs="Times New Roman" w:eastAsia="Times New Roman" w:hAnsi="Times New Roman"/>
          <w:sz w:val="14"/>
          <w:szCs w:val="14"/>
          <w:color w:val="auto"/>
        </w:rPr>
        <w:t>Approval of the amendment and restatement of the Company's 2017 Equity Incentive Plan:</w:t>
      </w:r>
    </w:p>
    <w:p>
      <w:pPr>
        <w:spacing w:after="0" w:line="232" w:lineRule="exact"/>
        <w:rPr>
          <w:sz w:val="20"/>
          <w:szCs w:val="20"/>
          <w:color w:val="auto"/>
        </w:rPr>
      </w:pPr>
    </w:p>
    <w:tbl>
      <w:tblPr>
        <w:tblLayout w:type="fixed"/>
        <w:tblInd w:w="520" w:type="dxa"/>
        <w:tblCellMar>
          <w:top w:w="0" w:type="dxa"/>
          <w:left w:w="0" w:type="dxa"/>
          <w:bottom w:w="0" w:type="dxa"/>
          <w:right w:w="0" w:type="dxa"/>
        </w:tblCellMar>
      </w:tblPr>
      <w:tr>
        <w:trPr>
          <w:trHeight w:val="186"/>
        </w:trPr>
        <w:tc>
          <w:tcPr>
            <w:tcW w:w="3320" w:type="dxa"/>
            <w:vAlign w:val="bottom"/>
            <w:gridSpan w:val="2"/>
          </w:tcPr>
          <w:p>
            <w:pPr>
              <w:ind w:left="1280"/>
              <w:spacing w:after="0"/>
              <w:rPr>
                <w:sz w:val="20"/>
                <w:szCs w:val="20"/>
                <w:color w:val="auto"/>
              </w:rPr>
            </w:pPr>
            <w:r>
              <w:rPr>
                <w:rFonts w:ascii="Times New Roman" w:cs="Times New Roman" w:eastAsia="Times New Roman" w:hAnsi="Times New Roman"/>
                <w:sz w:val="14"/>
                <w:szCs w:val="14"/>
                <w:b w:val="1"/>
                <w:bCs w:val="1"/>
                <w:color w:val="auto"/>
              </w:rPr>
              <w:t>Shares For</w:t>
            </w:r>
          </w:p>
        </w:tc>
        <w:tc>
          <w:tcPr>
            <w:tcW w:w="22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Against</w:t>
            </w:r>
          </w:p>
        </w:tc>
        <w:tc>
          <w:tcPr>
            <w:tcW w:w="22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 Withheld/Abstaining</w:t>
            </w:r>
          </w:p>
        </w:tc>
        <w:tc>
          <w:tcPr>
            <w:tcW w:w="2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Broker Non-Votes</w:t>
            </w:r>
          </w:p>
        </w:tc>
      </w:tr>
      <w:tr>
        <w:trPr>
          <w:trHeight w:val="20"/>
        </w:trPr>
        <w:tc>
          <w:tcPr>
            <w:tcW w:w="3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r>
      <w:tr>
        <w:trPr>
          <w:trHeight w:val="184"/>
        </w:trPr>
        <w:tc>
          <w:tcPr>
            <w:tcW w:w="322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4"/>
                <w:szCs w:val="14"/>
                <w:color w:val="auto"/>
              </w:rPr>
              <w:t>16,839,857</w:t>
            </w: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4,686,098</w:t>
            </w:r>
          </w:p>
        </w:tc>
        <w:tc>
          <w:tcPr>
            <w:tcW w:w="10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709"/>
              <w:spacing w:after="0"/>
              <w:rPr>
                <w:sz w:val="20"/>
                <w:szCs w:val="20"/>
                <w:color w:val="auto"/>
              </w:rPr>
            </w:pPr>
            <w:r>
              <w:rPr>
                <w:rFonts w:ascii="Times New Roman" w:cs="Times New Roman" w:eastAsia="Times New Roman" w:hAnsi="Times New Roman"/>
                <w:sz w:val="14"/>
                <w:szCs w:val="14"/>
                <w:color w:val="auto"/>
              </w:rPr>
              <w:t>1,306,496</w:t>
            </w:r>
          </w:p>
        </w:tc>
        <w:tc>
          <w:tcPr>
            <w:tcW w:w="120" w:type="dxa"/>
            <w:vAlign w:val="bottom"/>
            <w:shd w:val="clear" w:color="auto" w:fill="CCEEFF"/>
          </w:tcPr>
          <w:p>
            <w:pPr>
              <w:spacing w:after="0"/>
              <w:rPr>
                <w:sz w:val="16"/>
                <w:szCs w:val="16"/>
                <w:color w:val="auto"/>
              </w:rPr>
            </w:pPr>
          </w:p>
        </w:tc>
        <w:tc>
          <w:tcPr>
            <w:tcW w:w="2160" w:type="dxa"/>
            <w:vAlign w:val="bottom"/>
            <w:shd w:val="clear" w:color="auto" w:fill="CCEEFF"/>
          </w:tcPr>
          <w:p>
            <w:pPr>
              <w:jc w:val="right"/>
              <w:ind w:right="729"/>
              <w:spacing w:after="0"/>
              <w:rPr>
                <w:sz w:val="20"/>
                <w:szCs w:val="20"/>
                <w:color w:val="auto"/>
              </w:rPr>
            </w:pPr>
            <w:r>
              <w:rPr>
                <w:rFonts w:ascii="Times New Roman" w:cs="Times New Roman" w:eastAsia="Times New Roman" w:hAnsi="Times New Roman"/>
                <w:sz w:val="14"/>
                <w:szCs w:val="14"/>
                <w:color w:val="auto"/>
              </w:rPr>
              <w:t>1,943,640</w:t>
            </w:r>
          </w:p>
        </w:tc>
      </w:tr>
    </w:tbl>
    <w:p>
      <w:pPr>
        <w:spacing w:after="0" w:line="245"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6"/>
          <w:szCs w:val="16"/>
          <w:b w:val="1"/>
          <w:bCs w:val="1"/>
          <w:color w:val="auto"/>
        </w:rPr>
        <w:t>Item 9.01.</w:t>
      </w:r>
      <w:r>
        <w:rPr>
          <w:sz w:val="20"/>
          <w:szCs w:val="20"/>
          <w:color w:val="auto"/>
        </w:rPr>
        <w:tab/>
      </w:r>
      <w:r>
        <w:rPr>
          <w:rFonts w:ascii="Times New Roman" w:cs="Times New Roman" w:eastAsia="Times New Roman" w:hAnsi="Times New Roman"/>
          <w:sz w:val="14"/>
          <w:szCs w:val="14"/>
          <w:b w:val="1"/>
          <w:bCs w:val="1"/>
          <w:color w:val="auto"/>
        </w:rPr>
        <w:t>Financial Statements and Exhibits.</w:t>
      </w:r>
    </w:p>
    <w:p>
      <w:pPr>
        <w:spacing w:after="0" w:line="179" w:lineRule="exact"/>
        <w:rPr>
          <w:sz w:val="20"/>
          <w:szCs w:val="20"/>
          <w:color w:val="auto"/>
        </w:rPr>
      </w:pPr>
    </w:p>
    <w:p>
      <w:pPr>
        <w:ind w:left="860" w:hanging="346"/>
        <w:spacing w:after="0"/>
        <w:tabs>
          <w:tab w:leader="none" w:pos="8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Exhibits.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10.1</w:t>
            </w:r>
          </w:p>
        </w:tc>
        <w:tc>
          <w:tcPr>
            <w:tcW w:w="32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6"/>
                <w:szCs w:val="16"/>
                <w:color w:val="0000FF"/>
                <w:w w:val="96"/>
              </w:rPr>
              <w:t>Amended and Restated 2017 Equity Incentive Plan.</w:t>
            </w:r>
          </w:p>
        </w:tc>
        <w:tc>
          <w:tcPr>
            <w:tcW w:w="6220" w:type="dxa"/>
            <w:vAlign w:val="bottom"/>
          </w:tcPr>
          <w:p>
            <w:pPr>
              <w:spacing w:after="0"/>
              <w:rPr>
                <w:sz w:val="16"/>
                <w:szCs w:val="16"/>
                <w:color w:val="auto"/>
              </w:rPr>
            </w:pPr>
          </w:p>
        </w:tc>
      </w:tr>
      <w:tr>
        <w:trPr>
          <w:trHeight w:val="217"/>
        </w:trPr>
        <w:tc>
          <w:tcPr>
            <w:tcW w:w="1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104</w:t>
            </w:r>
          </w:p>
        </w:tc>
        <w:tc>
          <w:tcPr>
            <w:tcW w:w="94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Cover Page Interactive Data File - the cover page XBRL tags are embedded within the Inline XBRL document.</w:t>
            </w:r>
          </w:p>
        </w:tc>
      </w:tr>
      <w:tr>
        <w:trPr>
          <w:trHeight w:val="1260"/>
        </w:trPr>
        <w:tc>
          <w:tcPr>
            <w:tcW w:w="184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6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37" w:right="3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327"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36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6"/>
          <w:szCs w:val="16"/>
          <w:color w:val="auto"/>
        </w:rPr>
        <w:t>AnaptysBio, Inc.</w:t>
      </w:r>
    </w:p>
    <w:p>
      <w:pPr>
        <w:spacing w:after="0" w:line="19" w:lineRule="exact"/>
        <w:rPr>
          <w:sz w:val="20"/>
          <w:szCs w:val="20"/>
          <w:color w:val="auto"/>
        </w:rPr>
      </w:pPr>
    </w:p>
    <w:p>
      <w:pPr>
        <w:ind w:left="20"/>
        <w:spacing w:after="0"/>
        <w:tabs>
          <w:tab w:leader="none" w:pos="4220" w:val="left"/>
          <w:tab w:leader="none" w:pos="4780" w:val="left"/>
        </w:tabs>
        <w:rPr>
          <w:sz w:val="20"/>
          <w:szCs w:val="20"/>
          <w:color w:val="auto"/>
        </w:rPr>
      </w:pPr>
      <w:r>
        <w:rPr>
          <w:rFonts w:ascii="Times New Roman" w:cs="Times New Roman" w:eastAsia="Times New Roman" w:hAnsi="Times New Roman"/>
          <w:sz w:val="16"/>
          <w:szCs w:val="16"/>
          <w:color w:val="auto"/>
        </w:rPr>
        <w:t>Date: June 12, 2024</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4"/>
          <w:szCs w:val="14"/>
          <w:color w:val="auto"/>
        </w:rPr>
        <w:t>/s/ Eric Loumeau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3041650</wp:posOffset>
            </wp:positionH>
            <wp:positionV relativeFrom="paragraph">
              <wp:posOffset>15875</wp:posOffset>
            </wp:positionV>
            <wp:extent cx="412305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123055" cy="6985"/>
                    </a:xfrm>
                    <a:prstGeom prst="rect">
                      <a:avLst/>
                    </a:prstGeom>
                    <a:noFill/>
                  </pic:spPr>
                </pic:pic>
              </a:graphicData>
            </a:graphic>
          </wp:anchor>
        </w:drawing>
      </w:r>
    </w:p>
    <w:p>
      <w:pPr>
        <w:spacing w:after="0" w:line="1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Name: Eric Loumeau</w:t>
      </w:r>
    </w:p>
    <w:p>
      <w:pPr>
        <w:spacing w:after="0" w:line="28"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6"/>
          <w:szCs w:val="16"/>
          <w:color w:val="auto"/>
        </w:rPr>
        <w:t>Title: Chief Legal Officer</w:t>
      </w:r>
    </w:p>
    <w:p>
      <w:pPr>
        <w:sectPr>
          <w:pgSz w:w="11900" w:h="16838" w:orient="portrait"/>
          <w:cols w:equalWidth="0" w:num="1">
            <w:col w:w="11280"/>
          </w:cols>
          <w:pgMar w:left="300" w:top="1137" w:right="3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2024-06-12T15:11:21Z</dcterms:created>
  <dcterms:modified xsi:type="dcterms:W3CDTF">2024-06-12T15:11:21Z</dcterms:modified>
</cp:coreProperties>
</file>