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nab-20260921.htm"/>
      <w:bookmarkStart w:id="1" w:name="ksanab2026092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ANAPTYSBIO,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20-3828755</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September 21, 2026, AnaptysBio, Inc. (“AnaptysBio”) issued a press release announcing its financial results for the three months and transitional fiscal year ended June 30, 2026. A copy of the press release is attached as Exhibit 99.1 to this Current Report on Form 8-K.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1315"/>
        <w:gridCol w:w="8890"/>
      </w:tblGrid>
      <w:tr>
        <w:trPr/>
        <w:tc>
          <w:tcPr>
            <w:tcW w:w="1315" w:type="dxa"/>
            <w:tcBorders/>
            <w:vAlign w:val="center"/>
          </w:tcPr>
          <w:p>
            <w:pPr>
              <w:pStyle w:val="TableContents"/>
              <w:bidi w:val="0"/>
              <w:spacing w:before="0" w:after="283"/>
              <w:jc w:val="left"/>
              <w:rPr>
                <w:sz w:val="4"/>
                <w:szCs w:val="4"/>
              </w:rPr>
            </w:pPr>
            <w:r>
              <w:rPr>
                <w:sz w:val="4"/>
                <w:szCs w:val="4"/>
              </w:rPr>
            </w:r>
          </w:p>
        </w:tc>
        <w:tc>
          <w:tcPr>
            <w:tcW w:w="8890" w:type="dxa"/>
            <w:tcBorders/>
            <w:vAlign w:val="center"/>
          </w:tcPr>
          <w:p>
            <w:pPr>
              <w:pStyle w:val="TableContents"/>
              <w:bidi w:val="0"/>
              <w:spacing w:before="0" w:after="283"/>
              <w:jc w:val="left"/>
              <w:rPr>
                <w:sz w:val="4"/>
                <w:szCs w:val="4"/>
              </w:rPr>
            </w:pPr>
            <w:r>
              <w:rPr>
                <w:sz w:val="4"/>
                <w:szCs w:val="4"/>
              </w:rPr>
            </w:r>
          </w:p>
        </w:tc>
      </w:tr>
      <w:tr>
        <w:trPr/>
        <w:tc>
          <w:tcPr>
            <w:tcW w:w="1315"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Number</w:t>
            </w:r>
          </w:p>
        </w:tc>
        <w:tc>
          <w:tcPr>
            <w:tcW w:w="889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2"/>
              </w:rPr>
            </w:pPr>
            <w:r>
              <w:rPr>
                <w:rFonts w:ascii="Times New Roman" w:hAnsi="Times New Roman"/>
                <w:b/>
                <w:color w:val="000000"/>
                <w:sz w:val="22"/>
              </w:rPr>
              <w:t>Exhibit Title or Description</w:t>
            </w:r>
          </w:p>
        </w:tc>
      </w:tr>
      <w:tr>
        <w:trPr/>
        <w:tc>
          <w:tcPr>
            <w:tcW w:w="1315" w:type="dxa"/>
            <w:tcBorders/>
            <w:tcMar>
              <w:top w:w="0" w:type="dxa"/>
              <w:left w:w="0" w:type="dxa"/>
              <w:bottom w:w="0" w:type="dxa"/>
              <w:right w:w="0" w:type="dxa"/>
            </w:tcMar>
            <w:vAlign w:val="center"/>
          </w:tcPr>
          <w:p>
            <w:pPr>
              <w:pStyle w:val="TableContents"/>
              <w:bidi w:val="0"/>
              <w:spacing w:before="53" w:after="30"/>
              <w:jc w:val="left"/>
              <w:rPr/>
            </w:pPr>
            <w:hyperlink w:anchor="anab-ex99_1.htm">
              <w:r>
                <w:rPr>
                  <w:rStyle w:val="InternetLink"/>
                  <w:rFonts w:ascii="Times New Roman" w:hAnsi="Times New Roman"/>
                  <w:color w:val="0000FF"/>
                  <w:sz w:val="22"/>
                  <w:u w:val="single"/>
                </w:rPr>
                <w:t>99.1</w:t>
              </w:r>
            </w:hyperlink>
          </w:p>
        </w:tc>
        <w:tc>
          <w:tcPr>
            <w:tcW w:w="889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Press release issued by AnaptysBio, Inc. regarding its financial results for the three months and transitional fiscal year ended June 30, 2026, dated September 21, 2026.</w:t>
            </w:r>
          </w:p>
        </w:tc>
      </w:tr>
      <w:tr>
        <w:trPr/>
        <w:tc>
          <w:tcPr>
            <w:tcW w:w="1315"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104</w:t>
            </w:r>
          </w:p>
        </w:tc>
        <w:tc>
          <w:tcPr>
            <w:tcW w:w="889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Cover Page Interactive Data File (the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89" w:type="dxa"/>
        <w:jc w:val="left"/>
        <w:tblInd w:w="0" w:type="dxa"/>
        <w:tblLayout w:type="fixed"/>
        <w:tblCellMar>
          <w:top w:w="28" w:type="dxa"/>
          <w:left w:w="28" w:type="dxa"/>
          <w:bottom w:w="28" w:type="dxa"/>
          <w:right w:w="28" w:type="dxa"/>
        </w:tblCellMar>
      </w:tblPr>
      <w:tblGrid>
        <w:gridCol w:w="556"/>
        <w:gridCol w:w="1726"/>
        <w:gridCol w:w="45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AnaptysBio,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Christopher M. Murphy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Christopher M. Murphy</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 w:name="anab-ex99_1.htm"/>
      <w:bookmarkStart w:id="3" w:name="ksanabex99_1"/>
      <w:bookmarkEnd w:id="2"/>
      <w:bookmarkEnd w:id="3"/>
      <w:r>
        <w:rPr>
          <w:rFonts w:ascii="Times New Roman" w:hAnsi="Times New Roman"/>
          <w:b/>
          <w:color w:val="000000"/>
          <w:sz w:val="22"/>
        </w:rPr>
        <w:t>Exhibit 99.1</w:t>
      </w:r>
      <w:r>
        <w:br w:type="page"/>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Anaptys Announces Second Quarter and Transitional Fiscal Year 2026 Financial Results and Provides Business Update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i/>
          <w:color w:val="000000"/>
          <w:sz w:val="22"/>
        </w:rPr>
        <w:t xml:space="preserve">Jemperli </w:t>
      </w:r>
      <w:r>
        <w:rPr>
          <w:rFonts w:ascii="Times New Roman" w:hAnsi="Times New Roman"/>
          <w:color w:val="000000"/>
          <w:sz w:val="22"/>
        </w:rPr>
        <w:t>global net sales of $644 million (£480 million) for the six months ended June 30, 2026, representing 34% year-over-year growth</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 xml:space="preserve">Positive interim results from the pivotal AZUR-1 trial of </w:t>
      </w:r>
      <w:r>
        <w:rPr>
          <w:rFonts w:ascii="Times New Roman" w:hAnsi="Times New Roman"/>
          <w:i/>
          <w:color w:val="000000"/>
          <w:sz w:val="22"/>
        </w:rPr>
        <w:t>Jemperli</w:t>
      </w:r>
      <w:r>
        <w:rPr>
          <w:rFonts w:ascii="Times New Roman" w:hAnsi="Times New Roman"/>
          <w:color w:val="000000"/>
          <w:sz w:val="22"/>
        </w:rPr>
        <w:t xml:space="preserve"> in untreated stage II/III dMMR/MSI-H locally advanced rectal cancer announced in July; FDA PDUFA action date of February 2027 with eligibility for expedited review through the National Priority Voucher program, which could result in an earlier FDA decision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Litigation with GSK and Tesaro: trial held in July; post-trial hearing scheduled for October 20, 2026, with a judgement anticipated in Q4 2026 or Q1 2027</w:t>
      </w:r>
    </w:p>
    <w:p>
      <w:pPr>
        <w:pStyle w:val="TextBody"/>
        <w:bidi w:val="0"/>
        <w:jc w:val="left"/>
        <w:rPr>
          <w:rFonts w:ascii="Times New Roman" w:hAnsi="Times New Roman"/>
          <w:sz w:val="22"/>
        </w:rPr>
      </w:pPr>
      <w:r>
        <w:rPr>
          <w:rFonts w:ascii="Times New Roman" w:hAnsi="Times New Roman"/>
          <w:b/>
          <w:color w:val="000000"/>
          <w:sz w:val="22"/>
        </w:rPr>
        <w:t>SAN DIEGO, Sept. 21, 2026</w:t>
      </w:r>
      <w:r>
        <w:rPr>
          <w:rFonts w:ascii="Times New Roman" w:hAnsi="Times New Roman"/>
          <w:color w:val="000000"/>
          <w:sz w:val="22"/>
        </w:rPr>
        <w:t xml:space="preserve"> — AnaptysBio, Inc. (Nasdaq: ANAB), a company focused on managing the financial collaborations for </w:t>
      </w:r>
      <w:r>
        <w:rPr>
          <w:rFonts w:ascii="Times New Roman" w:hAnsi="Times New Roman"/>
          <w:i/>
          <w:color w:val="000000"/>
          <w:sz w:val="22"/>
        </w:rPr>
        <w:t>Jemperli</w:t>
      </w:r>
      <w:r>
        <w:rPr>
          <w:rFonts w:ascii="Times New Roman" w:hAnsi="Times New Roman"/>
          <w:color w:val="000000"/>
          <w:sz w:val="22"/>
        </w:rPr>
        <w:t xml:space="preserve"> with Tesaro, a GSK company, and </w:t>
      </w:r>
      <w:r>
        <w:rPr>
          <w:rFonts w:ascii="Times New Roman" w:hAnsi="Times New Roman"/>
          <w:i/>
          <w:color w:val="000000"/>
          <w:sz w:val="22"/>
        </w:rPr>
        <w:t>Quimilza</w:t>
      </w:r>
      <w:r>
        <w:rPr>
          <w:rFonts w:ascii="Times New Roman" w:hAnsi="Times New Roman"/>
          <w:color w:val="000000"/>
          <w:sz w:val="22"/>
        </w:rPr>
        <w:t xml:space="preserve"> (imsidolimab) with Vanda, today reported financial results for the second quarter and transitional fiscal year ended June 30, 2026, and provided a business update.</w:t>
      </w:r>
    </w:p>
    <w:p>
      <w:pPr>
        <w:pStyle w:val="TextBody"/>
        <w:bidi w:val="0"/>
        <w:jc w:val="left"/>
        <w:rPr/>
      </w:pPr>
      <w:r>
        <w:rPr/>
        <w:t> </w:t>
      </w:r>
    </w:p>
    <w:p>
      <w:pPr>
        <w:pStyle w:val="TextBody"/>
        <w:bidi w:val="0"/>
        <w:jc w:val="left"/>
        <w:rPr/>
      </w:pPr>
      <w:r>
        <w:rPr>
          <w:color w:val="000000"/>
        </w:rPr>
        <w:t>“</w:t>
      </w:r>
      <w:r>
        <w:rPr>
          <w:rFonts w:ascii="Times New Roman" w:hAnsi="Times New Roman"/>
          <w:i/>
          <w:color w:val="000000"/>
          <w:sz w:val="22"/>
        </w:rPr>
        <w:t>Jemperli</w:t>
      </w:r>
      <w:r>
        <w:rPr>
          <w:rFonts w:ascii="Times New Roman" w:hAnsi="Times New Roman"/>
          <w:color w:val="000000"/>
          <w:sz w:val="22"/>
        </w:rPr>
        <w:t xml:space="preserve"> continues to demonstrate robust year-over-year growth with major catalysts within the next 6 months including further sales acceleration ex-US, anticipated FDA approval of Jemperli in monotherapy in dMMR/MSI-H neoadjuvant rectal cancer, as well as a judgement expected in our litigation with GSK and Tesaro,” said Daniel Faga, president and chief executive officer. “In addition to </w:t>
      </w:r>
      <w:r>
        <w:rPr>
          <w:rFonts w:ascii="Times New Roman" w:hAnsi="Times New Roman"/>
          <w:i/>
          <w:color w:val="000000"/>
          <w:sz w:val="22"/>
        </w:rPr>
        <w:t>Jemperli</w:t>
      </w:r>
      <w:r>
        <w:rPr>
          <w:rFonts w:ascii="Times New Roman" w:hAnsi="Times New Roman"/>
          <w:color w:val="000000"/>
          <w:sz w:val="22"/>
        </w:rPr>
        <w:t xml:space="preserve">, we anticipate FDA approval of </w:t>
      </w:r>
      <w:r>
        <w:rPr>
          <w:rFonts w:ascii="Times New Roman" w:hAnsi="Times New Roman"/>
          <w:i/>
          <w:color w:val="000000"/>
          <w:sz w:val="22"/>
        </w:rPr>
        <w:t>Quimilza</w:t>
      </w:r>
      <w:r>
        <w:rPr>
          <w:rFonts w:ascii="Times New Roman" w:hAnsi="Times New Roman"/>
          <w:color w:val="000000"/>
          <w:sz w:val="22"/>
        </w:rPr>
        <w:t xml:space="preserve"> in GPP in December 2026.” </w:t>
      </w:r>
    </w:p>
    <w:p>
      <w:pPr>
        <w:pStyle w:val="TextBody"/>
        <w:bidi w:val="0"/>
        <w:jc w:val="left"/>
        <w:rPr/>
      </w:pPr>
      <w:r>
        <w:rPr/>
        <w:t> </w:t>
      </w:r>
    </w:p>
    <w:p>
      <w:pPr>
        <w:pStyle w:val="TextBody"/>
        <w:bidi w:val="0"/>
        <w:spacing w:before="0" w:after="120"/>
        <w:jc w:val="left"/>
        <w:rPr>
          <w:rFonts w:ascii="Times New Roman" w:hAnsi="Times New Roman"/>
          <w:sz w:val="22"/>
        </w:rPr>
      </w:pPr>
      <w:r>
        <w:rPr>
          <w:rFonts w:ascii="Times New Roman" w:hAnsi="Times New Roman"/>
          <w:b/>
          <w:color w:val="000000"/>
          <w:sz w:val="22"/>
        </w:rPr>
        <w:t xml:space="preserve">GSK </w:t>
      </w:r>
      <w:r>
        <w:rPr>
          <w:rFonts w:ascii="Times New Roman" w:hAnsi="Times New Roman"/>
          <w:b/>
          <w:i/>
          <w:color w:val="000000"/>
          <w:sz w:val="22"/>
        </w:rPr>
        <w:t>Jemperli</w:t>
      </w:r>
      <w:r>
        <w:rPr>
          <w:rFonts w:ascii="Times New Roman" w:hAnsi="Times New Roman"/>
          <w:color w:val="000000"/>
          <w:sz w:val="22"/>
        </w:rPr>
        <w:t xml:space="preserve"> </w:t>
      </w:r>
      <w:r>
        <w:rPr>
          <w:rFonts w:ascii="Times New Roman" w:hAnsi="Times New Roman"/>
          <w:b/>
          <w:color w:val="000000"/>
          <w:sz w:val="22"/>
        </w:rPr>
        <w:t>Financial Collaboration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2"/>
        </w:rPr>
      </w:pPr>
      <w:r>
        <w:rPr>
          <w:rFonts w:ascii="Times New Roman" w:hAnsi="Times New Roman"/>
          <w:color w:val="000000"/>
          <w:sz w:val="22"/>
        </w:rPr>
        <w:t xml:space="preserve">GSK announced strong commercial performance for </w:t>
      </w:r>
      <w:r>
        <w:rPr>
          <w:rFonts w:ascii="Times New Roman" w:hAnsi="Times New Roman"/>
          <w:i/>
          <w:color w:val="000000"/>
          <w:sz w:val="22"/>
        </w:rPr>
        <w:t>Jemperli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lineRule="auto" w:line="360" w:before="0" w:after="0"/>
        <w:jc w:val="left"/>
        <w:rPr>
          <w:rFonts w:ascii="Times New Roman" w:hAnsi="Times New Roman"/>
          <w:sz w:val="15"/>
        </w:rPr>
      </w:pPr>
      <w:r>
        <w:rPr>
          <w:rFonts w:ascii="Times New Roman" w:hAnsi="Times New Roman"/>
          <w:color w:val="000000"/>
          <w:sz w:val="22"/>
        </w:rPr>
        <w:t>$331 million (£248 million) in global net sales for the three months ended June 30, 2026, representing 26% year-over-year growth</w:t>
      </w:r>
      <w:r>
        <w:rPr>
          <w:rFonts w:ascii="Times New Roman" w:hAnsi="Times New Roman"/>
          <w:color w:val="000000"/>
          <w:sz w:val="15"/>
        </w:rPr>
        <w:t>1</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lineRule="auto" w:line="360" w:before="0" w:after="120"/>
        <w:jc w:val="left"/>
        <w:rPr>
          <w:rFonts w:ascii="Times New Roman" w:hAnsi="Times New Roman"/>
          <w:sz w:val="15"/>
        </w:rPr>
      </w:pPr>
      <w:r>
        <w:rPr>
          <w:rFonts w:ascii="Times New Roman" w:hAnsi="Times New Roman"/>
          <w:color w:val="000000"/>
          <w:sz w:val="22"/>
        </w:rPr>
        <w:t>$644 million (£480 million) in global net sales for the six months ended June 30, 2026, representing 34% year-over-year growth</w:t>
      </w:r>
      <w:r>
        <w:rPr>
          <w:rFonts w:ascii="Times New Roman" w:hAnsi="Times New Roman"/>
          <w:color w:val="000000"/>
          <w:sz w:val="15"/>
        </w:rPr>
        <w:t>1</w:t>
      </w:r>
    </w:p>
    <w:p>
      <w:pPr>
        <w:pStyle w:val="TextBody"/>
        <w:bidi w:val="0"/>
        <w:spacing w:before="0" w:after="120"/>
        <w:jc w:val="left"/>
        <w:rPr>
          <w:color w:val="000000"/>
        </w:rPr>
      </w:pPr>
      <w:r>
        <w:rPr>
          <w:color w:val="000000"/>
        </w:rPr>
        <w:t>•</w:t>
      </w:r>
    </w:p>
    <w:p>
      <w:pPr>
        <w:pStyle w:val="TextBody"/>
        <w:bidi w:val="0"/>
        <w:spacing w:lineRule="auto" w:line="360" w:before="0" w:after="120"/>
        <w:jc w:val="left"/>
        <w:rPr>
          <w:rFonts w:ascii="Times New Roman" w:hAnsi="Times New Roman"/>
          <w:sz w:val="15"/>
        </w:rPr>
      </w:pPr>
      <w:r>
        <w:rPr>
          <w:rFonts w:ascii="Times New Roman" w:hAnsi="Times New Roman"/>
          <w:color w:val="000000"/>
          <w:sz w:val="22"/>
        </w:rPr>
        <w:t xml:space="preserve">Anaptys continues to expect to achieve &gt;$390 million in annualized </w:t>
      </w:r>
      <w:r>
        <w:rPr>
          <w:rFonts w:ascii="Times New Roman" w:hAnsi="Times New Roman"/>
          <w:i/>
          <w:color w:val="000000"/>
          <w:sz w:val="22"/>
        </w:rPr>
        <w:t xml:space="preserve">Jemperli </w:t>
      </w:r>
      <w:r>
        <w:rPr>
          <w:rFonts w:ascii="Times New Roman" w:hAnsi="Times New Roman"/>
          <w:color w:val="000000"/>
          <w:sz w:val="22"/>
        </w:rPr>
        <w:t>royalties payable to Anaptys as early as 2029 at GSK’s peak monotherapy sales guidance of &gt; $2.7 billion</w:t>
      </w:r>
      <w:r>
        <w:rPr>
          <w:rFonts w:ascii="Times New Roman" w:hAnsi="Times New Roman"/>
          <w:color w:val="000000"/>
          <w:sz w:val="15"/>
        </w:rPr>
        <w:t>2</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Anaptys estimates Sagard will have accrued ~$301 million in royalties and sales milestones through Q2 2026 and anticipates paydown of the remaining ~$299 million non-recourse debt monetization in the second half of 2027</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2"/>
        </w:rPr>
      </w:pPr>
      <w:r>
        <w:rPr>
          <w:rFonts w:ascii="Times New Roman" w:hAnsi="Times New Roman"/>
          <w:i/>
          <w:color w:val="000000"/>
          <w:sz w:val="22"/>
        </w:rPr>
        <w:t xml:space="preserve">Jemperli </w:t>
      </w:r>
      <w:r>
        <w:rPr>
          <w:rFonts w:ascii="Times New Roman" w:hAnsi="Times New Roman"/>
          <w:color w:val="000000"/>
          <w:sz w:val="22"/>
        </w:rPr>
        <w:t xml:space="preserve">development and regulatory updates include: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AZUR-1 – pivotal Phase 2 – dostarlimab monotherapy in untreated stage II/III dMMR/MSI-H locally advanced rectal cancer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 July 2026, GSK announced positive interim results from the trial, which met its primary objective by demonstrating a meaningful and sustained clinical complete response rate for 12 months (cCR12) with no detectable signs of cancer for at least one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FDA has assigned a PDUFA action date of February 2027</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Received an FDA Commissioner’s National Priority Voucher (CNPV) in Nov. 2025; eligible for an expedited review which could result in an earlier FDA decision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GSK to present first results from the AZUR-1 trial as a late-breaking abstract at ESMO Congress 2026 in Madrid, Spain on Oct. 25, 2026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AZUR-2 – pivotal Phase 3 – dostarlimab versus standard of care in untreated TN40 or stage III dMMR/ MSI-H resectable colon cancer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Data expected in 2028</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AZUR-4 – Phase 2 – dostarlimab plus chemotherapy versus standard of care (chemotherapy) in untreated stage III MMRp/MSS resectable colon cancer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Primary completion date in Q4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JADE – pivotal Phase 3 – dostarlimab monotherapy versus placebo in locally advanced unresected head and neck squamous cell carcinoma (PD-L1 CPS≥1) post chemoradiation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Data expected in 2028</w:t>
      </w:r>
    </w:p>
    <w:p>
      <w:pPr>
        <w:pStyle w:val="TextBody"/>
        <w:bidi w:val="0"/>
        <w:spacing w:before="0" w:after="120"/>
        <w:jc w:val="left"/>
        <w:rPr>
          <w:rFonts w:ascii="Times New Roman" w:hAnsi="Times New Roman"/>
          <w:sz w:val="22"/>
        </w:rPr>
      </w:pPr>
      <w:r>
        <w:rPr>
          <w:rFonts w:ascii="Times New Roman" w:hAnsi="Times New Roman"/>
          <w:b/>
          <w:color w:val="000000"/>
          <w:sz w:val="22"/>
        </w:rPr>
        <w:t xml:space="preserve">Vanda </w:t>
      </w:r>
      <w:r>
        <w:rPr>
          <w:rFonts w:ascii="Times New Roman" w:hAnsi="Times New Roman"/>
          <w:b/>
          <w:i/>
          <w:color w:val="000000"/>
          <w:sz w:val="22"/>
        </w:rPr>
        <w:t>Quimilza</w:t>
      </w:r>
      <w:r>
        <w:rPr>
          <w:rFonts w:ascii="Times New Roman" w:hAnsi="Times New Roman"/>
          <w:color w:val="000000"/>
          <w:sz w:val="22"/>
        </w:rPr>
        <w:t xml:space="preserve"> </w:t>
      </w:r>
      <w:r>
        <w:rPr>
          <w:rFonts w:ascii="Times New Roman" w:hAnsi="Times New Roman"/>
          <w:b/>
          <w:color w:val="000000"/>
          <w:sz w:val="22"/>
        </w:rPr>
        <w:t>(imsidolimab) Financial Collaboration</w:t>
      </w:r>
      <w:r>
        <w:rPr>
          <w:rFonts w:ascii="Times New Roman" w:hAnsi="Times New Roman"/>
          <w:color w:val="000000"/>
          <w:sz w:val="22"/>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 xml:space="preserve">FDA target action date (PDUFA) of Dec. 12, 2026, for </w:t>
      </w:r>
      <w:r>
        <w:rPr>
          <w:rFonts w:ascii="Times New Roman" w:hAnsi="Times New Roman"/>
          <w:i/>
          <w:color w:val="000000"/>
          <w:sz w:val="22"/>
        </w:rPr>
        <w:t>Quimilza</w:t>
      </w:r>
      <w:r>
        <w:rPr>
          <w:rFonts w:ascii="Times New Roman" w:hAnsi="Times New Roman"/>
          <w:color w:val="000000"/>
          <w:sz w:val="22"/>
        </w:rPr>
        <w:t xml:space="preserve"> in generalized pustular psoriasis (GPP)</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August 2026, Vanda announced it received Orphan Designation from the European Commission for imsidolimab for the treatment of GPP</w:t>
      </w:r>
    </w:p>
    <w:p>
      <w:pPr>
        <w:pStyle w:val="TextBody"/>
        <w:bidi w:val="0"/>
        <w:spacing w:before="0" w:after="120"/>
        <w:jc w:val="left"/>
        <w:rPr>
          <w:rFonts w:ascii="Times New Roman" w:hAnsi="Times New Roman"/>
          <w:sz w:val="22"/>
        </w:rPr>
      </w:pPr>
      <w:r>
        <w:rPr>
          <w:rFonts w:ascii="Times New Roman" w:hAnsi="Times New Roman"/>
          <w:b/>
          <w:color w:val="000000"/>
          <w:sz w:val="22"/>
        </w:rPr>
        <w:t>GSK and Tesaro Litigation Update</w:t>
      </w:r>
      <w:r>
        <w:rPr>
          <w:rFonts w:ascii="Times New Roman" w:hAnsi="Times New Roman"/>
          <w:color w:val="000000"/>
          <w:sz w:val="22"/>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trial was held before the Delaware Chancery Court from July 14-17,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Court has requested the parties submit post-trial briefs in advance of a post-trial hearing, which has been scheduled for October 20,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Anaptys filed its opening post-trial brief on August 21, 2026, GSK and Tesaro will file their answering post-trial brief on or before September 25, 2026, and Anaptys will file its reply post-trial brief on or before October 9, 2026</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Anaptys is seeking reversion of </w:t>
      </w:r>
      <w:r>
        <w:rPr>
          <w:rFonts w:ascii="Times New Roman" w:hAnsi="Times New Roman"/>
          <w:i/>
          <w:color w:val="000000"/>
          <w:sz w:val="22"/>
        </w:rPr>
        <w:t>Jemperli</w:t>
      </w:r>
      <w:r>
        <w:rPr>
          <w:rFonts w:ascii="Times New Roman" w:hAnsi="Times New Roman"/>
          <w:color w:val="000000"/>
          <w:sz w:val="22"/>
        </w:rPr>
        <w:t xml:space="preserve"> rights as a remedy; the Company anticipates a judgement in Q4 2026 or Q1 2027</w:t>
      </w:r>
    </w:p>
    <w:p>
      <w:pPr>
        <w:pStyle w:val="TextBody"/>
        <w:bidi w:val="0"/>
        <w:jc w:val="left"/>
        <w:rPr>
          <w:rFonts w:ascii="Times New Roman" w:hAnsi="Times New Roman"/>
          <w:sz w:val="22"/>
        </w:rPr>
      </w:pPr>
      <w:r>
        <w:rPr>
          <w:rFonts w:ascii="Times New Roman" w:hAnsi="Times New Roman"/>
          <w:b/>
          <w:color w:val="000000"/>
          <w:sz w:val="22"/>
        </w:rPr>
        <w:t>Second Quarter Financial Results</w:t>
      </w:r>
      <w:r>
        <w:rPr>
          <w:rFonts w:ascii="Times New Roman" w:hAnsi="Times New Roman"/>
          <w:color w:val="000000"/>
          <w:sz w:val="22"/>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separation of AnaptysBio and First Tracks Biotherapeutics was completed on April 20, 2026. Beginning in the second quarter of 2026, AnaptysBio reclassified historical First Tracks Biotherapeutics, Inc. related assets, liabilities and expenses as discontinued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On May 18, 2026, Anaptys changed its fiscal year-end from December 31 to June 30. The Company will begin to file quarterly reports based on the new fiscal year beginning with the quarter ending September 30, 2026.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As of June 30, 2026, Anaptys has not repurchased any shares under its $100 million Stock Repurchase Plan, which will expire on December 31, 2026, may be suspended or discontinued at any time, and does not obligate the company to acquire any amount of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Cash, cash equivalents and investments totaled $164.1 million as of June 30, 2026, compared to $211.6 million as of December 31, 2025, for a decrease of $47.5 million due primarily to $72.9 million for operating activities offset by $25.4 million received from stock option exercises.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 xml:space="preserve">Collaboration revenue was $27.5 million and $53.0 million for the three and six months ended June 30, 2026, compared to $22.3 million and $50.0 million for the three and six months ended June 30, 2025. The increase is primarily due to </w:t>
      </w:r>
      <w:r>
        <w:rPr>
          <w:rFonts w:ascii="Times New Roman" w:hAnsi="Times New Roman"/>
          <w:i/>
          <w:color w:val="000000"/>
          <w:sz w:val="22"/>
        </w:rPr>
        <w:t xml:space="preserve">Jemperli </w:t>
      </w:r>
      <w:r>
        <w:rPr>
          <w:rFonts w:ascii="Times New Roman" w:hAnsi="Times New Roman"/>
          <w:color w:val="000000"/>
          <w:sz w:val="22"/>
        </w:rPr>
        <w:t xml:space="preserve">royalties increasing 25% and 34% for the three and six months ended June 30, 2026, offset by $9.7 million in revenue recognized for the Vanda license agreement for the three month and six months ended June 30,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General and administrative expenses were $16.0 million and $23.4 million for the three and six months ended June 30, 2026, compared to $4.0 million and $8.3 million for the three and six months ended June 30, 2025. The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increase was due primarily to legal costs for the separation of the company and the GSK and Tesaro lawsuit and non-cash stock compensation.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Research and development expenses from continuing operations were a negative $2.7 million for the six months ended June 30, 2026, compared to a negative $1.7 million six months ended June 30, 2025. The negative balance for the six months ended June 30, 2026, was primarily due adjustments related to the closeout of clinical contracts reducing expenses incurred prior to the separation.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Benefit for income taxes for continuing operations was $181.5 million for the six months ended June 30, 2026. The benefit recognized was primarily due to the release of the valuation allowance on deferred tax assets due to the anticipated usage of deferred tax assets in the future due to the separation from First Tracks Biotherapeutics.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Net income from continuing operations was $177.3 million and $176.4 million for the three and six months ended June 30, 2026, or a basic net income per share of $6.06 and $6.09, compared to a net income from continuing operations of $5.7 million and $16.6 million for the three and six months ended June 30, 2025, or a basic net income per share of $0.20 and $0.56.</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“safe harbor” provisions of the Private Securities Litigation Reform Act of 1995, including, but not limited to future commercial and regulatory developments for Jemperli and Quimilza, future royalty amounts, the Company’s expected paydown of its obligations to Sagard, and the outcome of the Company’s ongoing litigation with GSK.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commercial success of the Company’s licensed products, the company’s ability to protect its financial collaborations and return value to its shareholders, the company’s ability to operate efficiently with a limited staff,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Anaptys</w:t>
      </w:r>
    </w:p>
    <w:p>
      <w:pPr>
        <w:pStyle w:val="TextBody"/>
        <w:bidi w:val="0"/>
        <w:jc w:val="left"/>
        <w:rPr>
          <w:rFonts w:ascii="Times New Roman" w:hAnsi="Times New Roman"/>
          <w:sz w:val="22"/>
        </w:rPr>
      </w:pPr>
      <w:r>
        <w:rPr>
          <w:rFonts w:ascii="Times New Roman" w:hAnsi="Times New Roman"/>
          <w:b/>
          <w:color w:val="000000"/>
          <w:sz w:val="22"/>
        </w:rPr>
        <w:br/>
      </w:r>
      <w:r>
        <w:rPr>
          <w:rFonts w:ascii="Times New Roman" w:hAnsi="Times New Roman"/>
          <w:color w:val="000000"/>
          <w:sz w:val="22"/>
        </w:rPr>
        <w:t xml:space="preserve">Anaptys manages the financial collaborations for </w:t>
      </w:r>
      <w:r>
        <w:rPr>
          <w:rFonts w:ascii="Times New Roman" w:hAnsi="Times New Roman"/>
          <w:i/>
          <w:color w:val="000000"/>
          <w:sz w:val="22"/>
        </w:rPr>
        <w:t>Jemperli</w:t>
      </w:r>
      <w:r>
        <w:rPr>
          <w:rFonts w:ascii="Times New Roman" w:hAnsi="Times New Roman"/>
          <w:color w:val="000000"/>
          <w:sz w:val="22"/>
        </w:rPr>
        <w:t xml:space="preserve"> with GSK and </w:t>
      </w:r>
      <w:r>
        <w:rPr>
          <w:rFonts w:ascii="Times New Roman" w:hAnsi="Times New Roman"/>
          <w:i/>
          <w:color w:val="000000"/>
          <w:sz w:val="22"/>
        </w:rPr>
        <w:t xml:space="preserve">Quimilza </w:t>
      </w:r>
      <w:r>
        <w:rPr>
          <w:rFonts w:ascii="Times New Roman" w:hAnsi="Times New Roman"/>
          <w:color w:val="000000"/>
          <w:sz w:val="22"/>
        </w:rPr>
        <w:t xml:space="preserve">with Vanda, with a focus on protecting and returning the value of its royalties to shareholders. To learn more, visit </w:t>
      </w:r>
      <w:r>
        <w:rPr>
          <w:rFonts w:ascii="Times New Roman" w:hAnsi="Times New Roman"/>
          <w:color w:val="467886"/>
          <w:sz w:val="22"/>
          <w:u w:val="single"/>
        </w:rPr>
        <w:t>www.AnaptysBio.com</w:t>
      </w:r>
      <w:r>
        <w:rPr>
          <w:rFonts w:ascii="Times New Roman" w:hAnsi="Times New Roman"/>
          <w:color w:val="000000"/>
          <w:sz w:val="22"/>
        </w:rPr>
        <w:t xml:space="preserve"> or follow us on </w:t>
      </w:r>
      <w:r>
        <w:rPr>
          <w:rFonts w:ascii="Times New Roman" w:hAnsi="Times New Roman"/>
          <w:color w:val="467886"/>
          <w:sz w:val="22"/>
          <w:u w:val="single"/>
        </w:rPr>
        <w:t>LinkedIn</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Contact:</w:t>
      </w:r>
    </w:p>
    <w:p>
      <w:pPr>
        <w:pStyle w:val="TextBody"/>
        <w:bidi w:val="0"/>
        <w:jc w:val="left"/>
        <w:rPr>
          <w:rFonts w:ascii="Times New Roman" w:hAnsi="Times New Roman"/>
          <w:color w:val="000000"/>
          <w:sz w:val="22"/>
        </w:rPr>
      </w:pPr>
      <w:r>
        <w:rPr>
          <w:rFonts w:ascii="Times New Roman" w:hAnsi="Times New Roman"/>
          <w:color w:val="000000"/>
          <w:sz w:val="22"/>
        </w:rPr>
        <w:t>Chris Murphy</w:t>
      </w:r>
    </w:p>
    <w:p>
      <w:pPr>
        <w:pStyle w:val="TextBody"/>
        <w:bidi w:val="0"/>
        <w:jc w:val="left"/>
        <w:rPr>
          <w:rFonts w:ascii="Times New Roman" w:hAnsi="Times New Roman"/>
          <w:sz w:val="22"/>
        </w:rPr>
      </w:pPr>
      <w:r>
        <w:rPr>
          <w:rFonts w:ascii="Times New Roman" w:hAnsi="Times New Roman"/>
          <w:color w:val="000000"/>
          <w:sz w:val="22"/>
        </w:rPr>
        <w:t>Chief Financial Officer</w:t>
        <w:br/>
      </w:r>
      <w:r>
        <w:rPr>
          <w:rFonts w:ascii="Times New Roman" w:hAnsi="Times New Roman"/>
          <w:color w:val="0070C0"/>
          <w:sz w:val="22"/>
          <w:u w:val="single"/>
        </w:rPr>
        <w:t>investors@anaptysbio.com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_______________________________________ </w:t>
      </w:r>
    </w:p>
    <w:p>
      <w:pPr>
        <w:pStyle w:val="TextBody"/>
        <w:bidi w:val="0"/>
        <w:jc w:val="left"/>
        <w:rPr/>
      </w:pPr>
      <w:r>
        <w:rPr/>
        <w:t> </w:t>
      </w:r>
    </w:p>
    <w:p>
      <w:pPr>
        <w:pStyle w:val="TextBody"/>
        <w:bidi w:val="0"/>
        <w:spacing w:before="0" w:after="60"/>
        <w:jc w:val="left"/>
        <w:rPr>
          <w:rFonts w:ascii="Times New Roman" w:hAnsi="Times New Roman"/>
          <w:color w:val="000000"/>
          <w:sz w:val="18"/>
        </w:rPr>
      </w:pPr>
      <w:r>
        <w:rPr>
          <w:rFonts w:ascii="Times New Roman" w:hAnsi="Times New Roman"/>
          <w:color w:val="000000"/>
          <w:sz w:val="18"/>
        </w:rPr>
        <w:t xml:space="preserve">1. GSK Q2 2026 earnings call, 7/28/2026 </w:t>
      </w:r>
    </w:p>
    <w:p>
      <w:pPr>
        <w:pStyle w:val="TextBody"/>
        <w:bidi w:val="0"/>
        <w:jc w:val="left"/>
        <w:rPr>
          <w:rFonts w:ascii="Times New Roman" w:hAnsi="Times New Roman"/>
          <w:sz w:val="18"/>
        </w:rPr>
      </w:pPr>
      <w:r>
        <w:rPr>
          <w:rFonts w:ascii="Times New Roman" w:hAnsi="Times New Roman"/>
          <w:color w:val="000000"/>
          <w:sz w:val="18"/>
        </w:rPr>
        <w:t xml:space="preserve">2. CEO Emma Walmsley, 2025 JP Morgan CEO Series fireside chat, 9/11/2025, “there's no change to our peak year sales overall ambition for </w:t>
      </w:r>
      <w:r>
        <w:rPr>
          <w:rFonts w:ascii="Times New Roman" w:hAnsi="Times New Roman"/>
          <w:i/>
          <w:color w:val="000000"/>
          <w:sz w:val="18"/>
        </w:rPr>
        <w:t>Jemperli</w:t>
      </w:r>
      <w:r>
        <w:rPr>
          <w:rFonts w:ascii="Times New Roman" w:hAnsi="Times New Roman"/>
          <w:color w:val="000000"/>
          <w:sz w:val="18"/>
        </w:rPr>
        <w:t>, that's for sure, which is far more than £2 billion.”; Converted from GBP to USD using Q3 2025 average exchange rate (1.35x)</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AnaptysBio, Inc.</w:t>
      </w:r>
    </w:p>
    <w:p>
      <w:pPr>
        <w:pStyle w:val="TextBody"/>
        <w:bidi w:val="0"/>
        <w:jc w:val="center"/>
        <w:rPr>
          <w:rFonts w:ascii="Times New Roman" w:hAnsi="Times New Roman"/>
          <w:sz w:val="20"/>
        </w:rPr>
      </w:pP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6"/>
        <w:gridCol w:w="146"/>
        <w:gridCol w:w="216"/>
        <w:gridCol w:w="864"/>
        <w:gridCol w:w="166"/>
        <w:gridCol w:w="146"/>
        <w:gridCol w:w="246"/>
        <w:gridCol w:w="982"/>
        <w:gridCol w:w="793"/>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from collaborative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350,250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of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364,395</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38,625</w:t>
            </w:r>
          </w:p>
        </w:tc>
        <w:tc>
          <w:tcPr>
            <w:tcW w:w="7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276,528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 shares authorized and no shares, issued or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500,000 shares authorized, 29,728 shares and 28,019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809,765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(772,559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364,395</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AnaptysBio,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4"/>
        <w:gridCol w:w="146"/>
        <w:gridCol w:w="211"/>
        <w:gridCol w:w="781"/>
        <w:gridCol w:w="166"/>
        <w:gridCol w:w="146"/>
        <w:gridCol w:w="211"/>
        <w:gridCol w:w="736"/>
        <w:gridCol w:w="166"/>
        <w:gridCol w:w="146"/>
        <w:gridCol w:w="211"/>
        <w:gridCol w:w="781"/>
        <w:gridCol w:w="166"/>
        <w:gridCol w:w="146"/>
        <w:gridCol w:w="211"/>
        <w:gridCol w:w="736"/>
        <w:gridCol w:w="1011"/>
      </w:tblGrid>
      <w:tr>
        <w:trPr/>
        <w:tc>
          <w:tcPr>
            <w:tcW w:w="4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(unaudited)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for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 for 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from continuing operations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(loss) from discontinued operations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from continuing operations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(loss) from discontinued operations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30,692</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2717</Words>
  <Characters>14680</Characters>
  <CharactersWithSpaces>17519</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