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Marquet Magda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01/18/2021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ANAPTYSBIO,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ANAB</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4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ANAPTYSBIO, INC.</w:t>
      </w:r>
    </w:p>
    <w:p>
      <w:pPr>
        <w:spacing w:after="0" w:line="70" w:lineRule="exact"/>
        <w:rPr>
          <w:sz w:val="24"/>
          <w:szCs w:val="24"/>
          <w:color w:val="auto"/>
        </w:rPr>
      </w:pPr>
    </w:p>
    <w:p>
      <w:pPr>
        <w:ind w:left="140" w:right="1337"/>
        <w:spacing w:after="0" w:line="269" w:lineRule="auto"/>
        <w:rPr>
          <w:sz w:val="20"/>
          <w:szCs w:val="20"/>
          <w:color w:val="auto"/>
        </w:rPr>
      </w:pPr>
      <w:r>
        <w:rPr>
          <w:rFonts w:ascii="Arial" w:cs="Arial" w:eastAsia="Arial" w:hAnsi="Arial"/>
          <w:sz w:val="20"/>
          <w:szCs w:val="20"/>
          <w:color w:val="0000FF"/>
        </w:rPr>
        <w:t>10421 PACIFIC CENTER COURT, SUITE 200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SAN</w:t>
      </w:r>
      <w:r>
        <w:rPr>
          <w:rFonts w:ascii="Arial" w:cs="Arial" w:eastAsia="Arial" w:hAnsi="Arial"/>
          <w:sz w:val="20"/>
          <w:szCs w:val="20"/>
          <w:color w:val="0000FF"/>
        </w:rPr>
        <w:t xml:space="preserve"> CA 92121 DIEGO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Eric Loumeau,</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01/19/2021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5"/>
              </w:rPr>
              <w:t>Attorney-in-Fact</w:t>
            </w:r>
          </w:p>
        </w:tc>
        <w:tc>
          <w:tcPr>
            <w:tcW w:w="8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Hamza Suria and Eric Loumeau, and each of them, her true and lawful attorney-in-fact to:</w:t>
      </w:r>
    </w:p>
    <w:p>
      <w:pPr>
        <w:spacing w:after="0" w:line="232" w:lineRule="exact"/>
        <w:rPr>
          <w:sz w:val="20"/>
          <w:szCs w:val="20"/>
          <w:color w:val="auto"/>
        </w:rPr>
      </w:pPr>
    </w:p>
    <w:p>
      <w:pPr>
        <w:ind w:right="619"/>
        <w:spacing w:after="0" w:line="269"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AnaptysBio, Inc. ("Company"), any and all Form 3, 4 or 5 reports required to be filed by the undersigned in accordance with Section 16(a) of the Securities Exchange Act of 1934, as amended ("Exchange Act"), and the rules thereunder with respect to transactions in securities of the Company;</w:t>
      </w:r>
    </w:p>
    <w:p>
      <w:pPr>
        <w:spacing w:after="0" w:line="207" w:lineRule="exact"/>
        <w:rPr>
          <w:rFonts w:ascii="Courier New" w:cs="Courier New" w:eastAsia="Courier New" w:hAnsi="Courier New"/>
          <w:sz w:val="18"/>
          <w:szCs w:val="18"/>
          <w:color w:val="auto"/>
        </w:rPr>
      </w:pPr>
    </w:p>
    <w:p>
      <w:pPr>
        <w:ind w:right="83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230"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35"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6th day of January,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Magda Marquet</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31486" TargetMode="External"/><Relationship Id="rId11"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2021-01-19T15:35:35Z</dcterms:created>
  <dcterms:modified xsi:type="dcterms:W3CDTF">2021-01-19T15:35:35Z</dcterms:modified>
</cp:coreProperties>
</file>