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2"/>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SCHEDULE 13D</w:t>
      </w:r>
    </w:p>
    <w:p>
      <w:pPr>
        <w:spacing w:after="0" w:line="229"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(Amendment No. ___)*</w:t>
      </w:r>
    </w:p>
    <w:p>
      <w:pPr>
        <w:spacing w:after="0" w:line="200" w:lineRule="exact"/>
        <w:rPr>
          <w:sz w:val="24"/>
          <w:szCs w:val="24"/>
          <w:color w:val="auto"/>
        </w:rPr>
      </w:pPr>
    </w:p>
    <w:p>
      <w:pPr>
        <w:spacing w:after="0" w:line="223" w:lineRule="exact"/>
        <w:rPr>
          <w:sz w:val="24"/>
          <w:szCs w:val="24"/>
          <w:color w:val="auto"/>
        </w:rPr>
      </w:pPr>
    </w:p>
    <w:p>
      <w:pPr>
        <w:ind w:left="4523"/>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ind w:left="4563"/>
        <w:spacing w:after="0"/>
        <w:rPr>
          <w:sz w:val="20"/>
          <w:szCs w:val="20"/>
          <w:color w:val="auto"/>
        </w:rPr>
      </w:pPr>
      <w:r>
        <w:rPr>
          <w:rFonts w:ascii="Arial" w:cs="Arial" w:eastAsia="Arial" w:hAnsi="Arial"/>
          <w:sz w:val="20"/>
          <w:szCs w:val="20"/>
          <w:color w:val="auto"/>
        </w:rPr>
        <w:t>(Name of Issuer)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Common Stock, $0.001 par value</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032724106</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James J. Frolik, Esq.</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Anthony J. Caldwell, Esq.</w:t>
      </w:r>
    </w:p>
    <w:p>
      <w:pPr>
        <w:jc w:val="center"/>
        <w:ind w:right="-62"/>
        <w:spacing w:after="0"/>
        <w:rPr>
          <w:sz w:val="20"/>
          <w:szCs w:val="20"/>
          <w:color w:val="auto"/>
        </w:rPr>
      </w:pPr>
      <w:r>
        <w:rPr>
          <w:rFonts w:ascii="Arial" w:cs="Arial" w:eastAsia="Arial" w:hAnsi="Arial"/>
          <w:sz w:val="20"/>
          <w:szCs w:val="20"/>
          <w:b w:val="1"/>
          <w:bCs w:val="1"/>
          <w:color w:val="auto"/>
        </w:rPr>
        <w:t>Shartsis Friese LLP</w:t>
      </w:r>
    </w:p>
    <w:p>
      <w:pPr>
        <w:jc w:val="center"/>
        <w:ind w:right="-62"/>
        <w:spacing w:after="0"/>
        <w:rPr>
          <w:sz w:val="20"/>
          <w:szCs w:val="20"/>
          <w:color w:val="auto"/>
        </w:rPr>
      </w:pPr>
      <w:r>
        <w:rPr>
          <w:rFonts w:ascii="Arial" w:cs="Arial" w:eastAsia="Arial" w:hAnsi="Arial"/>
          <w:sz w:val="20"/>
          <w:szCs w:val="20"/>
          <w:b w:val="1"/>
          <w:bCs w:val="1"/>
          <w:color w:val="auto"/>
        </w:rPr>
        <w:t>One Maritime Plaza, 18th Floor</w:t>
      </w:r>
    </w:p>
    <w:p>
      <w:pPr>
        <w:jc w:val="center"/>
        <w:ind w:right="-62"/>
        <w:spacing w:after="0"/>
        <w:rPr>
          <w:sz w:val="20"/>
          <w:szCs w:val="20"/>
          <w:color w:val="auto"/>
        </w:rPr>
      </w:pPr>
      <w:r>
        <w:rPr>
          <w:rFonts w:ascii="Arial" w:cs="Arial" w:eastAsia="Arial" w:hAnsi="Arial"/>
          <w:sz w:val="20"/>
          <w:szCs w:val="20"/>
          <w:b w:val="1"/>
          <w:bCs w:val="1"/>
          <w:color w:val="auto"/>
        </w:rPr>
        <w:t>San Francisco, CA 94111</w:t>
      </w:r>
    </w:p>
    <w:p>
      <w:pPr>
        <w:jc w:val="center"/>
        <w:ind w:right="-62"/>
        <w:spacing w:after="0"/>
        <w:rPr>
          <w:sz w:val="20"/>
          <w:szCs w:val="20"/>
          <w:color w:val="auto"/>
        </w:rPr>
      </w:pPr>
      <w:r>
        <w:rPr>
          <w:rFonts w:ascii="Arial" w:cs="Arial" w:eastAsia="Arial" w:hAnsi="Arial"/>
          <w:sz w:val="20"/>
          <w:szCs w:val="20"/>
          <w:color w:val="auto"/>
        </w:rPr>
        <w:t>(Name, Address and Telephone Number of Person</w:t>
      </w:r>
    </w:p>
    <w:p>
      <w:pPr>
        <w:jc w:val="center"/>
        <w:ind w:right="-62"/>
        <w:spacing w:after="0"/>
        <w:rPr>
          <w:sz w:val="20"/>
          <w:szCs w:val="20"/>
          <w:color w:val="auto"/>
        </w:rPr>
      </w:pPr>
      <w:r>
        <w:rPr>
          <w:rFonts w:ascii="Arial" w:cs="Arial" w:eastAsia="Arial" w:hAnsi="Arial"/>
          <w:sz w:val="20"/>
          <w:szCs w:val="20"/>
          <w:color w:val="auto"/>
        </w:rPr>
        <w:t>Authorized to Receive Notices and Communications)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March 8, 2021</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3" w:right="260"/>
        <w:spacing w:after="0" w:line="365" w:lineRule="auto"/>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that is the subject of this Schedule 13D, and is filing this schedule because of sections 240.13d-1(e), 240.13d-1(f) or 140.13d-1(g), check the following box. [ </w:t>
      </w:r>
      <w:r>
        <w:rPr>
          <w:rFonts w:ascii="Arial" w:cs="Arial" w:eastAsia="Arial" w:hAnsi="Arial"/>
          <w:sz w:val="16"/>
          <w:szCs w:val="16"/>
          <w:b w:val="1"/>
          <w:bCs w:val="1"/>
          <w:color w:val="auto"/>
        </w:rPr>
        <w:t>X</w:t>
      </w:r>
      <w:r>
        <w:rPr>
          <w:rFonts w:ascii="Arial" w:cs="Arial" w:eastAsia="Arial" w:hAnsi="Arial"/>
          <w:sz w:val="16"/>
          <w:szCs w:val="16"/>
          <w:color w:val="auto"/>
        </w:rPr>
        <w:t xml:space="preserve"> ]</w:t>
      </w:r>
    </w:p>
    <w:p>
      <w:pPr>
        <w:spacing w:after="0" w:line="1" w:lineRule="exact"/>
        <w:rPr>
          <w:sz w:val="24"/>
          <w:szCs w:val="24"/>
          <w:color w:val="auto"/>
        </w:rPr>
      </w:pPr>
    </w:p>
    <w:p>
      <w:pPr>
        <w:ind w:left="3" w:right="3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240.13d-7 for other parties to whom copies are to be sent.</w:t>
      </w:r>
    </w:p>
    <w:p>
      <w:pPr>
        <w:spacing w:after="0" w:line="61" w:lineRule="exact"/>
        <w:rPr>
          <w:sz w:val="24"/>
          <w:szCs w:val="24"/>
          <w:color w:val="auto"/>
        </w:rPr>
      </w:pPr>
    </w:p>
    <w:p>
      <w:pPr>
        <w:ind w:left="3" w:hanging="3"/>
        <w:spacing w:after="0" w:line="250" w:lineRule="auto"/>
        <w:tabs>
          <w:tab w:leader="none" w:pos="1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8" w:lineRule="exact"/>
        <w:rPr>
          <w:sz w:val="24"/>
          <w:szCs w:val="24"/>
          <w:color w:val="auto"/>
        </w:rPr>
      </w:pPr>
    </w:p>
    <w:p>
      <w:pPr>
        <w:ind w:left="3" w:right="6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ind w:left="3" w:right="34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64" w:lineRule="exact"/>
        <w:rPr>
          <w:sz w:val="24"/>
          <w:szCs w:val="24"/>
          <w:color w:val="auto"/>
        </w:rPr>
      </w:pPr>
    </w:p>
    <w:p>
      <w:pPr>
        <w:jc w:val="center"/>
        <w:ind w:right="-8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3"/>
          </w:cols>
          <w:pgMar w:left="717" w:top="225"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7,151,624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26.1%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7,151,624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26.1%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WC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6,005,266</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6,005,266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6,005,266</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21.9%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Security and Issuer</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This statement relates to shares of Common Stock, $0.001 par value (the “Stock”), of </w:t>
      </w:r>
      <w:r>
        <w:rPr>
          <w:rFonts w:ascii="Arial" w:cs="Arial" w:eastAsia="Arial" w:hAnsi="Arial"/>
          <w:sz w:val="20"/>
          <w:szCs w:val="20"/>
          <w:b w:val="1"/>
          <w:bCs w:val="1"/>
          <w:color w:val="auto"/>
        </w:rPr>
        <w:t>AnaptysBio, Inc.</w:t>
      </w:r>
      <w:r>
        <w:rPr>
          <w:rFonts w:ascii="Arial" w:cs="Arial" w:eastAsia="Arial" w:hAnsi="Arial"/>
          <w:sz w:val="20"/>
          <w:szCs w:val="20"/>
          <w:color w:val="auto"/>
        </w:rPr>
        <w:t xml:space="preserve"> (the “Issuer”). The principal executive office of the Issuer is located at </w:t>
      </w:r>
      <w:r>
        <w:rPr>
          <w:rFonts w:ascii="Arial" w:cs="Arial" w:eastAsia="Arial" w:hAnsi="Arial"/>
          <w:sz w:val="20"/>
          <w:szCs w:val="20"/>
          <w:b w:val="1"/>
          <w:bCs w:val="1"/>
          <w:color w:val="auto"/>
        </w:rPr>
        <w:t>10421 Pacific Center Court, Suite 200, San Diego, CA 92121</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22" w:lineRule="exact"/>
        <w:rPr>
          <w:sz w:val="20"/>
          <w:szCs w:val="20"/>
          <w:color w:val="auto"/>
        </w:rPr>
      </w:pPr>
    </w:p>
    <w:p>
      <w:pPr>
        <w:ind w:right="80"/>
        <w:spacing w:after="0" w:line="385" w:lineRule="auto"/>
        <w:rPr>
          <w:sz w:val="20"/>
          <w:szCs w:val="20"/>
          <w:color w:val="auto"/>
        </w:rPr>
      </w:pPr>
      <w:r>
        <w:rPr>
          <w:rFonts w:ascii="Arial" w:cs="Arial" w:eastAsia="Arial" w:hAnsi="Arial"/>
          <w:sz w:val="16"/>
          <w:szCs w:val="16"/>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79" w:lineRule="exact"/>
        <w:rPr>
          <w:sz w:val="20"/>
          <w:szCs w:val="20"/>
          <w:color w:val="auto"/>
        </w:rPr>
      </w:pPr>
    </w:p>
    <w:p>
      <w:pPr>
        <w:ind w:left="1300" w:right="720" w:hanging="644"/>
        <w:spacing w:after="0" w:line="26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right="2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13D on behalf of Qualified Fund should not be construed as an admission that it is, and it disclaims that it is, a beneficial owner, as defined in Rule 13d-3 under the Act, of any of the Stock covered by this Schedule 13D.</w:t>
      </w:r>
    </w:p>
    <w:p>
      <w:pPr>
        <w:spacing w:after="0" w:line="182" w:lineRule="exact"/>
        <w:rPr>
          <w:rFonts w:ascii="Arial" w:cs="Arial" w:eastAsia="Arial" w:hAnsi="Arial"/>
          <w:sz w:val="20"/>
          <w:szCs w:val="20"/>
          <w:color w:val="auto"/>
        </w:rPr>
      </w:pPr>
    </w:p>
    <w:p>
      <w:pPr>
        <w:ind w:left="1300" w:right="3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business address of the Filers is</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13" w:lineRule="exact"/>
        <w:rPr>
          <w:rFonts w:ascii="Arial" w:cs="Arial" w:eastAsia="Arial" w:hAnsi="Arial"/>
          <w:sz w:val="20"/>
          <w:szCs w:val="20"/>
          <w:color w:val="auto"/>
        </w:rPr>
      </w:pPr>
    </w:p>
    <w:p>
      <w:pPr>
        <w:ind w:left="1300" w:right="100" w:hanging="644"/>
        <w:spacing w:after="0" w:line="24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Arial" w:cs="Arial" w:eastAsia="Arial" w:hAnsi="Arial"/>
          <w:sz w:val="20"/>
          <w:szCs w:val="20"/>
          <w:color w:val="auto"/>
        </w:rPr>
      </w:pPr>
    </w:p>
    <w:p>
      <w:pPr>
        <w:ind w:left="1300" w:right="70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EcoR1 is an investment adviser to investment funds, including Qualified Fund (collectively, the “Funds”). Mr. Nodelman is the manager and control person of EcoR1.</w:t>
      </w:r>
    </w:p>
    <w:p>
      <w:pPr>
        <w:spacing w:after="0" w:line="204" w:lineRule="exact"/>
        <w:rPr>
          <w:rFonts w:ascii="Arial" w:cs="Arial" w:eastAsia="Arial" w:hAnsi="Arial"/>
          <w:sz w:val="20"/>
          <w:szCs w:val="20"/>
          <w:color w:val="auto"/>
        </w:rPr>
      </w:pPr>
    </w:p>
    <w:p>
      <w:pPr>
        <w:ind w:left="1300" w:right="44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has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left="1300" w:right="140" w:hanging="644"/>
        <w:spacing w:after="0" w:line="246"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 citizenship of the Filers, see Item 6 of each Filer’s cover page.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source and amount of funds used in purchasing the Stock were as follows: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2340" w:type="dxa"/>
            <w:vAlign w:val="bottom"/>
          </w:tcPr>
          <w:p>
            <w:pPr>
              <w:spacing w:after="0"/>
              <w:rPr>
                <w:sz w:val="20"/>
                <w:szCs w:val="20"/>
                <w:color w:val="auto"/>
              </w:rPr>
            </w:pPr>
            <w:r>
              <w:rPr>
                <w:rFonts w:ascii="Arial" w:cs="Arial" w:eastAsia="Arial" w:hAnsi="Arial"/>
                <w:sz w:val="20"/>
                <w:szCs w:val="20"/>
                <w:b w:val="1"/>
                <w:bCs w:val="1"/>
                <w:color w:val="auto"/>
              </w:rPr>
              <w:t>Purchaser</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Source of Funds</w:t>
            </w:r>
          </w:p>
        </w:tc>
        <w:tc>
          <w:tcPr>
            <w:tcW w:w="2300" w:type="dxa"/>
            <w:vAlign w:val="bottom"/>
          </w:tcPr>
          <w:p>
            <w:pPr>
              <w:ind w:left="1140"/>
              <w:spacing w:after="0"/>
              <w:rPr>
                <w:sz w:val="20"/>
                <w:szCs w:val="20"/>
                <w:color w:val="auto"/>
              </w:rPr>
            </w:pPr>
            <w:r>
              <w:rPr>
                <w:rFonts w:ascii="Arial" w:cs="Arial" w:eastAsia="Arial" w:hAnsi="Arial"/>
                <w:sz w:val="20"/>
                <w:szCs w:val="20"/>
                <w:b w:val="1"/>
                <w:bCs w:val="1"/>
                <w:color w:val="auto"/>
              </w:rPr>
              <w:t>Amount</w:t>
            </w:r>
          </w:p>
        </w:tc>
      </w:tr>
      <w:tr>
        <w:trPr>
          <w:trHeight w:val="642"/>
        </w:trPr>
        <w:tc>
          <w:tcPr>
            <w:tcW w:w="2340" w:type="dxa"/>
            <w:vAlign w:val="bottom"/>
          </w:tcPr>
          <w:p>
            <w:pPr>
              <w:spacing w:after="0"/>
              <w:rPr>
                <w:sz w:val="20"/>
                <w:szCs w:val="20"/>
                <w:color w:val="auto"/>
              </w:rPr>
            </w:pPr>
            <w:r>
              <w:rPr>
                <w:rFonts w:ascii="Arial" w:cs="Arial" w:eastAsia="Arial" w:hAnsi="Arial"/>
                <w:sz w:val="20"/>
                <w:szCs w:val="20"/>
                <w:b w:val="1"/>
                <w:bCs w:val="1"/>
                <w:color w:val="auto"/>
              </w:rPr>
              <w:t>the Funds</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Working Capital</w:t>
            </w:r>
          </w:p>
        </w:tc>
        <w:tc>
          <w:tcPr>
            <w:tcW w:w="2300" w:type="dxa"/>
            <w:vAlign w:val="bottom"/>
          </w:tcPr>
          <w:p>
            <w:pPr>
              <w:ind w:left="1140"/>
              <w:spacing w:after="0"/>
              <w:rPr>
                <w:sz w:val="20"/>
                <w:szCs w:val="20"/>
                <w:color w:val="auto"/>
              </w:rPr>
            </w:pPr>
            <w:r>
              <w:rPr>
                <w:rFonts w:ascii="Arial" w:cs="Arial" w:eastAsia="Arial" w:hAnsi="Arial"/>
                <w:sz w:val="20"/>
                <w:szCs w:val="20"/>
                <w:b w:val="1"/>
                <w:bCs w:val="1"/>
                <w:color w:val="auto"/>
                <w:w w:val="84"/>
              </w:rPr>
              <w:t>$116,356,154</w:t>
            </w:r>
            <w:r>
              <w:rPr>
                <w:rFonts w:ascii="Arial" w:cs="Arial" w:eastAsia="Arial" w:hAnsi="Arial"/>
                <w:sz w:val="32"/>
                <w:szCs w:val="32"/>
                <w:b w:val="1"/>
                <w:bCs w:val="1"/>
                <w:color w:val="auto"/>
                <w:w w:val="84"/>
                <w:vertAlign w:val="superscript"/>
              </w:rPr>
              <w:t>1</w:t>
            </w:r>
          </w:p>
        </w:tc>
      </w:tr>
    </w:tbl>
    <w:p>
      <w:pPr>
        <w:spacing w:after="0" w:line="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33"/>
          <w:szCs w:val="33"/>
          <w:color w:val="auto"/>
          <w:vertAlign w:val="superscript"/>
        </w:rPr>
      </w:pPr>
      <w:r>
        <w:rPr>
          <w:rFonts w:ascii="Arial" w:cs="Arial" w:eastAsia="Arial" w:hAnsi="Arial"/>
          <w:sz w:val="20"/>
          <w:szCs w:val="20"/>
          <w:color w:val="auto"/>
        </w:rPr>
        <w:t>Includes $97,508,218 paid by Qualified Fund.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Filers acquired the Stock for investment purposes based on their belief that the Stock, when purchased, was undervalued and represented an attractive investment opportunity.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that they now own or hereafter acquire.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Filers have no present plan or proposal that relates to or would result in any of the actions specified in clauses (a) through (j) of Item 4 of Schedule 13D.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beneficial ownership of the Stock by each Filer on the date hereof is reflected on that Filer’s cover page. The Filers engaged in the following transactions in the Issuer’s Stock in the 60 days preceding the date of this Schedule 13D:</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20"/>
                <w:szCs w:val="20"/>
                <w:color w:val="auto"/>
              </w:rPr>
              <w:t>Name</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120"/>
              <w:spacing w:after="0"/>
              <w:rPr>
                <w:sz w:val="20"/>
                <w:szCs w:val="20"/>
                <w:color w:val="auto"/>
              </w:rPr>
            </w:pPr>
            <w:r>
              <w:rPr>
                <w:rFonts w:ascii="Arial" w:cs="Arial" w:eastAsia="Arial" w:hAnsi="Arial"/>
                <w:sz w:val="20"/>
                <w:szCs w:val="20"/>
                <w:color w:val="auto"/>
              </w:rPr>
              <w:t>or  Date</w:t>
            </w:r>
          </w:p>
        </w:tc>
        <w:tc>
          <w:tcPr>
            <w:tcW w:w="2120" w:type="dxa"/>
            <w:vAlign w:val="bottom"/>
          </w:tcPr>
          <w:p>
            <w:pPr>
              <w:ind w:left="440"/>
              <w:spacing w:after="0"/>
              <w:rPr>
                <w:sz w:val="20"/>
                <w:szCs w:val="20"/>
                <w:color w:val="auto"/>
              </w:rPr>
            </w:pPr>
            <w:r>
              <w:rPr>
                <w:rFonts w:ascii="Arial" w:cs="Arial" w:eastAsia="Arial" w:hAnsi="Arial"/>
                <w:sz w:val="20"/>
                <w:szCs w:val="20"/>
                <w:color w:val="auto"/>
              </w:rPr>
              <w:t>Manner Effected</w:t>
            </w:r>
          </w:p>
        </w:tc>
        <w:tc>
          <w:tcPr>
            <w:tcW w:w="1960" w:type="dxa"/>
            <w:vAlign w:val="bottom"/>
          </w:tcPr>
          <w:p>
            <w:pPr>
              <w:ind w:left="360"/>
              <w:spacing w:after="0"/>
              <w:rPr>
                <w:sz w:val="20"/>
                <w:szCs w:val="20"/>
                <w:color w:val="auto"/>
              </w:rPr>
            </w:pPr>
            <w:r>
              <w:rPr>
                <w:rFonts w:ascii="Arial" w:cs="Arial" w:eastAsia="Arial" w:hAnsi="Arial"/>
                <w:sz w:val="20"/>
                <w:szCs w:val="20"/>
                <w:color w:val="auto"/>
                <w:w w:val="97"/>
              </w:rPr>
              <w:t>Number of Shares</w:t>
            </w:r>
          </w:p>
        </w:tc>
        <w:tc>
          <w:tcPr>
            <w:tcW w:w="1400" w:type="dxa"/>
            <w:vAlign w:val="bottom"/>
          </w:tcPr>
          <w:p>
            <w:pPr>
              <w:ind w:left="180"/>
              <w:spacing w:after="0"/>
              <w:rPr>
                <w:sz w:val="20"/>
                <w:szCs w:val="20"/>
                <w:color w:val="auto"/>
              </w:rPr>
            </w:pPr>
            <w:r>
              <w:rPr>
                <w:rFonts w:ascii="Arial" w:cs="Arial" w:eastAsia="Arial" w:hAnsi="Arial"/>
                <w:sz w:val="20"/>
                <w:szCs w:val="20"/>
                <w:color w:val="auto"/>
                <w:w w:val="84"/>
              </w:rPr>
              <w:t>Price Per Share</w:t>
            </w:r>
          </w:p>
        </w:tc>
      </w:tr>
      <w:tr>
        <w:trPr>
          <w:trHeight w:val="230"/>
        </w:trPr>
        <w:tc>
          <w:tcPr>
            <w:tcW w:w="1600" w:type="dxa"/>
            <w:vAlign w:val="bottom"/>
          </w:tcPr>
          <w:p>
            <w:pPr>
              <w:spacing w:after="0"/>
              <w:rPr>
                <w:sz w:val="19"/>
                <w:szCs w:val="19"/>
                <w:color w:val="auto"/>
              </w:rPr>
            </w:pPr>
          </w:p>
        </w:tc>
        <w:tc>
          <w:tcPr>
            <w:tcW w:w="1620" w:type="dxa"/>
            <w:vAlign w:val="bottom"/>
          </w:tcPr>
          <w:p>
            <w:pPr>
              <w:ind w:left="760"/>
              <w:spacing w:after="0"/>
              <w:rPr>
                <w:sz w:val="20"/>
                <w:szCs w:val="20"/>
                <w:color w:val="auto"/>
              </w:rPr>
            </w:pPr>
            <w:r>
              <w:rPr>
                <w:rFonts w:ascii="Arial" w:cs="Arial" w:eastAsia="Arial" w:hAnsi="Arial"/>
                <w:sz w:val="20"/>
                <w:szCs w:val="20"/>
                <w:color w:val="auto"/>
              </w:rPr>
              <w:t>Sale</w:t>
            </w:r>
          </w:p>
        </w:tc>
        <w:tc>
          <w:tcPr>
            <w:tcW w:w="1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20"/>
                <w:szCs w:val="20"/>
                <w:color w:val="auto"/>
              </w:rPr>
              <w:t>The Funds</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2/23/2021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line="283" w:lineRule="exact"/>
              <w:rPr>
                <w:sz w:val="20"/>
                <w:szCs w:val="20"/>
                <w:color w:val="auto"/>
              </w:rPr>
            </w:pPr>
            <w:r>
              <w:rPr>
                <w:rFonts w:ascii="Arial" w:cs="Arial" w:eastAsia="Arial" w:hAnsi="Arial"/>
                <w:sz w:val="20"/>
                <w:szCs w:val="20"/>
                <w:color w:val="auto"/>
              </w:rPr>
              <w:t>29,500</w:t>
            </w:r>
            <w:r>
              <w:rPr>
                <w:rFonts w:ascii="Arial" w:cs="Arial" w:eastAsia="Arial" w:hAnsi="Arial"/>
                <w:sz w:val="32"/>
                <w:szCs w:val="32"/>
                <w:color w:val="auto"/>
                <w:vertAlign w:val="superscript"/>
              </w:rPr>
              <w:t>1</w:t>
            </w:r>
          </w:p>
        </w:tc>
        <w:tc>
          <w:tcPr>
            <w:tcW w:w="1400" w:type="dxa"/>
            <w:vAlign w:val="bottom"/>
          </w:tcPr>
          <w:p>
            <w:pPr>
              <w:ind w:left="180"/>
              <w:spacing w:after="0"/>
              <w:rPr>
                <w:sz w:val="20"/>
                <w:szCs w:val="20"/>
                <w:color w:val="auto"/>
              </w:rPr>
            </w:pPr>
            <w:r>
              <w:rPr>
                <w:rFonts w:ascii="Arial" w:cs="Arial" w:eastAsia="Arial" w:hAnsi="Arial"/>
                <w:sz w:val="20"/>
                <w:szCs w:val="20"/>
                <w:color w:val="auto"/>
              </w:rPr>
              <w:t>$25.4799</w:t>
            </w:r>
          </w:p>
        </w:tc>
      </w:tr>
      <w:tr>
        <w:trPr>
          <w:trHeight w:val="283"/>
        </w:trPr>
        <w:tc>
          <w:tcPr>
            <w:tcW w:w="1600" w:type="dxa"/>
            <w:vAlign w:val="bottom"/>
          </w:tcPr>
          <w:p>
            <w:pPr>
              <w:spacing w:after="0"/>
              <w:rPr>
                <w:sz w:val="20"/>
                <w:szCs w:val="20"/>
                <w:color w:val="auto"/>
              </w:rPr>
            </w:pPr>
            <w:r>
              <w:rPr>
                <w:rFonts w:ascii="Arial" w:cs="Arial" w:eastAsia="Arial" w:hAnsi="Arial"/>
                <w:sz w:val="20"/>
                <w:szCs w:val="20"/>
                <w:color w:val="auto"/>
              </w:rPr>
              <w:t>The Funds</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3/8/2021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line="283" w:lineRule="exact"/>
              <w:rPr>
                <w:sz w:val="20"/>
                <w:szCs w:val="20"/>
                <w:color w:val="auto"/>
              </w:rPr>
            </w:pPr>
            <w:r>
              <w:rPr>
                <w:rFonts w:ascii="Arial" w:cs="Arial" w:eastAsia="Arial" w:hAnsi="Arial"/>
                <w:sz w:val="20"/>
                <w:szCs w:val="20"/>
                <w:color w:val="auto"/>
              </w:rPr>
              <w:t>2,777,800</w:t>
            </w:r>
            <w:r>
              <w:rPr>
                <w:rFonts w:ascii="Arial" w:cs="Arial" w:eastAsia="Arial" w:hAnsi="Arial"/>
                <w:sz w:val="32"/>
                <w:szCs w:val="32"/>
                <w:color w:val="auto"/>
                <w:vertAlign w:val="superscript"/>
              </w:rPr>
              <w:t>2</w:t>
            </w:r>
          </w:p>
        </w:tc>
        <w:tc>
          <w:tcPr>
            <w:tcW w:w="1400" w:type="dxa"/>
            <w:vAlign w:val="bottom"/>
          </w:tcPr>
          <w:p>
            <w:pPr>
              <w:ind w:left="180"/>
              <w:spacing w:after="0"/>
              <w:rPr>
                <w:sz w:val="20"/>
                <w:szCs w:val="20"/>
                <w:color w:val="auto"/>
              </w:rPr>
            </w:pPr>
            <w:r>
              <w:rPr>
                <w:rFonts w:ascii="Arial" w:cs="Arial" w:eastAsia="Arial" w:hAnsi="Arial"/>
                <w:sz w:val="20"/>
                <w:szCs w:val="20"/>
                <w:color w:val="auto"/>
              </w:rPr>
              <w:t>$18.9698</w:t>
            </w:r>
          </w:p>
        </w:tc>
      </w:tr>
      <w:tr>
        <w:trPr>
          <w:trHeight w:val="434"/>
        </w:trPr>
        <w:tc>
          <w:tcPr>
            <w:tcW w:w="1600" w:type="dxa"/>
            <w:vAlign w:val="bottom"/>
          </w:tcPr>
          <w:p>
            <w:pPr>
              <w:spacing w:after="0"/>
              <w:rPr>
                <w:sz w:val="20"/>
                <w:szCs w:val="20"/>
                <w:color w:val="auto"/>
              </w:rPr>
            </w:pPr>
            <w:r>
              <w:rPr>
                <w:rFonts w:ascii="Arial" w:cs="Arial" w:eastAsia="Arial" w:hAnsi="Arial"/>
                <w:sz w:val="20"/>
                <w:szCs w:val="20"/>
                <w:color w:val="auto"/>
              </w:rPr>
              <w:t>The Funds</w:t>
            </w:r>
          </w:p>
        </w:tc>
        <w:tc>
          <w:tcPr>
            <w:tcW w:w="1620" w:type="dxa"/>
            <w:vAlign w:val="bottom"/>
          </w:tcPr>
          <w:p>
            <w:pPr>
              <w:ind w:left="76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3/9/2021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531,000</w:t>
            </w:r>
            <w:r>
              <w:rPr>
                <w:rFonts w:ascii="Arial" w:cs="Arial" w:eastAsia="Arial" w:hAnsi="Arial"/>
                <w:sz w:val="32"/>
                <w:szCs w:val="32"/>
                <w:color w:val="auto"/>
                <w:vertAlign w:val="superscript"/>
              </w:rPr>
              <w:t>3</w:t>
            </w:r>
          </w:p>
        </w:tc>
        <w:tc>
          <w:tcPr>
            <w:tcW w:w="1400" w:type="dxa"/>
            <w:vAlign w:val="bottom"/>
          </w:tcPr>
          <w:p>
            <w:pPr>
              <w:ind w:left="180"/>
              <w:spacing w:after="0"/>
              <w:rPr>
                <w:sz w:val="20"/>
                <w:szCs w:val="20"/>
                <w:color w:val="auto"/>
              </w:rPr>
            </w:pPr>
            <w:r>
              <w:rPr>
                <w:rFonts w:ascii="Arial" w:cs="Arial" w:eastAsia="Arial" w:hAnsi="Arial"/>
                <w:sz w:val="20"/>
                <w:szCs w:val="20"/>
                <w:color w:val="auto"/>
              </w:rPr>
              <w:t>$18.6976</w:t>
            </w:r>
          </w:p>
        </w:tc>
      </w:tr>
    </w:tbl>
    <w:p>
      <w:pPr>
        <w:spacing w:after="0" w:line="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33"/>
          <w:szCs w:val="33"/>
          <w:color w:val="auto"/>
          <w:vertAlign w:val="superscript"/>
        </w:rPr>
      </w:pPr>
      <w:r>
        <w:rPr>
          <w:rFonts w:ascii="Arial" w:cs="Arial" w:eastAsia="Arial" w:hAnsi="Arial"/>
          <w:sz w:val="20"/>
          <w:szCs w:val="20"/>
          <w:color w:val="auto"/>
        </w:rPr>
        <w:t>Includes 13,862 shares of the Stock purchased by Qualified Fund.</w:t>
      </w:r>
    </w:p>
    <w:p>
      <w:pPr>
        <w:ind w:left="140" w:hanging="132"/>
        <w:spacing w:after="0" w:line="180" w:lineRule="auto"/>
        <w:tabs>
          <w:tab w:leader="none" w:pos="140" w:val="left"/>
        </w:tabs>
        <w:numPr>
          <w:ilvl w:val="0"/>
          <w:numId w:val="11"/>
        </w:numPr>
        <w:rPr>
          <w:rFonts w:ascii="Arial" w:cs="Arial" w:eastAsia="Arial" w:hAnsi="Arial"/>
          <w:sz w:val="33"/>
          <w:szCs w:val="33"/>
          <w:color w:val="auto"/>
          <w:vertAlign w:val="superscript"/>
        </w:rPr>
      </w:pPr>
      <w:r>
        <w:rPr>
          <w:rFonts w:ascii="Arial" w:cs="Arial" w:eastAsia="Arial" w:hAnsi="Arial"/>
          <w:sz w:val="20"/>
          <w:szCs w:val="20"/>
          <w:color w:val="auto"/>
        </w:rPr>
        <w:t>Includes 2,333,073 shares of the Stock purchased by Qualified Fund.</w:t>
      </w:r>
    </w:p>
    <w:p>
      <w:pPr>
        <w:spacing w:after="0" w:line="50" w:lineRule="exact"/>
        <w:rPr>
          <w:rFonts w:ascii="Arial" w:cs="Arial" w:eastAsia="Arial" w:hAnsi="Arial"/>
          <w:sz w:val="33"/>
          <w:szCs w:val="33"/>
          <w:color w:val="auto"/>
          <w:vertAlign w:val="superscript"/>
        </w:rPr>
      </w:pPr>
    </w:p>
    <w:p>
      <w:pPr>
        <w:spacing w:after="0" w:line="237" w:lineRule="auto"/>
        <w:rPr>
          <w:rFonts w:ascii="Arial" w:cs="Arial" w:eastAsia="Arial" w:hAnsi="Arial"/>
          <w:sz w:val="33"/>
          <w:szCs w:val="33"/>
          <w:color w:val="auto"/>
          <w:vertAlign w:val="superscript"/>
        </w:rPr>
      </w:pPr>
      <w:r>
        <w:rPr>
          <w:rFonts w:ascii="Arial" w:cs="Arial" w:eastAsia="Arial" w:hAnsi="Arial"/>
          <w:sz w:val="32"/>
          <w:szCs w:val="32"/>
          <w:color w:val="auto"/>
          <w:vertAlign w:val="superscript"/>
        </w:rPr>
        <w:t>3</w:t>
      </w:r>
      <w:r>
        <w:rPr>
          <w:rFonts w:ascii="Arial" w:cs="Arial" w:eastAsia="Arial" w:hAnsi="Arial"/>
          <w:sz w:val="20"/>
          <w:szCs w:val="20"/>
          <w:color w:val="auto"/>
        </w:rPr>
        <w:t xml:space="preserve"> Includes 445,987 shares of the Stock purchased by Qualified Fund.</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Contracts, Arrangement, Understandings or Relationships with Respect to Securities of the Issuer</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EcoR1 is the investment adviser to its clients pursuant to investment management agreements or limited partnership agreements providing to EcoR1 the authority, among other things, to invest the funds of such clients in Stock, to vote and dispose of Stock and to file this statement on behalf of such clients. Pursuant to such limited partnership agreements, EcoR1 is entitled to allocations based on assets under management and realized and unrealized gains. Pursuant to such investment management agreements, EcoR1 is entitled to fees based on assets under management and realized and unrealized gains.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Agreement Regarding Joint Filing of Statement on Schedule 13D or 13G.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After reasonable inquiry and to the best of my knowledge,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March 10, 2021</w:t>
      </w:r>
    </w:p>
    <w:p>
      <w:pPr>
        <w:spacing w:after="0" w:line="223"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20"/>
          <w:szCs w:val="20"/>
          <w:b w:val="1"/>
          <w:bCs w:val="1"/>
          <w:color w:val="auto"/>
        </w:rPr>
        <w:t>EcoR1 CAPITAL, LLC</w:t>
      </w:r>
      <w:r>
        <w:rPr>
          <w:sz w:val="20"/>
          <w:szCs w:val="20"/>
          <w:color w:val="auto"/>
        </w:rPr>
        <w:tab/>
      </w:r>
      <w:r>
        <w:rPr>
          <w:rFonts w:ascii="Arial" w:cs="Arial" w:eastAsia="Arial" w:hAnsi="Arial"/>
          <w:sz w:val="19"/>
          <w:szCs w:val="19"/>
          <w:b w:val="1"/>
          <w:bCs w:val="1"/>
          <w:color w:val="auto"/>
        </w:rPr>
        <w:t>EcoR1 CAPITAL FUND QUALIFIED, L.P.</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 EcoR1 Capital, LLC, General Partner</w:t>
      </w:r>
    </w:p>
    <w:p>
      <w:pPr>
        <w:sectPr>
          <w:pgSz w:w="11900" w:h="16838" w:orient="portrait"/>
          <w:cols w:equalWidth="0" w:num="1">
            <w:col w:w="11240"/>
          </w:cols>
          <w:pgMar w:left="320" w:top="233"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5600" w:type="dxa"/>
            <w:vAlign w:val="bottom"/>
            <w:gridSpan w:val="2"/>
          </w:tcPr>
          <w:p>
            <w:pPr>
              <w:ind w:left="40"/>
              <w:spacing w:after="0"/>
              <w:rPr>
                <w:sz w:val="20"/>
                <w:szCs w:val="20"/>
                <w:color w:val="auto"/>
              </w:rPr>
            </w:pPr>
            <w:r>
              <w:rPr>
                <w:rFonts w:ascii="Arial" w:cs="Arial" w:eastAsia="Arial" w:hAnsi="Arial"/>
                <w:sz w:val="20"/>
                <w:szCs w:val="20"/>
                <w:color w:val="auto"/>
              </w:rPr>
              <w:t>Oleg Nodelman</w:t>
            </w:r>
          </w:p>
        </w:tc>
        <w:tc>
          <w:tcPr>
            <w:tcW w:w="13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2980" w:type="dxa"/>
            <w:vAlign w:val="bottom"/>
            <w:gridSpan w:val="3"/>
          </w:tcPr>
          <w:p>
            <w:pPr>
              <w:spacing w:after="0" w:line="209" w:lineRule="exact"/>
              <w:rPr>
                <w:sz w:val="20"/>
                <w:szCs w:val="20"/>
                <w:color w:val="auto"/>
              </w:rPr>
            </w:pPr>
            <w:r>
              <w:rPr>
                <w:rFonts w:ascii="Arial" w:cs="Arial" w:eastAsia="Arial" w:hAnsi="Arial"/>
                <w:sz w:val="20"/>
                <w:szCs w:val="20"/>
                <w:color w:val="auto"/>
              </w:rPr>
              <w:t>Manager</w:t>
            </w:r>
          </w:p>
        </w:tc>
        <w:tc>
          <w:tcPr>
            <w:tcW w:w="5600" w:type="dxa"/>
            <w:vAlign w:val="bottom"/>
            <w:gridSpan w:val="2"/>
          </w:tcPr>
          <w:p>
            <w:pPr>
              <w:ind w:left="2640"/>
              <w:spacing w:after="0" w:line="209" w:lineRule="exact"/>
              <w:rPr>
                <w:sz w:val="20"/>
                <w:szCs w:val="20"/>
                <w:color w:val="auto"/>
              </w:rPr>
            </w:pPr>
            <w:r>
              <w:rPr>
                <w:rFonts w:ascii="Arial" w:cs="Arial" w:eastAsia="Arial" w:hAnsi="Arial"/>
                <w:sz w:val="20"/>
                <w:szCs w:val="20"/>
                <w:color w:val="auto"/>
              </w:rPr>
              <w:t>By: /s/ Oleg Nodelman</w:t>
            </w:r>
          </w:p>
        </w:tc>
        <w:tc>
          <w:tcPr>
            <w:tcW w:w="1320" w:type="dxa"/>
            <w:vAlign w:val="bottom"/>
          </w:tcPr>
          <w:p>
            <w:pPr>
              <w:ind w:left="60"/>
              <w:spacing w:after="0" w:line="209" w:lineRule="exact"/>
              <w:rPr>
                <w:sz w:val="20"/>
                <w:szCs w:val="20"/>
                <w:color w:val="auto"/>
              </w:rPr>
            </w:pPr>
            <w:r>
              <w:rPr>
                <w:rFonts w:ascii="Arial" w:cs="Arial" w:eastAsia="Arial" w:hAnsi="Arial"/>
                <w:sz w:val="20"/>
                <w:szCs w:val="20"/>
                <w:color w:val="auto"/>
                <w:w w:val="89"/>
              </w:rPr>
              <w:t>Oleg Nodelman</w:t>
            </w:r>
          </w:p>
        </w:tc>
      </w:tr>
      <w:tr>
        <w:trPr>
          <w:trHeight w:val="20"/>
        </w:trPr>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0" w:type="dxa"/>
            <w:vAlign w:val="bottom"/>
            <w:gridSpan w:val="2"/>
          </w:tcPr>
          <w:p>
            <w:pPr>
              <w:ind w:left="2640"/>
              <w:spacing w:after="0"/>
              <w:rPr>
                <w:sz w:val="20"/>
                <w:szCs w:val="20"/>
                <w:color w:val="auto"/>
              </w:rPr>
            </w:pPr>
            <w:r>
              <w:rPr>
                <w:rFonts w:ascii="Arial" w:cs="Arial" w:eastAsia="Arial" w:hAnsi="Arial"/>
                <w:sz w:val="20"/>
                <w:szCs w:val="20"/>
                <w:color w:val="auto"/>
              </w:rPr>
              <w:t>Manager</w:t>
            </w:r>
          </w:p>
        </w:tc>
        <w:tc>
          <w:tcPr>
            <w:tcW w:w="1320" w:type="dxa"/>
            <w:vAlign w:val="bottom"/>
          </w:tcPr>
          <w:p>
            <w:pPr>
              <w:spacing w:after="0"/>
              <w:rPr>
                <w:sz w:val="22"/>
                <w:szCs w:val="22"/>
                <w:color w:val="auto"/>
              </w:rPr>
            </w:pPr>
          </w:p>
        </w:tc>
      </w:tr>
      <w:tr>
        <w:trPr>
          <w:trHeight w:val="644"/>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Oleg Nodelman</w:t>
            </w:r>
          </w:p>
        </w:tc>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4"/>
        </w:trPr>
        <w:tc>
          <w:tcPr>
            <w:tcW w:w="298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29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41"/>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Pr>
          <w:p>
            <w:pPr>
              <w:jc w:val="right"/>
              <w:ind w:right="283"/>
              <w:spacing w:after="0"/>
              <w:rPr>
                <w:sz w:val="20"/>
                <w:szCs w:val="20"/>
                <w:color w:val="auto"/>
              </w:rPr>
            </w:pPr>
            <w:r>
              <w:rPr>
                <w:rFonts w:ascii="Arial" w:cs="Arial" w:eastAsia="Arial" w:hAnsi="Arial"/>
                <w:sz w:val="18"/>
                <w:szCs w:val="18"/>
                <w:color w:val="auto"/>
              </w:rPr>
              <w:t>6</w:t>
            </w: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039"/>
          </w:cols>
          <w:pgMar w:left="420" w:top="32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80" w:type="dxa"/>
            <w:vAlign w:val="bottom"/>
            <w:gridSpan w:val="4"/>
          </w:tcPr>
          <w:p>
            <w:pPr>
              <w:spacing w:after="0"/>
              <w:rPr>
                <w:sz w:val="20"/>
                <w:szCs w:val="20"/>
                <w:color w:val="auto"/>
              </w:rPr>
            </w:pPr>
            <w:r>
              <w:rPr>
                <w:rFonts w:ascii="Arial" w:cs="Arial" w:eastAsia="Arial" w:hAnsi="Arial"/>
                <w:sz w:val="20"/>
                <w:szCs w:val="20"/>
                <w:color w:val="auto"/>
              </w:rPr>
              <w:t>Dated: March 10, 2021</w:t>
            </w:r>
          </w:p>
        </w:tc>
        <w:tc>
          <w:tcPr>
            <w:tcW w:w="29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59"/>
        </w:trPr>
        <w:tc>
          <w:tcPr>
            <w:tcW w:w="10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20"/>
                <w:szCs w:val="20"/>
                <w:b w:val="1"/>
                <w:bCs w:val="1"/>
                <w:color w:val="auto"/>
              </w:rPr>
              <w:t>EcoR1 CAPITAL, LLC</w:t>
            </w:r>
          </w:p>
        </w:tc>
        <w:tc>
          <w:tcPr>
            <w:tcW w:w="6320" w:type="dxa"/>
            <w:vAlign w:val="bottom"/>
            <w:gridSpan w:val="3"/>
          </w:tcPr>
          <w:p>
            <w:pPr>
              <w:ind w:left="2640"/>
              <w:spacing w:after="0"/>
              <w:rPr>
                <w:sz w:val="20"/>
                <w:szCs w:val="20"/>
                <w:color w:val="auto"/>
              </w:rPr>
            </w:pPr>
            <w:r>
              <w:rPr>
                <w:rFonts w:ascii="Arial" w:cs="Arial" w:eastAsia="Arial" w:hAnsi="Arial"/>
                <w:sz w:val="20"/>
                <w:szCs w:val="20"/>
                <w:b w:val="1"/>
                <w:bCs w:val="1"/>
                <w:color w:val="auto"/>
                <w:w w:val="97"/>
              </w:rPr>
              <w:t>EcoR1 CAPITAL FUND QUALIFIED, L.P.</w:t>
            </w:r>
          </w:p>
        </w:tc>
      </w:tr>
      <w:tr>
        <w:trPr>
          <w:trHeight w:val="459"/>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By: EcoR1 Capital, LLC, General Partner</w:t>
            </w:r>
          </w:p>
        </w:tc>
      </w:tr>
      <w:tr>
        <w:trPr>
          <w:trHeight w:val="644"/>
        </w:trPr>
        <w:tc>
          <w:tcPr>
            <w:tcW w:w="10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By: /s/ Oleg Nodelman</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Oleg Nodelman</w:t>
            </w:r>
          </w:p>
        </w:tc>
      </w:tr>
      <w:tr>
        <w:trPr>
          <w:trHeight w:val="250"/>
        </w:trPr>
        <w:tc>
          <w:tcPr>
            <w:tcW w:w="100" w:type="dxa"/>
            <w:vAlign w:val="bottom"/>
          </w:tcPr>
          <w:p>
            <w:pPr>
              <w:spacing w:after="0"/>
              <w:rPr>
                <w:sz w:val="21"/>
                <w:szCs w:val="21"/>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Manager</w:t>
            </w:r>
          </w:p>
        </w:tc>
        <w:tc>
          <w:tcPr>
            <w:tcW w:w="6320" w:type="dxa"/>
            <w:vAlign w:val="bottom"/>
            <w:gridSpan w:val="3"/>
          </w:tcPr>
          <w:p>
            <w:pPr>
              <w:ind w:left="2640"/>
              <w:spacing w:after="0"/>
              <w:rPr>
                <w:sz w:val="20"/>
                <w:szCs w:val="20"/>
                <w:color w:val="auto"/>
              </w:rPr>
            </w:pPr>
            <w:r>
              <w:rPr>
                <w:rFonts w:ascii="Arial" w:cs="Arial" w:eastAsia="Arial" w:hAnsi="Arial"/>
                <w:sz w:val="20"/>
                <w:szCs w:val="20"/>
                <w:color w:val="auto"/>
              </w:rPr>
              <w:t>Manager</w:t>
            </w:r>
          </w:p>
        </w:tc>
      </w:tr>
      <w:tr>
        <w:trPr>
          <w:trHeight w:val="873"/>
        </w:trPr>
        <w:tc>
          <w:tcPr>
            <w:tcW w:w="100" w:type="dxa"/>
            <w:vAlign w:val="bottom"/>
          </w:tcPr>
          <w:p>
            <w:pPr>
              <w:spacing w:after="0"/>
              <w:rPr>
                <w:sz w:val="24"/>
                <w:szCs w:val="24"/>
                <w:color w:val="auto"/>
              </w:rPr>
            </w:pPr>
          </w:p>
        </w:tc>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Oleg Nodelman</w:t>
            </w:r>
          </w:p>
        </w:tc>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4"/>
        </w:trPr>
        <w:tc>
          <w:tcPr>
            <w:tcW w:w="100" w:type="dxa"/>
            <w:vAlign w:val="bottom"/>
          </w:tcPr>
          <w:p>
            <w:pPr>
              <w:spacing w:after="0"/>
              <w:rPr>
                <w:sz w:val="22"/>
                <w:szCs w:val="22"/>
                <w:color w:val="auto"/>
              </w:rPr>
            </w:pPr>
          </w:p>
        </w:tc>
        <w:tc>
          <w:tcPr>
            <w:tcW w:w="298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29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2021-03-10T16:19:34Z</dcterms:created>
  <dcterms:modified xsi:type="dcterms:W3CDTF">2021-03-10T16:19:34Z</dcterms:modified>
</cp:coreProperties>
</file>