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81" w:lineRule="exact"/>
        <w:rPr>
          <w:sz w:val="24"/>
          <w:szCs w:val="24"/>
          <w:color w:val="auto"/>
        </w:rPr>
      </w:pPr>
    </w:p>
    <w:p>
      <w:pPr>
        <w:ind w:left="4840"/>
        <w:spacing w:after="0"/>
        <w:rPr>
          <w:sz w:val="20"/>
          <w:szCs w:val="20"/>
          <w:color w:val="auto"/>
        </w:rPr>
      </w:pPr>
      <w:r>
        <w:rPr>
          <w:rFonts w:ascii="Arial" w:cs="Arial" w:eastAsia="Arial" w:hAnsi="Arial"/>
          <w:sz w:val="20"/>
          <w:szCs w:val="20"/>
          <w:b w:val="1"/>
          <w:bCs w:val="1"/>
          <w:color w:val="auto"/>
        </w:rPr>
        <w:t>UNITED STATES</w:t>
      </w:r>
    </w:p>
    <w:p>
      <w:pPr>
        <w:spacing w:after="0" w:line="26" w:lineRule="exact"/>
        <w:rPr>
          <w:sz w:val="24"/>
          <w:szCs w:val="24"/>
          <w:color w:val="auto"/>
        </w:rPr>
      </w:pPr>
    </w:p>
    <w:p>
      <w:pPr>
        <w:ind w:left="3500"/>
        <w:spacing w:after="0"/>
        <w:rPr>
          <w:sz w:val="20"/>
          <w:szCs w:val="20"/>
          <w:color w:val="auto"/>
        </w:rPr>
      </w:pPr>
      <w:r>
        <w:rPr>
          <w:rFonts w:ascii="Arial" w:cs="Arial" w:eastAsia="Arial" w:hAnsi="Arial"/>
          <w:sz w:val="20"/>
          <w:szCs w:val="20"/>
          <w:b w:val="1"/>
          <w:bCs w:val="1"/>
          <w:color w:val="auto"/>
        </w:rPr>
        <w:t>SECURITIES AND EXCHANGE COMMISSION</w:t>
      </w:r>
    </w:p>
    <w:p>
      <w:pPr>
        <w:spacing w:after="0" w:line="8"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WASHINGTON, D.C. 20549</w:t>
      </w:r>
    </w:p>
    <w:p>
      <w:pPr>
        <w:spacing w:after="0" w:line="234"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FORM 8-K</w:t>
      </w:r>
    </w:p>
    <w:p>
      <w:pPr>
        <w:spacing w:after="0" w:line="243"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CURRENT REPORT PURSUANT TO</w:t>
      </w:r>
    </w:p>
    <w:p>
      <w:pPr>
        <w:spacing w:after="0" w:line="26" w:lineRule="exact"/>
        <w:rPr>
          <w:sz w:val="24"/>
          <w:szCs w:val="24"/>
          <w:color w:val="auto"/>
        </w:rPr>
      </w:pPr>
    </w:p>
    <w:p>
      <w:pPr>
        <w:jc w:val="center"/>
        <w:spacing w:after="0"/>
        <w:rPr>
          <w:sz w:val="20"/>
          <w:szCs w:val="20"/>
          <w:color w:val="auto"/>
        </w:rPr>
      </w:pPr>
      <w:r>
        <w:rPr>
          <w:rFonts w:ascii="Arial" w:cs="Arial" w:eastAsia="Arial" w:hAnsi="Arial"/>
          <w:sz w:val="19"/>
          <w:szCs w:val="19"/>
          <w:b w:val="1"/>
          <w:bCs w:val="1"/>
          <w:color w:val="auto"/>
        </w:rPr>
        <w:t>SECTION 13 OR 15(d) OF THE SECURITIES EXCHANGE ACT OF 1934</w:t>
      </w:r>
    </w:p>
    <w:p>
      <w:pPr>
        <w:spacing w:after="0" w:line="254" w:lineRule="exact"/>
        <w:rPr>
          <w:sz w:val="24"/>
          <w:szCs w:val="24"/>
          <w:color w:val="auto"/>
        </w:rPr>
      </w:pPr>
    </w:p>
    <w:p>
      <w:pPr>
        <w:ind w:left="4360"/>
        <w:spacing w:after="0"/>
        <w:rPr>
          <w:sz w:val="20"/>
          <w:szCs w:val="20"/>
          <w:color w:val="auto"/>
        </w:rPr>
      </w:pPr>
      <w:r>
        <w:rPr>
          <w:rFonts w:ascii="Arial" w:cs="Arial" w:eastAsia="Arial" w:hAnsi="Arial"/>
          <w:sz w:val="20"/>
          <w:szCs w:val="20"/>
          <w:b w:val="1"/>
          <w:bCs w:val="1"/>
          <w:color w:val="auto"/>
        </w:rPr>
        <w:t>Date of Report: June 15, 2023</w:t>
      </w:r>
    </w:p>
    <w:p>
      <w:pPr>
        <w:spacing w:after="0" w:line="22" w:lineRule="exact"/>
        <w:rPr>
          <w:sz w:val="24"/>
          <w:szCs w:val="24"/>
          <w:color w:val="auto"/>
        </w:rPr>
      </w:pPr>
    </w:p>
    <w:p>
      <w:pPr>
        <w:ind w:left="4360"/>
        <w:spacing w:after="0"/>
        <w:rPr>
          <w:sz w:val="20"/>
          <w:szCs w:val="20"/>
          <w:color w:val="auto"/>
        </w:rPr>
      </w:pPr>
      <w:r>
        <w:rPr>
          <w:rFonts w:ascii="Arial" w:cs="Arial" w:eastAsia="Arial" w:hAnsi="Arial"/>
          <w:sz w:val="20"/>
          <w:szCs w:val="20"/>
          <w:color w:val="auto"/>
        </w:rPr>
        <w:t>(Date of earliest event reported)</w:t>
      </w:r>
    </w:p>
    <w:p>
      <w:pPr>
        <w:spacing w:after="0" w:line="234"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ANAPTYSBIO, INC.</w:t>
      </w:r>
    </w:p>
    <w:p>
      <w:pPr>
        <w:spacing w:after="0" w:line="22" w:lineRule="exact"/>
        <w:rPr>
          <w:sz w:val="24"/>
          <w:szCs w:val="24"/>
          <w:color w:val="auto"/>
        </w:rPr>
      </w:pPr>
    </w:p>
    <w:p>
      <w:pPr>
        <w:jc w:val="center"/>
        <w:spacing w:after="0"/>
        <w:rPr>
          <w:sz w:val="20"/>
          <w:szCs w:val="20"/>
          <w:color w:val="auto"/>
        </w:rPr>
      </w:pPr>
      <w:r>
        <w:rPr>
          <w:rFonts w:ascii="Arial" w:cs="Arial" w:eastAsia="Arial" w:hAnsi="Arial"/>
          <w:sz w:val="20"/>
          <w:szCs w:val="20"/>
          <w:color w:val="auto"/>
        </w:rPr>
        <w:t>(Exact Name of Registrant as Specified in Charter)</w:t>
      </w:r>
    </w:p>
    <w:p>
      <w:pPr>
        <w:sectPr>
          <w:pgSz w:w="11900" w:h="16838" w:orient="portrait"/>
          <w:cols w:equalWidth="0" w:num="1">
            <w:col w:w="11240"/>
          </w:cols>
          <w:pgMar w:left="320" w:top="1440" w:right="339" w:bottom="1440" w:gutter="0" w:footer="0" w:header="0"/>
        </w:sectPr>
      </w:pPr>
    </w:p>
    <w:p>
      <w:pPr>
        <w:spacing w:after="0" w:line="275" w:lineRule="exact"/>
        <w:rPr>
          <w:sz w:val="24"/>
          <w:szCs w:val="24"/>
          <w:color w:val="auto"/>
        </w:rPr>
      </w:pPr>
    </w:p>
    <w:p>
      <w:pPr>
        <w:jc w:val="center"/>
        <w:ind w:left="80"/>
        <w:spacing w:after="0"/>
        <w:rPr>
          <w:sz w:val="20"/>
          <w:szCs w:val="20"/>
          <w:color w:val="auto"/>
        </w:rPr>
      </w:pPr>
      <w:r>
        <w:rPr>
          <w:rFonts w:ascii="Arial" w:cs="Arial" w:eastAsia="Arial" w:hAnsi="Arial"/>
          <w:sz w:val="20"/>
          <w:szCs w:val="20"/>
          <w:b w:val="1"/>
          <w:bCs w:val="1"/>
          <w:color w:val="auto"/>
        </w:rPr>
        <w:t>Delaware</w:t>
      </w:r>
    </w:p>
    <w:p>
      <w:pPr>
        <w:spacing w:after="0" w:line="33" w:lineRule="exact"/>
        <w:rPr>
          <w:sz w:val="24"/>
          <w:szCs w:val="24"/>
          <w:color w:val="auto"/>
        </w:rPr>
      </w:pPr>
    </w:p>
    <w:p>
      <w:pPr>
        <w:jc w:val="center"/>
        <w:ind w:left="80"/>
        <w:spacing w:after="0"/>
        <w:rPr>
          <w:sz w:val="20"/>
          <w:szCs w:val="20"/>
          <w:color w:val="auto"/>
        </w:rPr>
      </w:pPr>
      <w:r>
        <w:rPr>
          <w:rFonts w:ascii="Arial" w:cs="Arial" w:eastAsia="Arial" w:hAnsi="Arial"/>
          <w:sz w:val="18"/>
          <w:szCs w:val="18"/>
          <w:color w:val="auto"/>
        </w:rPr>
        <w:t>(State or Other Jurisdiction of Incorporation)</w:t>
      </w:r>
    </w:p>
    <w:p>
      <w:pPr>
        <w:spacing w:after="0" w:line="20" w:lineRule="exact"/>
        <w:rPr>
          <w:sz w:val="24"/>
          <w:szCs w:val="24"/>
          <w:color w:val="auto"/>
        </w:rPr>
      </w:pPr>
      <w:r>
        <w:rPr>
          <w:sz w:val="24"/>
          <w:szCs w:val="24"/>
          <w:color w:val="auto"/>
        </w:rPr>
        <w:br w:type="column"/>
      </w:r>
    </w:p>
    <w:p>
      <w:pPr>
        <w:spacing w:after="0" w:line="255" w:lineRule="exact"/>
        <w:rPr>
          <w:sz w:val="24"/>
          <w:szCs w:val="24"/>
          <w:color w:val="auto"/>
        </w:rPr>
      </w:pPr>
    </w:p>
    <w:p>
      <w:pPr>
        <w:jc w:val="center"/>
        <w:ind w:right="480"/>
        <w:spacing w:after="0"/>
        <w:rPr>
          <w:sz w:val="20"/>
          <w:szCs w:val="20"/>
          <w:color w:val="auto"/>
        </w:rPr>
      </w:pPr>
      <w:r>
        <w:rPr>
          <w:rFonts w:ascii="Arial" w:cs="Arial" w:eastAsia="Arial" w:hAnsi="Arial"/>
          <w:sz w:val="20"/>
          <w:szCs w:val="20"/>
          <w:b w:val="1"/>
          <w:bCs w:val="1"/>
          <w:color w:val="auto"/>
        </w:rPr>
        <w:t>001-37985</w:t>
      </w:r>
    </w:p>
    <w:p>
      <w:pPr>
        <w:spacing w:after="0" w:line="33" w:lineRule="exact"/>
        <w:rPr>
          <w:sz w:val="24"/>
          <w:szCs w:val="24"/>
          <w:color w:val="auto"/>
        </w:rPr>
      </w:pPr>
    </w:p>
    <w:p>
      <w:pPr>
        <w:jc w:val="center"/>
        <w:ind w:right="480"/>
        <w:spacing w:after="0"/>
        <w:rPr>
          <w:sz w:val="20"/>
          <w:szCs w:val="20"/>
          <w:color w:val="auto"/>
        </w:rPr>
      </w:pPr>
      <w:r>
        <w:rPr>
          <w:rFonts w:ascii="Arial" w:cs="Arial" w:eastAsia="Arial" w:hAnsi="Arial"/>
          <w:sz w:val="18"/>
          <w:szCs w:val="18"/>
          <w:color w:val="auto"/>
        </w:rPr>
        <w:t>(Commission File Number)</w:t>
      </w:r>
    </w:p>
    <w:p>
      <w:pPr>
        <w:spacing w:after="0" w:line="20" w:lineRule="exact"/>
        <w:rPr>
          <w:sz w:val="24"/>
          <w:szCs w:val="24"/>
          <w:color w:val="auto"/>
        </w:rPr>
      </w:pPr>
      <w:r>
        <w:rPr>
          <w:sz w:val="24"/>
          <w:szCs w:val="24"/>
          <w:color w:val="auto"/>
        </w:rPr>
        <w:br w:type="column"/>
      </w:r>
    </w:p>
    <w:p>
      <w:pPr>
        <w:spacing w:after="0" w:line="255" w:lineRule="exact"/>
        <w:rPr>
          <w:sz w:val="24"/>
          <w:szCs w:val="24"/>
          <w:color w:val="auto"/>
        </w:rPr>
      </w:pPr>
    </w:p>
    <w:p>
      <w:pPr>
        <w:jc w:val="center"/>
        <w:ind w:right="560"/>
        <w:spacing w:after="0"/>
        <w:rPr>
          <w:sz w:val="20"/>
          <w:szCs w:val="20"/>
          <w:color w:val="auto"/>
        </w:rPr>
      </w:pPr>
      <w:r>
        <w:rPr>
          <w:rFonts w:ascii="Arial" w:cs="Arial" w:eastAsia="Arial" w:hAnsi="Arial"/>
          <w:sz w:val="20"/>
          <w:szCs w:val="20"/>
          <w:b w:val="1"/>
          <w:bCs w:val="1"/>
          <w:color w:val="auto"/>
        </w:rPr>
        <w:t>20-3828755</w:t>
      </w:r>
    </w:p>
    <w:p>
      <w:pPr>
        <w:spacing w:after="0" w:line="33" w:lineRule="exact"/>
        <w:rPr>
          <w:sz w:val="24"/>
          <w:szCs w:val="24"/>
          <w:color w:val="auto"/>
        </w:rPr>
      </w:pPr>
    </w:p>
    <w:p>
      <w:pPr>
        <w:jc w:val="center"/>
        <w:ind w:right="560"/>
        <w:spacing w:after="0"/>
        <w:rPr>
          <w:sz w:val="20"/>
          <w:szCs w:val="20"/>
          <w:color w:val="auto"/>
        </w:rPr>
      </w:pPr>
      <w:r>
        <w:rPr>
          <w:rFonts w:ascii="Arial" w:cs="Arial" w:eastAsia="Arial" w:hAnsi="Arial"/>
          <w:sz w:val="18"/>
          <w:szCs w:val="18"/>
          <w:color w:val="auto"/>
        </w:rPr>
        <w:t>(IRS Employer Identification No.)</w:t>
      </w:r>
    </w:p>
    <w:p>
      <w:pPr>
        <w:spacing w:after="0" w:line="200" w:lineRule="exact"/>
        <w:rPr>
          <w:sz w:val="24"/>
          <w:szCs w:val="24"/>
          <w:color w:val="auto"/>
        </w:rPr>
      </w:pPr>
    </w:p>
    <w:p>
      <w:pPr>
        <w:sectPr>
          <w:pgSz w:w="11900" w:h="16838" w:orient="portrait"/>
          <w:cols w:equalWidth="0" w:num="3">
            <w:col w:w="3840" w:space="720"/>
            <w:col w:w="2660" w:space="720"/>
            <w:col w:w="3300"/>
          </w:cols>
          <w:pgMar w:left="320" w:top="1440" w:right="339" w:bottom="1440" w:gutter="0" w:footer="0" w:header="0"/>
          <w:type w:val="continuous"/>
        </w:sectPr>
      </w:pPr>
    </w:p>
    <w:p>
      <w:pPr>
        <w:spacing w:after="0" w:line="154" w:lineRule="exact"/>
        <w:rPr>
          <w:sz w:val="24"/>
          <w:szCs w:val="24"/>
          <w:color w:val="auto"/>
        </w:rPr>
      </w:pPr>
    </w:p>
    <w:p>
      <w:pPr>
        <w:ind w:left="4180"/>
        <w:spacing w:after="0"/>
        <w:rPr>
          <w:sz w:val="20"/>
          <w:szCs w:val="20"/>
          <w:color w:val="auto"/>
        </w:rPr>
      </w:pPr>
      <w:r>
        <w:rPr>
          <w:rFonts w:ascii="Arial" w:cs="Arial" w:eastAsia="Arial" w:hAnsi="Arial"/>
          <w:sz w:val="18"/>
          <w:szCs w:val="18"/>
          <w:b w:val="1"/>
          <w:bCs w:val="1"/>
          <w:color w:val="auto"/>
        </w:rPr>
        <w:t>10770 Wateridge Circle, Suite 210,</w:t>
      </w:r>
    </w:p>
    <w:p>
      <w:pPr>
        <w:spacing w:after="0" w:line="45" w:lineRule="exact"/>
        <w:rPr>
          <w:sz w:val="24"/>
          <w:szCs w:val="24"/>
          <w:color w:val="auto"/>
        </w:rPr>
      </w:pPr>
    </w:p>
    <w:p>
      <w:pPr>
        <w:ind w:left="4740"/>
        <w:spacing w:after="0"/>
        <w:rPr>
          <w:sz w:val="20"/>
          <w:szCs w:val="20"/>
          <w:color w:val="auto"/>
        </w:rPr>
      </w:pPr>
      <w:r>
        <w:rPr>
          <w:rFonts w:ascii="Arial" w:cs="Arial" w:eastAsia="Arial" w:hAnsi="Arial"/>
          <w:sz w:val="20"/>
          <w:szCs w:val="20"/>
          <w:b w:val="1"/>
          <w:bCs w:val="1"/>
          <w:color w:val="auto"/>
        </w:rPr>
        <w:t>San Diego, CA 92121</w:t>
      </w:r>
    </w:p>
    <w:p>
      <w:pPr>
        <w:spacing w:after="0" w:line="4" w:lineRule="exact"/>
        <w:rPr>
          <w:sz w:val="24"/>
          <w:szCs w:val="24"/>
          <w:color w:val="auto"/>
        </w:rPr>
      </w:pPr>
    </w:p>
    <w:p>
      <w:pPr>
        <w:jc w:val="center"/>
        <w:spacing w:after="0"/>
        <w:rPr>
          <w:sz w:val="20"/>
          <w:szCs w:val="20"/>
          <w:color w:val="auto"/>
        </w:rPr>
      </w:pPr>
      <w:r>
        <w:rPr>
          <w:rFonts w:ascii="Arial" w:cs="Arial" w:eastAsia="Arial" w:hAnsi="Arial"/>
          <w:sz w:val="13"/>
          <w:szCs w:val="13"/>
          <w:color w:val="auto"/>
        </w:rPr>
        <w:t>(Address of Principal Executive Offices, and Zip Code)</w:t>
      </w:r>
    </w:p>
    <w:p>
      <w:pPr>
        <w:spacing w:after="0" w:line="242"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(858) 362-6295</w:t>
      </w:r>
    </w:p>
    <w:p>
      <w:pPr>
        <w:spacing w:after="0" w:line="26" w:lineRule="exact"/>
        <w:rPr>
          <w:sz w:val="24"/>
          <w:szCs w:val="24"/>
          <w:color w:val="auto"/>
        </w:rPr>
      </w:pPr>
    </w:p>
    <w:p>
      <w:pPr>
        <w:jc w:val="center"/>
        <w:spacing w:after="0"/>
        <w:rPr>
          <w:sz w:val="20"/>
          <w:szCs w:val="20"/>
          <w:color w:val="auto"/>
        </w:rPr>
      </w:pPr>
      <w:r>
        <w:rPr>
          <w:rFonts w:ascii="Arial" w:cs="Arial" w:eastAsia="Arial" w:hAnsi="Arial"/>
          <w:sz w:val="13"/>
          <w:szCs w:val="13"/>
          <w:color w:val="auto"/>
        </w:rPr>
        <w:t>(Registrant’s Telephone Number, Including Area Code)</w:t>
      </w:r>
    </w:p>
    <w:p>
      <w:pPr>
        <w:sectPr>
          <w:pgSz w:w="11900" w:h="16838" w:orient="portrait"/>
          <w:cols w:equalWidth="0" w:num="1">
            <w:col w:w="11240"/>
          </w:cols>
          <w:pgMar w:left="320" w:top="1440" w:right="339" w:bottom="1440" w:gutter="0" w:footer="0" w:header="0"/>
          <w:type w:val="continuous"/>
        </w:sectPr>
      </w:pPr>
    </w:p>
    <w:p>
      <w:pPr>
        <w:spacing w:after="0" w:line="256"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Not Applicable</w:t>
      </w:r>
    </w:p>
    <w:p>
      <w:pPr>
        <w:spacing w:after="0" w:line="16" w:lineRule="exact"/>
        <w:rPr>
          <w:sz w:val="24"/>
          <w:szCs w:val="24"/>
          <w:color w:val="auto"/>
        </w:rPr>
      </w:pPr>
    </w:p>
    <w:p>
      <w:pPr>
        <w:jc w:val="center"/>
        <w:spacing w:after="0"/>
        <w:rPr>
          <w:sz w:val="20"/>
          <w:szCs w:val="20"/>
          <w:color w:val="auto"/>
        </w:rPr>
      </w:pPr>
      <w:r>
        <w:rPr>
          <w:rFonts w:ascii="Arial" w:cs="Arial" w:eastAsia="Arial" w:hAnsi="Arial"/>
          <w:sz w:val="14"/>
          <w:szCs w:val="14"/>
          <w:color w:val="auto"/>
        </w:rPr>
        <w:t>(Former name or former address, if changed since last report.)</w:t>
      </w:r>
    </w:p>
    <w:p>
      <w:pPr>
        <w:spacing w:after="0" w:line="250" w:lineRule="exact"/>
        <w:rPr>
          <w:sz w:val="24"/>
          <w:szCs w:val="24"/>
          <w:color w:val="auto"/>
        </w:rPr>
      </w:pPr>
    </w:p>
    <w:p>
      <w:pPr>
        <w:ind w:right="680"/>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 (see General Instruction A.2. below):</w:t>
      </w:r>
    </w:p>
    <w:p>
      <w:pPr>
        <w:spacing w:after="0" w:line="153" w:lineRule="exact"/>
        <w:rPr>
          <w:sz w:val="24"/>
          <w:szCs w:val="24"/>
          <w:color w:val="auto"/>
        </w:rPr>
      </w:pPr>
    </w:p>
    <w:p>
      <w:pPr>
        <w:spacing w:after="0" w:line="207" w:lineRule="exact"/>
        <w:rPr>
          <w:sz w:val="20"/>
          <w:szCs w:val="20"/>
          <w:color w:val="auto"/>
        </w:rPr>
      </w:pPr>
      <w:r>
        <w:rPr>
          <w:rFonts w:ascii="MS PGothic" w:cs="MS PGothic" w:eastAsia="MS PGothic" w:hAnsi="MS PGothic"/>
          <w:sz w:val="18"/>
          <w:szCs w:val="18"/>
          <w:color w:val="auto"/>
        </w:rPr>
        <w:t>☐</w:t>
      </w:r>
      <w:r>
        <w:rPr>
          <w:rFonts w:ascii="Arial" w:cs="Arial" w:eastAsia="Arial" w:hAnsi="Arial"/>
          <w:sz w:val="18"/>
          <w:szCs w:val="18"/>
          <w:color w:val="auto"/>
        </w:rPr>
        <w:t>Written communication pursuant to Rule 425 under the Securities Act (17 CFR 230.425)</w:t>
      </w:r>
    </w:p>
    <w:p>
      <w:pPr>
        <w:spacing w:after="0" w:line="70" w:lineRule="exact"/>
        <w:rPr>
          <w:sz w:val="24"/>
          <w:szCs w:val="24"/>
          <w:color w:val="auto"/>
        </w:rPr>
      </w:pPr>
    </w:p>
    <w:p>
      <w:pPr>
        <w:spacing w:after="0" w:line="207" w:lineRule="exact"/>
        <w:rPr>
          <w:sz w:val="20"/>
          <w:szCs w:val="20"/>
          <w:color w:val="auto"/>
        </w:rPr>
      </w:pPr>
      <w:r>
        <w:rPr>
          <w:rFonts w:ascii="MS PGothic" w:cs="MS PGothic" w:eastAsia="MS PGothic" w:hAnsi="MS PGothic"/>
          <w:sz w:val="18"/>
          <w:szCs w:val="18"/>
          <w:color w:val="auto"/>
        </w:rPr>
        <w:t>☐</w:t>
      </w:r>
      <w:r>
        <w:rPr>
          <w:rFonts w:ascii="Arial" w:cs="Arial" w:eastAsia="Arial" w:hAnsi="Arial"/>
          <w:sz w:val="18"/>
          <w:szCs w:val="18"/>
          <w:color w:val="auto"/>
        </w:rPr>
        <w:t>Soliciting material pursuant to Rule 14a-12 under the Exchange Act (17 CFR 240.14a-12)</w:t>
      </w:r>
    </w:p>
    <w:p>
      <w:pPr>
        <w:spacing w:after="0" w:line="2" w:lineRule="exact"/>
        <w:rPr>
          <w:sz w:val="24"/>
          <w:szCs w:val="24"/>
          <w:color w:val="auto"/>
        </w:rPr>
      </w:pPr>
    </w:p>
    <w:p>
      <w:pPr>
        <w:spacing w:after="0" w:line="207" w:lineRule="exact"/>
        <w:rPr>
          <w:sz w:val="20"/>
          <w:szCs w:val="20"/>
          <w:color w:val="auto"/>
        </w:rPr>
      </w:pPr>
      <w:r>
        <w:rPr>
          <w:rFonts w:ascii="MS PGothic" w:cs="MS PGothic" w:eastAsia="MS PGothic" w:hAnsi="MS PGothic"/>
          <w:sz w:val="18"/>
          <w:szCs w:val="18"/>
          <w:color w:val="auto"/>
        </w:rPr>
        <w:t>☐</w:t>
      </w:r>
      <w:r>
        <w:rPr>
          <w:rFonts w:ascii="Arial" w:cs="Arial" w:eastAsia="Arial" w:hAnsi="Arial"/>
          <w:sz w:val="18"/>
          <w:szCs w:val="18"/>
          <w:color w:val="auto"/>
        </w:rPr>
        <w:t>Pre-commencement communication pursuant to Rule 14d-2(b) under the Exchange Act (17 CFR 240.14d-2(b))</w:t>
      </w:r>
    </w:p>
    <w:p>
      <w:pPr>
        <w:spacing w:after="0" w:line="16" w:lineRule="exact"/>
        <w:rPr>
          <w:sz w:val="24"/>
          <w:szCs w:val="24"/>
          <w:color w:val="auto"/>
        </w:rPr>
      </w:pPr>
    </w:p>
    <w:p>
      <w:pPr>
        <w:spacing w:after="0" w:line="207" w:lineRule="exact"/>
        <w:rPr>
          <w:sz w:val="20"/>
          <w:szCs w:val="20"/>
          <w:color w:val="auto"/>
        </w:rPr>
      </w:pPr>
      <w:r>
        <w:rPr>
          <w:rFonts w:ascii="MS PGothic" w:cs="MS PGothic" w:eastAsia="MS PGothic" w:hAnsi="MS PGothic"/>
          <w:sz w:val="18"/>
          <w:szCs w:val="18"/>
          <w:color w:val="auto"/>
        </w:rPr>
        <w:t>☐</w:t>
      </w:r>
      <w:r>
        <w:rPr>
          <w:rFonts w:ascii="Arial" w:cs="Arial" w:eastAsia="Arial" w:hAnsi="Arial"/>
          <w:sz w:val="18"/>
          <w:szCs w:val="18"/>
          <w:color w:val="auto"/>
        </w:rPr>
        <w:t>Pre-commencement communication pursuant to Rule 13e-4(c) under the Exchange Act (17 CFR 240.13e-4(c))</w:t>
      </w:r>
    </w:p>
    <w:p>
      <w:pPr>
        <w:spacing w:after="0" w:line="101" w:lineRule="exact"/>
        <w:rPr>
          <w:sz w:val="24"/>
          <w:szCs w:val="24"/>
          <w:color w:val="auto"/>
        </w:rPr>
      </w:pPr>
    </w:p>
    <w:p>
      <w:pPr>
        <w:spacing w:after="0"/>
        <w:rPr>
          <w:sz w:val="20"/>
          <w:szCs w:val="20"/>
          <w:color w:val="auto"/>
        </w:rPr>
      </w:pPr>
      <w:r>
        <w:rPr>
          <w:rFonts w:ascii="Arial" w:cs="Arial" w:eastAsia="Arial" w:hAnsi="Arial"/>
          <w:sz w:val="18"/>
          <w:szCs w:val="18"/>
          <w:color w:val="auto"/>
        </w:rPr>
        <w:t>Securities registered pursuant to Section 12(b) of the Act:</w:t>
      </w:r>
    </w:p>
    <w:p>
      <w:pPr>
        <w:spacing w:after="0" w:line="125" w:lineRule="exact"/>
        <w:rPr>
          <w:sz w:val="24"/>
          <w:szCs w:val="24"/>
          <w:color w:val="auto"/>
        </w:rPr>
      </w:pPr>
    </w:p>
    <w:tbl>
      <w:tblPr>
        <w:tblLayout w:type="fixed"/>
        <w:tblInd w:w="190" w:type="dxa"/>
        <w:tblCellMar>
          <w:top w:w="0" w:type="dxa"/>
          <w:left w:w="0" w:type="dxa"/>
          <w:bottom w:w="0" w:type="dxa"/>
          <w:right w:w="0" w:type="dxa"/>
        </w:tblCellMar>
      </w:tblPr>
      <w:tr>
        <w:trPr>
          <w:trHeight w:val="244"/>
        </w:trPr>
        <w:tc>
          <w:tcPr>
            <w:tcW w:w="3980" w:type="dxa"/>
            <w:vAlign w:val="bottom"/>
            <w:tcBorders>
              <w:top w:val="single" w:sz="8" w:color="auto"/>
              <w:left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0"/>
              </w:rPr>
              <w:t>Title of each class</w:t>
            </w:r>
          </w:p>
        </w:tc>
        <w:tc>
          <w:tcPr>
            <w:tcW w:w="208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2"/>
              </w:rPr>
              <w:t>Trading Symbol(s)</w:t>
            </w:r>
          </w:p>
        </w:tc>
        <w:tc>
          <w:tcPr>
            <w:tcW w:w="484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9"/>
              </w:rPr>
              <w:t>Name of each exchange on which registered</w:t>
            </w:r>
          </w:p>
        </w:tc>
      </w:tr>
      <w:tr>
        <w:trPr>
          <w:trHeight w:val="40"/>
        </w:trPr>
        <w:tc>
          <w:tcPr>
            <w:tcW w:w="3980" w:type="dxa"/>
            <w:vAlign w:val="bottom"/>
            <w:tcBorders>
              <w:left w:val="single" w:sz="8" w:color="auto"/>
              <w:bottom w:val="single" w:sz="8" w:color="auto"/>
              <w:right w:val="single" w:sz="8" w:color="auto"/>
            </w:tcBorders>
          </w:tcPr>
          <w:p>
            <w:pPr>
              <w:spacing w:after="0"/>
              <w:rPr>
                <w:sz w:val="3"/>
                <w:szCs w:val="3"/>
                <w:color w:val="auto"/>
              </w:rPr>
            </w:pPr>
          </w:p>
        </w:tc>
        <w:tc>
          <w:tcPr>
            <w:tcW w:w="2080" w:type="dxa"/>
            <w:vAlign w:val="bottom"/>
            <w:tcBorders>
              <w:bottom w:val="single" w:sz="8" w:color="auto"/>
              <w:right w:val="single" w:sz="8" w:color="auto"/>
            </w:tcBorders>
          </w:tcPr>
          <w:p>
            <w:pPr>
              <w:spacing w:after="0"/>
              <w:rPr>
                <w:sz w:val="3"/>
                <w:szCs w:val="3"/>
                <w:color w:val="auto"/>
              </w:rPr>
            </w:pPr>
          </w:p>
        </w:tc>
        <w:tc>
          <w:tcPr>
            <w:tcW w:w="4840" w:type="dxa"/>
            <w:vAlign w:val="bottom"/>
            <w:tcBorders>
              <w:bottom w:val="single" w:sz="8" w:color="auto"/>
              <w:right w:val="single" w:sz="8" w:color="auto"/>
            </w:tcBorders>
          </w:tcPr>
          <w:p>
            <w:pPr>
              <w:spacing w:after="0"/>
              <w:rPr>
                <w:sz w:val="3"/>
                <w:szCs w:val="3"/>
                <w:color w:val="auto"/>
              </w:rPr>
            </w:pPr>
          </w:p>
        </w:tc>
      </w:tr>
      <w:tr>
        <w:trPr>
          <w:trHeight w:val="224"/>
        </w:trPr>
        <w:tc>
          <w:tcPr>
            <w:tcW w:w="398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9"/>
              </w:rPr>
              <w:t>Common Stock, par value $0.001 per share</w:t>
            </w:r>
          </w:p>
        </w:tc>
        <w:tc>
          <w:tcPr>
            <w:tcW w:w="208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rPr>
              <w:t>ANAB</w:t>
            </w:r>
          </w:p>
        </w:tc>
        <w:tc>
          <w:tcPr>
            <w:tcW w:w="484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2"/>
              </w:rPr>
              <w:t>The Nasdaq Stock Market LLC</w:t>
            </w:r>
          </w:p>
        </w:tc>
      </w:tr>
      <w:tr>
        <w:trPr>
          <w:trHeight w:val="40"/>
        </w:trPr>
        <w:tc>
          <w:tcPr>
            <w:tcW w:w="3980" w:type="dxa"/>
            <w:vAlign w:val="bottom"/>
            <w:tcBorders>
              <w:left w:val="single" w:sz="8" w:color="auto"/>
              <w:bottom w:val="single" w:sz="8" w:color="auto"/>
              <w:right w:val="single" w:sz="8" w:color="auto"/>
            </w:tcBorders>
          </w:tcPr>
          <w:p>
            <w:pPr>
              <w:spacing w:after="0"/>
              <w:rPr>
                <w:sz w:val="3"/>
                <w:szCs w:val="3"/>
                <w:color w:val="auto"/>
              </w:rPr>
            </w:pPr>
          </w:p>
        </w:tc>
        <w:tc>
          <w:tcPr>
            <w:tcW w:w="2080" w:type="dxa"/>
            <w:vAlign w:val="bottom"/>
            <w:tcBorders>
              <w:bottom w:val="single" w:sz="8" w:color="auto"/>
              <w:right w:val="single" w:sz="8" w:color="auto"/>
            </w:tcBorders>
          </w:tcPr>
          <w:p>
            <w:pPr>
              <w:spacing w:after="0"/>
              <w:rPr>
                <w:sz w:val="3"/>
                <w:szCs w:val="3"/>
                <w:color w:val="auto"/>
              </w:rPr>
            </w:pPr>
          </w:p>
        </w:tc>
        <w:tc>
          <w:tcPr>
            <w:tcW w:w="4840" w:type="dxa"/>
            <w:vAlign w:val="bottom"/>
            <w:tcBorders>
              <w:bottom w:val="single" w:sz="8" w:color="auto"/>
              <w:right w:val="single" w:sz="8" w:color="auto"/>
            </w:tcBorders>
          </w:tcPr>
          <w:p>
            <w:pPr>
              <w:spacing w:after="0"/>
              <w:rPr>
                <w:sz w:val="3"/>
                <w:szCs w:val="3"/>
                <w:color w:val="auto"/>
              </w:rPr>
            </w:pPr>
          </w:p>
        </w:tc>
      </w:tr>
    </w:tbl>
    <w:p>
      <w:pPr>
        <w:spacing w:after="0" w:line="310" w:lineRule="exact"/>
        <w:rPr>
          <w:sz w:val="24"/>
          <w:szCs w:val="24"/>
          <w:color w:val="auto"/>
        </w:rPr>
      </w:pPr>
    </w:p>
    <w:p>
      <w:pPr>
        <w:ind w:right="220"/>
        <w:spacing w:after="0" w:line="261"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 (17 CFR §230.405 of this chapter) or Rule 12b-2 of the Securities Exchange Act of 1934 (17 CFR §240.12b-2 of this chapter).</w:t>
      </w:r>
    </w:p>
    <w:p>
      <w:pPr>
        <w:spacing w:after="0" w:line="167" w:lineRule="exact"/>
        <w:rPr>
          <w:sz w:val="24"/>
          <w:szCs w:val="24"/>
          <w:color w:val="auto"/>
        </w:rPr>
      </w:pPr>
    </w:p>
    <w:p>
      <w:pPr>
        <w:ind w:left="9060"/>
        <w:spacing w:after="0" w:line="184" w:lineRule="exact"/>
        <w:rPr>
          <w:sz w:val="20"/>
          <w:szCs w:val="20"/>
          <w:color w:val="auto"/>
        </w:rPr>
      </w:pPr>
      <w:r>
        <w:rPr>
          <w:rFonts w:ascii="Arial" w:cs="Arial" w:eastAsia="Arial" w:hAnsi="Arial"/>
          <w:sz w:val="16"/>
          <w:szCs w:val="16"/>
          <w:color w:val="auto"/>
        </w:rPr>
        <w:t xml:space="preserve">Emerging growth company </w:t>
      </w:r>
      <w:r>
        <w:rPr>
          <w:rFonts w:ascii="MS PGothic" w:cs="MS PGothic" w:eastAsia="MS PGothic" w:hAnsi="MS PGothic"/>
          <w:sz w:val="16"/>
          <w:szCs w:val="16"/>
          <w:color w:val="auto"/>
        </w:rPr>
        <w:t>☐</w:t>
      </w:r>
    </w:p>
    <w:p>
      <w:pPr>
        <w:spacing w:after="0" w:line="320" w:lineRule="exact"/>
        <w:rPr>
          <w:sz w:val="24"/>
          <w:szCs w:val="24"/>
          <w:color w:val="auto"/>
        </w:rPr>
      </w:pPr>
    </w:p>
    <w:p>
      <w:pPr>
        <w:ind w:right="160"/>
        <w:spacing w:after="0" w:line="238"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861060</wp:posOffset>
            </wp:positionV>
            <wp:extent cx="71577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type w:val="continuous"/>
        </w:sectPr>
      </w:pPr>
    </w:p>
    <w:bookmarkStart w:id="1" w:name="page2"/>
    <w:bookmarkEnd w:id="1"/>
    <w:p>
      <w:pPr>
        <w:spacing w:after="0"/>
        <w:tabs>
          <w:tab w:leader="none" w:pos="1080" w:val="left"/>
        </w:tabs>
        <w:rPr>
          <w:sz w:val="20"/>
          <w:szCs w:val="20"/>
          <w:color w:val="auto"/>
        </w:rPr>
      </w:pPr>
      <w:r>
        <w:rPr>
          <w:rFonts w:ascii="Arial" w:cs="Arial" w:eastAsia="Arial" w:hAnsi="Arial"/>
          <w:sz w:val="20"/>
          <w:szCs w:val="20"/>
          <w:b w:val="1"/>
          <w:bCs w:val="1"/>
          <w:color w:val="auto"/>
        </w:rPr>
        <w:t>Item 5.07.</w:t>
      </w:r>
      <w:r>
        <w:rPr>
          <w:sz w:val="20"/>
          <w:szCs w:val="20"/>
          <w:color w:val="auto"/>
        </w:rPr>
        <w:tab/>
      </w:r>
      <w:r>
        <w:rPr>
          <w:rFonts w:ascii="Arial" w:cs="Arial" w:eastAsia="Arial" w:hAnsi="Arial"/>
          <w:sz w:val="16"/>
          <w:szCs w:val="16"/>
          <w:b w:val="1"/>
          <w:bCs w:val="1"/>
          <w:color w:val="auto"/>
        </w:rPr>
        <w:t>Submission of Matters to a Vote of Security Holders.</w:t>
      </w:r>
    </w:p>
    <w:p>
      <w:pPr>
        <w:spacing w:after="0" w:line="235" w:lineRule="exact"/>
        <w:rPr>
          <w:sz w:val="20"/>
          <w:szCs w:val="20"/>
          <w:color w:val="auto"/>
        </w:rPr>
      </w:pPr>
    </w:p>
    <w:p>
      <w:pPr>
        <w:spacing w:after="0" w:line="274" w:lineRule="auto"/>
        <w:rPr>
          <w:sz w:val="20"/>
          <w:szCs w:val="20"/>
          <w:color w:val="auto"/>
        </w:rPr>
      </w:pPr>
      <w:r>
        <w:rPr>
          <w:rFonts w:ascii="Arial" w:cs="Arial" w:eastAsia="Arial" w:hAnsi="Arial"/>
          <w:sz w:val="20"/>
          <w:szCs w:val="20"/>
          <w:color w:val="auto"/>
        </w:rPr>
        <w:t>On June 15, 2023, AnaptysBio, Inc. (the “</w:t>
      </w:r>
      <w:r>
        <w:rPr>
          <w:rFonts w:ascii="Arial" w:cs="Arial" w:eastAsia="Arial" w:hAnsi="Arial"/>
          <w:sz w:val="20"/>
          <w:szCs w:val="20"/>
          <w:b w:val="1"/>
          <w:bCs w:val="1"/>
          <w:i w:val="1"/>
          <w:iCs w:val="1"/>
          <w:color w:val="auto"/>
        </w:rPr>
        <w:t>Company</w:t>
      </w:r>
      <w:r>
        <w:rPr>
          <w:rFonts w:ascii="Arial" w:cs="Arial" w:eastAsia="Arial" w:hAnsi="Arial"/>
          <w:sz w:val="20"/>
          <w:szCs w:val="20"/>
          <w:color w:val="auto"/>
        </w:rPr>
        <w:t>”) held its 2023 Annual Meeting of Stockholders and the following proposals were adopted:</w:t>
      </w:r>
    </w:p>
    <w:p>
      <w:pPr>
        <w:spacing w:after="0" w:line="204" w:lineRule="exact"/>
        <w:rPr>
          <w:sz w:val="20"/>
          <w:szCs w:val="20"/>
          <w:color w:val="auto"/>
        </w:rPr>
      </w:pPr>
    </w:p>
    <w:p>
      <w:pPr>
        <w:jc w:val="both"/>
        <w:ind w:left="660" w:hanging="328"/>
        <w:spacing w:after="0" w:line="257" w:lineRule="auto"/>
        <w:tabs>
          <w:tab w:leader="none" w:pos="660" w:val="left"/>
        </w:tabs>
        <w:numPr>
          <w:ilvl w:val="0"/>
          <w:numId w:val="1"/>
        </w:numPr>
        <w:rPr>
          <w:rFonts w:ascii="Arial" w:cs="Arial" w:eastAsia="Arial" w:hAnsi="Arial"/>
          <w:sz w:val="20"/>
          <w:szCs w:val="20"/>
          <w:color w:val="auto"/>
        </w:rPr>
      </w:pPr>
      <w:r>
        <w:rPr>
          <w:rFonts w:ascii="Arial" w:cs="Arial" w:eastAsia="Arial" w:hAnsi="Arial"/>
          <w:sz w:val="20"/>
          <w:szCs w:val="20"/>
          <w:color w:val="auto"/>
        </w:rPr>
        <w:t>Election of three Class III directors, Magda Marquet, Ph.D., Hollings Renton, M.B.A., and John P. Schmid, each to serve a three-year term, which will expire at the 2026 Annual Meeting of Stockholders or until such time as his or her respective successor has been duly elected and qualified or until such director’s earlier resignation or removal:</w:t>
      </w:r>
    </w:p>
    <w:p>
      <w:pPr>
        <w:spacing w:after="0" w:line="241" w:lineRule="exact"/>
        <w:rPr>
          <w:sz w:val="20"/>
          <w:szCs w:val="20"/>
          <w:color w:val="auto"/>
        </w:rPr>
      </w:pPr>
    </w:p>
    <w:tbl>
      <w:tblPr>
        <w:tblLayout w:type="fixed"/>
        <w:tblInd w:w="660" w:type="dxa"/>
        <w:tblCellMar>
          <w:top w:w="0" w:type="dxa"/>
          <w:left w:w="0" w:type="dxa"/>
          <w:bottom w:w="0" w:type="dxa"/>
          <w:right w:w="0" w:type="dxa"/>
        </w:tblCellMar>
      </w:tblPr>
      <w:tr>
        <w:trPr>
          <w:trHeight w:val="207"/>
        </w:trPr>
        <w:tc>
          <w:tcPr>
            <w:tcW w:w="31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140" w:type="dxa"/>
            <w:vAlign w:val="bottom"/>
          </w:tcPr>
          <w:p>
            <w:pPr>
              <w:jc w:val="center"/>
              <w:spacing w:after="0"/>
              <w:rPr>
                <w:sz w:val="20"/>
                <w:szCs w:val="20"/>
                <w:color w:val="auto"/>
              </w:rPr>
            </w:pPr>
            <w:r>
              <w:rPr>
                <w:rFonts w:ascii="Arial" w:cs="Arial" w:eastAsia="Arial" w:hAnsi="Arial"/>
                <w:sz w:val="18"/>
                <w:szCs w:val="18"/>
                <w:b w:val="1"/>
                <w:bCs w:val="1"/>
                <w:color w:val="auto"/>
                <w:w w:val="91"/>
              </w:rPr>
              <w:t>Shares Withheld /</w:t>
            </w:r>
          </w:p>
        </w:tc>
        <w:tc>
          <w:tcPr>
            <w:tcW w:w="120" w:type="dxa"/>
            <w:vAlign w:val="bottom"/>
          </w:tcPr>
          <w:p>
            <w:pPr>
              <w:spacing w:after="0"/>
              <w:rPr>
                <w:sz w:val="17"/>
                <w:szCs w:val="17"/>
                <w:color w:val="auto"/>
              </w:rPr>
            </w:pPr>
          </w:p>
        </w:tc>
        <w:tc>
          <w:tcPr>
            <w:tcW w:w="2140" w:type="dxa"/>
            <w:vAlign w:val="bottom"/>
          </w:tcPr>
          <w:p>
            <w:pPr>
              <w:spacing w:after="0"/>
              <w:rPr>
                <w:sz w:val="17"/>
                <w:szCs w:val="17"/>
                <w:color w:val="auto"/>
              </w:rPr>
            </w:pPr>
          </w:p>
        </w:tc>
      </w:tr>
      <w:tr>
        <w:trPr>
          <w:trHeight w:val="234"/>
        </w:trPr>
        <w:tc>
          <w:tcPr>
            <w:tcW w:w="3180" w:type="dxa"/>
            <w:vAlign w:val="bottom"/>
          </w:tcPr>
          <w:p>
            <w:pPr>
              <w:jc w:val="center"/>
              <w:spacing w:after="0"/>
              <w:rPr>
                <w:sz w:val="20"/>
                <w:szCs w:val="20"/>
                <w:color w:val="auto"/>
              </w:rPr>
            </w:pPr>
            <w:r>
              <w:rPr>
                <w:rFonts w:ascii="Arial" w:cs="Arial" w:eastAsia="Arial" w:hAnsi="Arial"/>
                <w:sz w:val="18"/>
                <w:szCs w:val="18"/>
                <w:b w:val="1"/>
                <w:bCs w:val="1"/>
                <w:color w:val="auto"/>
                <w:w w:val="85"/>
              </w:rPr>
              <w:t>Nominees</w:t>
            </w:r>
          </w:p>
        </w:tc>
        <w:tc>
          <w:tcPr>
            <w:tcW w:w="160" w:type="dxa"/>
            <w:vAlign w:val="bottom"/>
          </w:tcPr>
          <w:p>
            <w:pPr>
              <w:spacing w:after="0"/>
              <w:rPr>
                <w:sz w:val="20"/>
                <w:szCs w:val="20"/>
                <w:color w:val="auto"/>
              </w:rPr>
            </w:pPr>
          </w:p>
        </w:tc>
        <w:tc>
          <w:tcPr>
            <w:tcW w:w="2140" w:type="dxa"/>
            <w:vAlign w:val="bottom"/>
          </w:tcPr>
          <w:p>
            <w:pPr>
              <w:ind w:left="640"/>
              <w:spacing w:after="0"/>
              <w:rPr>
                <w:sz w:val="20"/>
                <w:szCs w:val="20"/>
                <w:color w:val="auto"/>
              </w:rPr>
            </w:pPr>
            <w:r>
              <w:rPr>
                <w:rFonts w:ascii="Arial" w:cs="Arial" w:eastAsia="Arial" w:hAnsi="Arial"/>
                <w:sz w:val="18"/>
                <w:szCs w:val="18"/>
                <w:b w:val="1"/>
                <w:bCs w:val="1"/>
                <w:color w:val="auto"/>
              </w:rPr>
              <w:t>Shares For</w:t>
            </w:r>
          </w:p>
        </w:tc>
        <w:tc>
          <w:tcPr>
            <w:tcW w:w="120" w:type="dxa"/>
            <w:vAlign w:val="bottom"/>
          </w:tcPr>
          <w:p>
            <w:pPr>
              <w:spacing w:after="0"/>
              <w:rPr>
                <w:sz w:val="20"/>
                <w:szCs w:val="20"/>
                <w:color w:val="auto"/>
              </w:rPr>
            </w:pPr>
          </w:p>
        </w:tc>
        <w:tc>
          <w:tcPr>
            <w:tcW w:w="2140" w:type="dxa"/>
            <w:vAlign w:val="bottom"/>
          </w:tcPr>
          <w:p>
            <w:pPr>
              <w:jc w:val="center"/>
              <w:spacing w:after="0"/>
              <w:rPr>
                <w:sz w:val="20"/>
                <w:szCs w:val="20"/>
                <w:color w:val="auto"/>
              </w:rPr>
            </w:pPr>
            <w:r>
              <w:rPr>
                <w:rFonts w:ascii="Arial" w:cs="Arial" w:eastAsia="Arial" w:hAnsi="Arial"/>
                <w:sz w:val="18"/>
                <w:szCs w:val="18"/>
                <w:b w:val="1"/>
                <w:bCs w:val="1"/>
                <w:color w:val="auto"/>
                <w:w w:val="90"/>
              </w:rPr>
              <w:t>Abstaining</w:t>
            </w:r>
          </w:p>
        </w:tc>
        <w:tc>
          <w:tcPr>
            <w:tcW w:w="120" w:type="dxa"/>
            <w:vAlign w:val="bottom"/>
          </w:tcPr>
          <w:p>
            <w:pPr>
              <w:spacing w:after="0"/>
              <w:rPr>
                <w:sz w:val="20"/>
                <w:szCs w:val="20"/>
                <w:color w:val="auto"/>
              </w:rPr>
            </w:pPr>
          </w:p>
        </w:tc>
        <w:tc>
          <w:tcPr>
            <w:tcW w:w="2140" w:type="dxa"/>
            <w:vAlign w:val="bottom"/>
          </w:tcPr>
          <w:p>
            <w:pPr>
              <w:jc w:val="center"/>
              <w:spacing w:after="0"/>
              <w:rPr>
                <w:sz w:val="20"/>
                <w:szCs w:val="20"/>
                <w:color w:val="auto"/>
              </w:rPr>
            </w:pPr>
            <w:r>
              <w:rPr>
                <w:rFonts w:ascii="Arial" w:cs="Arial" w:eastAsia="Arial" w:hAnsi="Arial"/>
                <w:sz w:val="18"/>
                <w:szCs w:val="18"/>
                <w:b w:val="1"/>
                <w:bCs w:val="1"/>
                <w:color w:val="auto"/>
                <w:w w:val="90"/>
              </w:rPr>
              <w:t>Broker Non-Votes</w:t>
            </w:r>
          </w:p>
        </w:tc>
      </w:tr>
      <w:tr>
        <w:trPr>
          <w:trHeight w:val="27"/>
        </w:trPr>
        <w:tc>
          <w:tcPr>
            <w:tcW w:w="318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21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1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140" w:type="dxa"/>
            <w:vAlign w:val="bottom"/>
            <w:tcBorders>
              <w:bottom w:val="single" w:sz="8" w:color="auto"/>
            </w:tcBorders>
          </w:tcPr>
          <w:p>
            <w:pPr>
              <w:spacing w:after="0"/>
              <w:rPr>
                <w:sz w:val="2"/>
                <w:szCs w:val="2"/>
                <w:color w:val="auto"/>
              </w:rPr>
            </w:pPr>
          </w:p>
        </w:tc>
      </w:tr>
      <w:tr>
        <w:trPr>
          <w:trHeight w:val="20"/>
        </w:trPr>
        <w:tc>
          <w:tcPr>
            <w:tcW w:w="318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CCEEFF"/>
            </w:tcBorders>
          </w:tcPr>
          <w:p>
            <w:pPr>
              <w:spacing w:after="0" w:line="20" w:lineRule="exact"/>
              <w:rPr>
                <w:sz w:val="1"/>
                <w:szCs w:val="1"/>
                <w:color w:val="auto"/>
              </w:rPr>
            </w:pPr>
          </w:p>
        </w:tc>
        <w:tc>
          <w:tcPr>
            <w:tcW w:w="21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1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140" w:type="dxa"/>
            <w:vAlign w:val="bottom"/>
            <w:tcBorders>
              <w:bottom w:val="single" w:sz="8" w:color="auto"/>
            </w:tcBorders>
          </w:tcPr>
          <w:p>
            <w:pPr>
              <w:spacing w:after="0" w:line="20" w:lineRule="exact"/>
              <w:rPr>
                <w:sz w:val="1"/>
                <w:szCs w:val="1"/>
                <w:color w:val="auto"/>
              </w:rPr>
            </w:pPr>
          </w:p>
        </w:tc>
      </w:tr>
      <w:tr>
        <w:trPr>
          <w:trHeight w:val="258"/>
        </w:trPr>
        <w:tc>
          <w:tcPr>
            <w:tcW w:w="318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20"/>
                <w:szCs w:val="20"/>
                <w:color w:val="auto"/>
                <w:w w:val="90"/>
              </w:rPr>
              <w:t>Magda Marquet, Ph.D.</w:t>
            </w:r>
          </w:p>
        </w:tc>
        <w:tc>
          <w:tcPr>
            <w:tcW w:w="2300" w:type="dxa"/>
            <w:vAlign w:val="bottom"/>
            <w:tcBorders>
              <w:bottom w:val="single" w:sz="8" w:color="CCEEFF"/>
            </w:tcBorders>
            <w:gridSpan w:val="2"/>
            <w:shd w:val="clear" w:color="auto" w:fill="CCEEFF"/>
          </w:tcPr>
          <w:p>
            <w:pPr>
              <w:ind w:left="820"/>
              <w:spacing w:after="0"/>
              <w:rPr>
                <w:sz w:val="20"/>
                <w:szCs w:val="20"/>
                <w:color w:val="auto"/>
              </w:rPr>
            </w:pPr>
            <w:r>
              <w:rPr>
                <w:rFonts w:ascii="Arial" w:cs="Arial" w:eastAsia="Arial" w:hAnsi="Arial"/>
                <w:sz w:val="18"/>
                <w:szCs w:val="18"/>
                <w:color w:val="auto"/>
              </w:rPr>
              <w:t>21,553,117</w:t>
            </w:r>
          </w:p>
        </w:tc>
        <w:tc>
          <w:tcPr>
            <w:tcW w:w="2260" w:type="dxa"/>
            <w:vAlign w:val="bottom"/>
            <w:tcBorders>
              <w:bottom w:val="single" w:sz="8" w:color="CCEEFF"/>
            </w:tcBorders>
            <w:gridSpan w:val="2"/>
            <w:shd w:val="clear" w:color="auto" w:fill="CCEEFF"/>
          </w:tcPr>
          <w:p>
            <w:pPr>
              <w:jc w:val="center"/>
              <w:ind w:left="30"/>
              <w:spacing w:after="0"/>
              <w:rPr>
                <w:sz w:val="20"/>
                <w:szCs w:val="20"/>
                <w:color w:val="auto"/>
              </w:rPr>
            </w:pPr>
            <w:r>
              <w:rPr>
                <w:rFonts w:ascii="Arial" w:cs="Arial" w:eastAsia="Arial" w:hAnsi="Arial"/>
                <w:sz w:val="18"/>
                <w:szCs w:val="18"/>
                <w:color w:val="auto"/>
                <w:w w:val="89"/>
              </w:rPr>
              <w:t>856,715</w:t>
            </w:r>
          </w:p>
        </w:tc>
        <w:tc>
          <w:tcPr>
            <w:tcW w:w="2260" w:type="dxa"/>
            <w:vAlign w:val="bottom"/>
            <w:tcBorders>
              <w:bottom w:val="single" w:sz="8" w:color="CCEEFF"/>
            </w:tcBorders>
            <w:gridSpan w:val="2"/>
            <w:shd w:val="clear" w:color="auto" w:fill="CCEEFF"/>
          </w:tcPr>
          <w:p>
            <w:pPr>
              <w:jc w:val="center"/>
              <w:ind w:left="50"/>
              <w:spacing w:after="0"/>
              <w:rPr>
                <w:sz w:val="20"/>
                <w:szCs w:val="20"/>
                <w:color w:val="auto"/>
              </w:rPr>
            </w:pPr>
            <w:r>
              <w:rPr>
                <w:rFonts w:ascii="Arial" w:cs="Arial" w:eastAsia="Arial" w:hAnsi="Arial"/>
                <w:sz w:val="18"/>
                <w:szCs w:val="18"/>
                <w:color w:val="auto"/>
                <w:w w:val="89"/>
              </w:rPr>
              <w:t>2,247,178</w:t>
            </w:r>
          </w:p>
        </w:tc>
      </w:tr>
      <w:tr>
        <w:trPr>
          <w:trHeight w:val="265"/>
        </w:trPr>
        <w:tc>
          <w:tcPr>
            <w:tcW w:w="3180" w:type="dxa"/>
            <w:vAlign w:val="bottom"/>
          </w:tcPr>
          <w:p>
            <w:pPr>
              <w:jc w:val="center"/>
              <w:spacing w:after="0"/>
              <w:rPr>
                <w:sz w:val="20"/>
                <w:szCs w:val="20"/>
                <w:color w:val="auto"/>
              </w:rPr>
            </w:pPr>
            <w:r>
              <w:rPr>
                <w:rFonts w:ascii="Arial" w:cs="Arial" w:eastAsia="Arial" w:hAnsi="Arial"/>
                <w:sz w:val="20"/>
                <w:szCs w:val="20"/>
                <w:color w:val="auto"/>
                <w:w w:val="94"/>
              </w:rPr>
              <w:t>Hollings Renton, M.B.A.</w:t>
            </w:r>
          </w:p>
        </w:tc>
        <w:tc>
          <w:tcPr>
            <w:tcW w:w="2300" w:type="dxa"/>
            <w:vAlign w:val="bottom"/>
            <w:gridSpan w:val="2"/>
          </w:tcPr>
          <w:p>
            <w:pPr>
              <w:ind w:left="820"/>
              <w:spacing w:after="0"/>
              <w:rPr>
                <w:sz w:val="20"/>
                <w:szCs w:val="20"/>
                <w:color w:val="auto"/>
              </w:rPr>
            </w:pPr>
            <w:r>
              <w:rPr>
                <w:rFonts w:ascii="Arial" w:cs="Arial" w:eastAsia="Arial" w:hAnsi="Arial"/>
                <w:sz w:val="18"/>
                <w:szCs w:val="18"/>
                <w:color w:val="auto"/>
              </w:rPr>
              <w:t>16,883,226</w:t>
            </w:r>
          </w:p>
        </w:tc>
        <w:tc>
          <w:tcPr>
            <w:tcW w:w="2260" w:type="dxa"/>
            <w:vAlign w:val="bottom"/>
            <w:gridSpan w:val="2"/>
          </w:tcPr>
          <w:p>
            <w:pPr>
              <w:jc w:val="center"/>
              <w:ind w:left="10"/>
              <w:spacing w:after="0"/>
              <w:rPr>
                <w:sz w:val="20"/>
                <w:szCs w:val="20"/>
                <w:color w:val="auto"/>
              </w:rPr>
            </w:pPr>
            <w:r>
              <w:rPr>
                <w:rFonts w:ascii="Arial" w:cs="Arial" w:eastAsia="Arial" w:hAnsi="Arial"/>
                <w:sz w:val="18"/>
                <w:szCs w:val="18"/>
                <w:color w:val="auto"/>
                <w:w w:val="89"/>
              </w:rPr>
              <w:t>5,526,606</w:t>
            </w:r>
          </w:p>
        </w:tc>
        <w:tc>
          <w:tcPr>
            <w:tcW w:w="2260" w:type="dxa"/>
            <w:vAlign w:val="bottom"/>
            <w:gridSpan w:val="2"/>
          </w:tcPr>
          <w:p>
            <w:pPr>
              <w:jc w:val="center"/>
              <w:ind w:left="50"/>
              <w:spacing w:after="0"/>
              <w:rPr>
                <w:sz w:val="20"/>
                <w:szCs w:val="20"/>
                <w:color w:val="auto"/>
              </w:rPr>
            </w:pPr>
            <w:r>
              <w:rPr>
                <w:rFonts w:ascii="Arial" w:cs="Arial" w:eastAsia="Arial" w:hAnsi="Arial"/>
                <w:sz w:val="18"/>
                <w:szCs w:val="18"/>
                <w:color w:val="auto"/>
                <w:w w:val="89"/>
              </w:rPr>
              <w:t>2,247,178</w:t>
            </w:r>
          </w:p>
        </w:tc>
      </w:tr>
      <w:tr>
        <w:trPr>
          <w:trHeight w:val="265"/>
        </w:trPr>
        <w:tc>
          <w:tcPr>
            <w:tcW w:w="3180" w:type="dxa"/>
            <w:vAlign w:val="bottom"/>
            <w:shd w:val="clear" w:color="auto" w:fill="CCEEFF"/>
          </w:tcPr>
          <w:p>
            <w:pPr>
              <w:jc w:val="center"/>
              <w:spacing w:after="0"/>
              <w:rPr>
                <w:sz w:val="20"/>
                <w:szCs w:val="20"/>
                <w:color w:val="auto"/>
              </w:rPr>
            </w:pPr>
            <w:r>
              <w:rPr>
                <w:rFonts w:ascii="Arial" w:cs="Arial" w:eastAsia="Arial" w:hAnsi="Arial"/>
                <w:sz w:val="20"/>
                <w:szCs w:val="20"/>
                <w:color w:val="auto"/>
                <w:w w:val="87"/>
              </w:rPr>
              <w:t>John P. Schmid</w:t>
            </w:r>
          </w:p>
        </w:tc>
        <w:tc>
          <w:tcPr>
            <w:tcW w:w="2300" w:type="dxa"/>
            <w:vAlign w:val="bottom"/>
            <w:gridSpan w:val="2"/>
            <w:shd w:val="clear" w:color="auto" w:fill="CCEEFF"/>
          </w:tcPr>
          <w:p>
            <w:pPr>
              <w:ind w:left="820"/>
              <w:spacing w:after="0"/>
              <w:rPr>
                <w:sz w:val="20"/>
                <w:szCs w:val="20"/>
                <w:color w:val="auto"/>
              </w:rPr>
            </w:pPr>
            <w:r>
              <w:rPr>
                <w:rFonts w:ascii="Arial" w:cs="Arial" w:eastAsia="Arial" w:hAnsi="Arial"/>
                <w:sz w:val="18"/>
                <w:szCs w:val="18"/>
                <w:color w:val="auto"/>
              </w:rPr>
              <w:t>20,391,333</w:t>
            </w:r>
          </w:p>
        </w:tc>
        <w:tc>
          <w:tcPr>
            <w:tcW w:w="2260" w:type="dxa"/>
            <w:vAlign w:val="bottom"/>
            <w:gridSpan w:val="2"/>
            <w:shd w:val="clear" w:color="auto" w:fill="CCEEFF"/>
          </w:tcPr>
          <w:p>
            <w:pPr>
              <w:jc w:val="center"/>
              <w:ind w:left="10"/>
              <w:spacing w:after="0"/>
              <w:rPr>
                <w:sz w:val="20"/>
                <w:szCs w:val="20"/>
                <w:color w:val="auto"/>
              </w:rPr>
            </w:pPr>
            <w:r>
              <w:rPr>
                <w:rFonts w:ascii="Arial" w:cs="Arial" w:eastAsia="Arial" w:hAnsi="Arial"/>
                <w:sz w:val="18"/>
                <w:szCs w:val="18"/>
                <w:color w:val="auto"/>
                <w:w w:val="89"/>
              </w:rPr>
              <w:t>2,018,499</w:t>
            </w:r>
          </w:p>
        </w:tc>
        <w:tc>
          <w:tcPr>
            <w:tcW w:w="2260" w:type="dxa"/>
            <w:vAlign w:val="bottom"/>
            <w:gridSpan w:val="2"/>
            <w:shd w:val="clear" w:color="auto" w:fill="CCEEFF"/>
          </w:tcPr>
          <w:p>
            <w:pPr>
              <w:jc w:val="center"/>
              <w:ind w:left="50"/>
              <w:spacing w:after="0"/>
              <w:rPr>
                <w:sz w:val="20"/>
                <w:szCs w:val="20"/>
                <w:color w:val="auto"/>
              </w:rPr>
            </w:pPr>
            <w:r>
              <w:rPr>
                <w:rFonts w:ascii="Arial" w:cs="Arial" w:eastAsia="Arial" w:hAnsi="Arial"/>
                <w:sz w:val="18"/>
                <w:szCs w:val="18"/>
                <w:color w:val="auto"/>
                <w:w w:val="89"/>
              </w:rPr>
              <w:t>2,247,178</w:t>
            </w:r>
          </w:p>
        </w:tc>
      </w:tr>
      <w:tr>
        <w:trPr>
          <w:trHeight w:val="23"/>
        </w:trPr>
        <w:tc>
          <w:tcPr>
            <w:tcW w:w="3180" w:type="dxa"/>
            <w:vAlign w:val="bottom"/>
            <w:shd w:val="clear" w:color="auto" w:fill="CCEEFF"/>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214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14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140" w:type="dxa"/>
            <w:vAlign w:val="bottom"/>
            <w:shd w:val="clear" w:color="auto" w:fill="CCEEFF"/>
          </w:tcPr>
          <w:p>
            <w:pPr>
              <w:spacing w:after="0"/>
              <w:rPr>
                <w:sz w:val="2"/>
                <w:szCs w:val="2"/>
                <w:color w:val="auto"/>
              </w:rPr>
            </w:pPr>
          </w:p>
        </w:tc>
      </w:tr>
    </w:tbl>
    <w:p>
      <w:pPr>
        <w:spacing w:after="0" w:line="307" w:lineRule="exact"/>
        <w:rPr>
          <w:sz w:val="20"/>
          <w:szCs w:val="20"/>
          <w:color w:val="auto"/>
        </w:rPr>
      </w:pPr>
    </w:p>
    <w:p>
      <w:pPr>
        <w:ind w:left="660" w:hanging="328"/>
        <w:spacing w:after="0" w:line="274" w:lineRule="auto"/>
        <w:tabs>
          <w:tab w:leader="none" w:pos="660" w:val="left"/>
        </w:tabs>
        <w:numPr>
          <w:ilvl w:val="0"/>
          <w:numId w:val="2"/>
        </w:numPr>
        <w:rPr>
          <w:rFonts w:ascii="Arial" w:cs="Arial" w:eastAsia="Arial" w:hAnsi="Arial"/>
          <w:sz w:val="20"/>
          <w:szCs w:val="20"/>
          <w:color w:val="auto"/>
        </w:rPr>
      </w:pPr>
      <w:r>
        <w:rPr>
          <w:rFonts w:ascii="Arial" w:cs="Arial" w:eastAsia="Arial" w:hAnsi="Arial"/>
          <w:sz w:val="20"/>
          <w:szCs w:val="20"/>
          <w:color w:val="auto"/>
        </w:rPr>
        <w:t>Ratification of the appointment of KPMG LLP as the Company’s independent registered public accounting firm for the fiscal year ending December 31, 2023:</w:t>
      </w:r>
    </w:p>
    <w:p>
      <w:pPr>
        <w:spacing w:after="0" w:line="225" w:lineRule="exact"/>
        <w:rPr>
          <w:sz w:val="20"/>
          <w:szCs w:val="20"/>
          <w:color w:val="auto"/>
        </w:rPr>
      </w:pPr>
    </w:p>
    <w:tbl>
      <w:tblPr>
        <w:tblLayout w:type="fixed"/>
        <w:tblInd w:w="660" w:type="dxa"/>
        <w:tblCellMar>
          <w:top w:w="0" w:type="dxa"/>
          <w:left w:w="0" w:type="dxa"/>
          <w:bottom w:w="0" w:type="dxa"/>
          <w:right w:w="0" w:type="dxa"/>
        </w:tblCellMar>
      </w:tblPr>
      <w:tr>
        <w:trPr>
          <w:trHeight w:val="207"/>
        </w:trPr>
        <w:tc>
          <w:tcPr>
            <w:tcW w:w="3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180" w:type="dxa"/>
            <w:vAlign w:val="bottom"/>
          </w:tcPr>
          <w:p>
            <w:pPr>
              <w:jc w:val="center"/>
              <w:spacing w:after="0"/>
              <w:rPr>
                <w:sz w:val="20"/>
                <w:szCs w:val="20"/>
                <w:color w:val="auto"/>
              </w:rPr>
            </w:pPr>
            <w:r>
              <w:rPr>
                <w:rFonts w:ascii="Arial" w:cs="Arial" w:eastAsia="Arial" w:hAnsi="Arial"/>
                <w:sz w:val="18"/>
                <w:szCs w:val="18"/>
                <w:b w:val="1"/>
                <w:bCs w:val="1"/>
                <w:color w:val="auto"/>
                <w:w w:val="86"/>
              </w:rPr>
              <w:t>Shares</w:t>
            </w:r>
          </w:p>
        </w:tc>
        <w:tc>
          <w:tcPr>
            <w:tcW w:w="120" w:type="dxa"/>
            <w:vAlign w:val="bottom"/>
          </w:tcPr>
          <w:p>
            <w:pPr>
              <w:spacing w:after="0"/>
              <w:rPr>
                <w:sz w:val="17"/>
                <w:szCs w:val="17"/>
                <w:color w:val="auto"/>
              </w:rPr>
            </w:pPr>
          </w:p>
        </w:tc>
        <w:tc>
          <w:tcPr>
            <w:tcW w:w="2120" w:type="dxa"/>
            <w:vAlign w:val="bottom"/>
          </w:tcPr>
          <w:p>
            <w:pPr>
              <w:spacing w:after="0"/>
              <w:rPr>
                <w:sz w:val="17"/>
                <w:szCs w:val="17"/>
                <w:color w:val="auto"/>
              </w:rPr>
            </w:pPr>
          </w:p>
        </w:tc>
      </w:tr>
      <w:tr>
        <w:trPr>
          <w:trHeight w:val="234"/>
        </w:trPr>
        <w:tc>
          <w:tcPr>
            <w:tcW w:w="3180" w:type="dxa"/>
            <w:vAlign w:val="bottom"/>
          </w:tcPr>
          <w:p>
            <w:pPr>
              <w:ind w:left="1160"/>
              <w:spacing w:after="0"/>
              <w:rPr>
                <w:sz w:val="20"/>
                <w:szCs w:val="20"/>
                <w:color w:val="auto"/>
              </w:rPr>
            </w:pPr>
            <w:r>
              <w:rPr>
                <w:rFonts w:ascii="Arial" w:cs="Arial" w:eastAsia="Arial" w:hAnsi="Arial"/>
                <w:sz w:val="18"/>
                <w:szCs w:val="18"/>
                <w:b w:val="1"/>
                <w:bCs w:val="1"/>
                <w:color w:val="auto"/>
              </w:rPr>
              <w:t>Shares For</w:t>
            </w:r>
          </w:p>
        </w:tc>
        <w:tc>
          <w:tcPr>
            <w:tcW w:w="120" w:type="dxa"/>
            <w:vAlign w:val="bottom"/>
          </w:tcPr>
          <w:p>
            <w:pPr>
              <w:spacing w:after="0"/>
              <w:rPr>
                <w:sz w:val="20"/>
                <w:szCs w:val="20"/>
                <w:color w:val="auto"/>
              </w:rPr>
            </w:pPr>
          </w:p>
        </w:tc>
        <w:tc>
          <w:tcPr>
            <w:tcW w:w="2140" w:type="dxa"/>
            <w:vAlign w:val="bottom"/>
          </w:tcPr>
          <w:p>
            <w:pPr>
              <w:jc w:val="center"/>
              <w:spacing w:after="0"/>
              <w:rPr>
                <w:sz w:val="20"/>
                <w:szCs w:val="20"/>
                <w:color w:val="auto"/>
              </w:rPr>
            </w:pPr>
            <w:r>
              <w:rPr>
                <w:rFonts w:ascii="Arial" w:cs="Arial" w:eastAsia="Arial" w:hAnsi="Arial"/>
                <w:sz w:val="18"/>
                <w:szCs w:val="18"/>
                <w:b w:val="1"/>
                <w:bCs w:val="1"/>
                <w:color w:val="auto"/>
                <w:w w:val="86"/>
              </w:rPr>
              <w:t>Shares Against</w:t>
            </w:r>
          </w:p>
        </w:tc>
        <w:tc>
          <w:tcPr>
            <w:tcW w:w="120" w:type="dxa"/>
            <w:vAlign w:val="bottom"/>
          </w:tcPr>
          <w:p>
            <w:pPr>
              <w:spacing w:after="0"/>
              <w:rPr>
                <w:sz w:val="20"/>
                <w:szCs w:val="20"/>
                <w:color w:val="auto"/>
              </w:rPr>
            </w:pPr>
          </w:p>
        </w:tc>
        <w:tc>
          <w:tcPr>
            <w:tcW w:w="2180" w:type="dxa"/>
            <w:vAlign w:val="bottom"/>
          </w:tcPr>
          <w:p>
            <w:pPr>
              <w:jc w:val="center"/>
              <w:spacing w:after="0"/>
              <w:rPr>
                <w:sz w:val="20"/>
                <w:szCs w:val="20"/>
                <w:color w:val="auto"/>
              </w:rPr>
            </w:pPr>
            <w:r>
              <w:rPr>
                <w:rFonts w:ascii="Arial" w:cs="Arial" w:eastAsia="Arial" w:hAnsi="Arial"/>
                <w:sz w:val="18"/>
                <w:szCs w:val="18"/>
                <w:b w:val="1"/>
                <w:bCs w:val="1"/>
                <w:color w:val="auto"/>
                <w:w w:val="91"/>
              </w:rPr>
              <w:t>Withheld/Abstaining</w:t>
            </w:r>
          </w:p>
        </w:tc>
        <w:tc>
          <w:tcPr>
            <w:tcW w:w="120" w:type="dxa"/>
            <w:vAlign w:val="bottom"/>
          </w:tcPr>
          <w:p>
            <w:pPr>
              <w:spacing w:after="0"/>
              <w:rPr>
                <w:sz w:val="20"/>
                <w:szCs w:val="20"/>
                <w:color w:val="auto"/>
              </w:rPr>
            </w:pPr>
          </w:p>
        </w:tc>
        <w:tc>
          <w:tcPr>
            <w:tcW w:w="2120" w:type="dxa"/>
            <w:vAlign w:val="bottom"/>
          </w:tcPr>
          <w:p>
            <w:pPr>
              <w:jc w:val="center"/>
              <w:spacing w:after="0"/>
              <w:rPr>
                <w:sz w:val="20"/>
                <w:szCs w:val="20"/>
                <w:color w:val="auto"/>
              </w:rPr>
            </w:pPr>
            <w:r>
              <w:rPr>
                <w:rFonts w:ascii="Arial" w:cs="Arial" w:eastAsia="Arial" w:hAnsi="Arial"/>
                <w:sz w:val="18"/>
                <w:szCs w:val="18"/>
                <w:b w:val="1"/>
                <w:bCs w:val="1"/>
                <w:color w:val="auto"/>
                <w:w w:val="90"/>
              </w:rPr>
              <w:t>Broker Non-Votes</w:t>
            </w:r>
          </w:p>
        </w:tc>
      </w:tr>
      <w:tr>
        <w:trPr>
          <w:trHeight w:val="27"/>
        </w:trPr>
        <w:tc>
          <w:tcPr>
            <w:tcW w:w="31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1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1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120" w:type="dxa"/>
            <w:vAlign w:val="bottom"/>
            <w:tcBorders>
              <w:bottom w:val="single" w:sz="8" w:color="auto"/>
            </w:tcBorders>
          </w:tcPr>
          <w:p>
            <w:pPr>
              <w:spacing w:after="0"/>
              <w:rPr>
                <w:sz w:val="2"/>
                <w:szCs w:val="2"/>
                <w:color w:val="auto"/>
              </w:rPr>
            </w:pPr>
          </w:p>
        </w:tc>
      </w:tr>
      <w:tr>
        <w:trPr>
          <w:trHeight w:val="20"/>
        </w:trPr>
        <w:tc>
          <w:tcPr>
            <w:tcW w:w="31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1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1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120" w:type="dxa"/>
            <w:vAlign w:val="bottom"/>
            <w:tcBorders>
              <w:bottom w:val="single" w:sz="8" w:color="auto"/>
            </w:tcBorders>
          </w:tcPr>
          <w:p>
            <w:pPr>
              <w:spacing w:after="0" w:line="20" w:lineRule="exact"/>
              <w:rPr>
                <w:sz w:val="1"/>
                <w:szCs w:val="1"/>
                <w:color w:val="auto"/>
              </w:rPr>
            </w:pPr>
          </w:p>
        </w:tc>
      </w:tr>
      <w:tr>
        <w:trPr>
          <w:trHeight w:val="224"/>
        </w:trPr>
        <w:tc>
          <w:tcPr>
            <w:tcW w:w="3180" w:type="dxa"/>
            <w:vAlign w:val="bottom"/>
            <w:shd w:val="clear" w:color="auto" w:fill="CCEEFF"/>
          </w:tcPr>
          <w:p>
            <w:pPr>
              <w:ind w:left="1180"/>
              <w:spacing w:after="0"/>
              <w:rPr>
                <w:sz w:val="20"/>
                <w:szCs w:val="20"/>
                <w:color w:val="auto"/>
              </w:rPr>
            </w:pPr>
            <w:r>
              <w:rPr>
                <w:rFonts w:ascii="Arial" w:cs="Arial" w:eastAsia="Arial" w:hAnsi="Arial"/>
                <w:sz w:val="18"/>
                <w:szCs w:val="18"/>
                <w:color w:val="auto"/>
              </w:rPr>
              <w:t>24,453,643</w:t>
            </w:r>
          </w:p>
        </w:tc>
        <w:tc>
          <w:tcPr>
            <w:tcW w:w="120" w:type="dxa"/>
            <w:vAlign w:val="bottom"/>
            <w:shd w:val="clear" w:color="auto" w:fill="CCEEFF"/>
          </w:tcPr>
          <w:p>
            <w:pPr>
              <w:spacing w:after="0"/>
              <w:rPr>
                <w:sz w:val="19"/>
                <w:szCs w:val="19"/>
                <w:color w:val="auto"/>
              </w:rPr>
            </w:pPr>
          </w:p>
        </w:tc>
        <w:tc>
          <w:tcPr>
            <w:tcW w:w="2140" w:type="dxa"/>
            <w:vAlign w:val="bottom"/>
            <w:shd w:val="clear" w:color="auto" w:fill="CCEEFF"/>
          </w:tcPr>
          <w:p>
            <w:pPr>
              <w:jc w:val="right"/>
              <w:ind w:right="690"/>
              <w:spacing w:after="0"/>
              <w:rPr>
                <w:sz w:val="20"/>
                <w:szCs w:val="20"/>
                <w:color w:val="auto"/>
              </w:rPr>
            </w:pPr>
            <w:r>
              <w:rPr>
                <w:rFonts w:ascii="Arial" w:cs="Arial" w:eastAsia="Arial" w:hAnsi="Arial"/>
                <w:sz w:val="18"/>
                <w:szCs w:val="18"/>
                <w:color w:val="auto"/>
              </w:rPr>
              <w:t>203,193</w:t>
            </w:r>
          </w:p>
        </w:tc>
        <w:tc>
          <w:tcPr>
            <w:tcW w:w="120" w:type="dxa"/>
            <w:vAlign w:val="bottom"/>
            <w:shd w:val="clear" w:color="auto" w:fill="CCEEFF"/>
          </w:tcPr>
          <w:p>
            <w:pPr>
              <w:spacing w:after="0"/>
              <w:rPr>
                <w:sz w:val="19"/>
                <w:szCs w:val="19"/>
                <w:color w:val="auto"/>
              </w:rPr>
            </w:pPr>
          </w:p>
        </w:tc>
        <w:tc>
          <w:tcPr>
            <w:tcW w:w="21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6"/>
              </w:rPr>
              <w:t>174</w:t>
            </w:r>
          </w:p>
        </w:tc>
        <w:tc>
          <w:tcPr>
            <w:tcW w:w="120" w:type="dxa"/>
            <w:vAlign w:val="bottom"/>
            <w:shd w:val="clear" w:color="auto" w:fill="CCEEFF"/>
          </w:tcPr>
          <w:p>
            <w:pPr>
              <w:spacing w:after="0"/>
              <w:rPr>
                <w:sz w:val="19"/>
                <w:szCs w:val="19"/>
                <w:color w:val="auto"/>
              </w:rPr>
            </w:pPr>
          </w:p>
        </w:tc>
        <w:tc>
          <w:tcPr>
            <w:tcW w:w="21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w:t>
            </w:r>
          </w:p>
        </w:tc>
      </w:tr>
      <w:tr>
        <w:trPr>
          <w:trHeight w:val="26"/>
        </w:trPr>
        <w:tc>
          <w:tcPr>
            <w:tcW w:w="318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14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18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120" w:type="dxa"/>
            <w:vAlign w:val="bottom"/>
            <w:shd w:val="clear" w:color="auto" w:fill="CCEEFF"/>
          </w:tcPr>
          <w:p>
            <w:pPr>
              <w:spacing w:after="0"/>
              <w:rPr>
                <w:sz w:val="2"/>
                <w:szCs w:val="2"/>
                <w:color w:val="auto"/>
              </w:rPr>
            </w:pPr>
          </w:p>
        </w:tc>
      </w:tr>
    </w:tbl>
    <w:p>
      <w:pPr>
        <w:spacing w:after="0" w:line="321" w:lineRule="exact"/>
        <w:rPr>
          <w:sz w:val="20"/>
          <w:szCs w:val="20"/>
          <w:color w:val="auto"/>
        </w:rPr>
      </w:pPr>
    </w:p>
    <w:p>
      <w:pPr>
        <w:ind w:left="340"/>
        <w:spacing w:after="0"/>
        <w:tabs>
          <w:tab w:leader="none" w:pos="640" w:val="left"/>
        </w:tabs>
        <w:rPr>
          <w:sz w:val="20"/>
          <w:szCs w:val="20"/>
          <w:color w:val="auto"/>
        </w:rPr>
      </w:pPr>
      <w:r>
        <w:rPr>
          <w:rFonts w:ascii="Arial" w:cs="Arial" w:eastAsia="Arial" w:hAnsi="Arial"/>
          <w:sz w:val="20"/>
          <w:szCs w:val="20"/>
          <w:color w:val="auto"/>
        </w:rPr>
        <w:t>3.</w:t>
      </w:r>
      <w:r>
        <w:rPr>
          <w:sz w:val="20"/>
          <w:szCs w:val="20"/>
          <w:color w:val="auto"/>
        </w:rPr>
        <w:tab/>
      </w:r>
      <w:r>
        <w:rPr>
          <w:rFonts w:ascii="Arial" w:cs="Arial" w:eastAsia="Arial" w:hAnsi="Arial"/>
          <w:sz w:val="18"/>
          <w:szCs w:val="18"/>
          <w:color w:val="auto"/>
        </w:rPr>
        <w:t>Non-binding, advisory approval of compensation paid to the Company’s named executive officers:</w:t>
      </w:r>
    </w:p>
    <w:p>
      <w:pPr>
        <w:spacing w:after="0" w:line="264" w:lineRule="exact"/>
        <w:rPr>
          <w:sz w:val="20"/>
          <w:szCs w:val="20"/>
          <w:color w:val="auto"/>
        </w:rPr>
      </w:pPr>
    </w:p>
    <w:tbl>
      <w:tblPr>
        <w:tblLayout w:type="fixed"/>
        <w:tblInd w:w="660" w:type="dxa"/>
        <w:tblCellMar>
          <w:top w:w="0" w:type="dxa"/>
          <w:left w:w="0" w:type="dxa"/>
          <w:bottom w:w="0" w:type="dxa"/>
          <w:right w:w="0" w:type="dxa"/>
        </w:tblCellMar>
      </w:tblPr>
      <w:tr>
        <w:trPr>
          <w:trHeight w:val="207"/>
        </w:trPr>
        <w:tc>
          <w:tcPr>
            <w:tcW w:w="3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180" w:type="dxa"/>
            <w:vAlign w:val="bottom"/>
          </w:tcPr>
          <w:p>
            <w:pPr>
              <w:jc w:val="center"/>
              <w:spacing w:after="0"/>
              <w:rPr>
                <w:sz w:val="20"/>
                <w:szCs w:val="20"/>
                <w:color w:val="auto"/>
              </w:rPr>
            </w:pPr>
            <w:r>
              <w:rPr>
                <w:rFonts w:ascii="Arial" w:cs="Arial" w:eastAsia="Arial" w:hAnsi="Arial"/>
                <w:sz w:val="18"/>
                <w:szCs w:val="18"/>
                <w:b w:val="1"/>
                <w:bCs w:val="1"/>
                <w:color w:val="auto"/>
                <w:w w:val="86"/>
              </w:rPr>
              <w:t>Shares</w:t>
            </w:r>
          </w:p>
        </w:tc>
        <w:tc>
          <w:tcPr>
            <w:tcW w:w="120" w:type="dxa"/>
            <w:vAlign w:val="bottom"/>
          </w:tcPr>
          <w:p>
            <w:pPr>
              <w:spacing w:after="0"/>
              <w:rPr>
                <w:sz w:val="18"/>
                <w:szCs w:val="18"/>
                <w:color w:val="auto"/>
              </w:rPr>
            </w:pPr>
          </w:p>
        </w:tc>
        <w:tc>
          <w:tcPr>
            <w:tcW w:w="2120" w:type="dxa"/>
            <w:vAlign w:val="bottom"/>
          </w:tcPr>
          <w:p>
            <w:pPr>
              <w:spacing w:after="0"/>
              <w:rPr>
                <w:sz w:val="18"/>
                <w:szCs w:val="18"/>
                <w:color w:val="auto"/>
              </w:rPr>
            </w:pPr>
          </w:p>
        </w:tc>
      </w:tr>
      <w:tr>
        <w:trPr>
          <w:trHeight w:val="234"/>
        </w:trPr>
        <w:tc>
          <w:tcPr>
            <w:tcW w:w="3180" w:type="dxa"/>
            <w:vAlign w:val="bottom"/>
            <w:tcBorders>
              <w:bottom w:val="single" w:sz="8" w:color="auto"/>
            </w:tcBorders>
          </w:tcPr>
          <w:p>
            <w:pPr>
              <w:ind w:left="1160"/>
              <w:spacing w:after="0"/>
              <w:rPr>
                <w:sz w:val="20"/>
                <w:szCs w:val="20"/>
                <w:color w:val="auto"/>
              </w:rPr>
            </w:pPr>
            <w:r>
              <w:rPr>
                <w:rFonts w:ascii="Arial" w:cs="Arial" w:eastAsia="Arial" w:hAnsi="Arial"/>
                <w:sz w:val="18"/>
                <w:szCs w:val="18"/>
                <w:b w:val="1"/>
                <w:bCs w:val="1"/>
                <w:color w:val="auto"/>
              </w:rPr>
              <w:t>Shares For</w:t>
            </w:r>
          </w:p>
        </w:tc>
        <w:tc>
          <w:tcPr>
            <w:tcW w:w="120" w:type="dxa"/>
            <w:vAlign w:val="bottom"/>
          </w:tcPr>
          <w:p>
            <w:pPr>
              <w:spacing w:after="0"/>
              <w:rPr>
                <w:sz w:val="20"/>
                <w:szCs w:val="20"/>
                <w:color w:val="auto"/>
              </w:rPr>
            </w:pPr>
          </w:p>
        </w:tc>
        <w:tc>
          <w:tcPr>
            <w:tcW w:w="214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6"/>
              </w:rPr>
              <w:t>Shares Against</w:t>
            </w:r>
          </w:p>
        </w:tc>
        <w:tc>
          <w:tcPr>
            <w:tcW w:w="120" w:type="dxa"/>
            <w:vAlign w:val="bottom"/>
          </w:tcPr>
          <w:p>
            <w:pPr>
              <w:spacing w:after="0"/>
              <w:rPr>
                <w:sz w:val="20"/>
                <w:szCs w:val="20"/>
                <w:color w:val="auto"/>
              </w:rPr>
            </w:pPr>
          </w:p>
        </w:tc>
        <w:tc>
          <w:tcPr>
            <w:tcW w:w="218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1"/>
              </w:rPr>
              <w:t>Withheld/Abstaining</w:t>
            </w:r>
          </w:p>
        </w:tc>
        <w:tc>
          <w:tcPr>
            <w:tcW w:w="120" w:type="dxa"/>
            <w:vAlign w:val="bottom"/>
          </w:tcPr>
          <w:p>
            <w:pPr>
              <w:spacing w:after="0"/>
              <w:rPr>
                <w:sz w:val="20"/>
                <w:szCs w:val="20"/>
                <w:color w:val="auto"/>
              </w:rPr>
            </w:pPr>
          </w:p>
        </w:tc>
        <w:tc>
          <w:tcPr>
            <w:tcW w:w="212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0"/>
              </w:rPr>
              <w:t>Broker Non-Votes</w:t>
            </w:r>
          </w:p>
        </w:tc>
      </w:tr>
      <w:tr>
        <w:trPr>
          <w:trHeight w:val="20"/>
        </w:trPr>
        <w:tc>
          <w:tcPr>
            <w:tcW w:w="31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1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1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120" w:type="dxa"/>
            <w:vAlign w:val="bottom"/>
            <w:tcBorders>
              <w:bottom w:val="single" w:sz="8" w:color="auto"/>
            </w:tcBorders>
          </w:tcPr>
          <w:p>
            <w:pPr>
              <w:spacing w:after="0" w:line="20" w:lineRule="exact"/>
              <w:rPr>
                <w:sz w:val="1"/>
                <w:szCs w:val="1"/>
                <w:color w:val="auto"/>
              </w:rPr>
            </w:pPr>
          </w:p>
        </w:tc>
      </w:tr>
      <w:tr>
        <w:trPr>
          <w:trHeight w:val="224"/>
        </w:trPr>
        <w:tc>
          <w:tcPr>
            <w:tcW w:w="3180" w:type="dxa"/>
            <w:vAlign w:val="bottom"/>
            <w:shd w:val="clear" w:color="auto" w:fill="CCEEFF"/>
          </w:tcPr>
          <w:p>
            <w:pPr>
              <w:ind w:left="1180"/>
              <w:spacing w:after="0"/>
              <w:rPr>
                <w:sz w:val="20"/>
                <w:szCs w:val="20"/>
                <w:color w:val="auto"/>
              </w:rPr>
            </w:pPr>
            <w:r>
              <w:rPr>
                <w:rFonts w:ascii="Arial" w:cs="Arial" w:eastAsia="Arial" w:hAnsi="Arial"/>
                <w:sz w:val="18"/>
                <w:szCs w:val="18"/>
                <w:color w:val="auto"/>
              </w:rPr>
              <w:t>15,221,869</w:t>
            </w:r>
          </w:p>
        </w:tc>
        <w:tc>
          <w:tcPr>
            <w:tcW w:w="120" w:type="dxa"/>
            <w:vAlign w:val="bottom"/>
            <w:shd w:val="clear" w:color="auto" w:fill="CCEEFF"/>
          </w:tcPr>
          <w:p>
            <w:pPr>
              <w:spacing w:after="0"/>
              <w:rPr>
                <w:sz w:val="19"/>
                <w:szCs w:val="19"/>
                <w:color w:val="auto"/>
              </w:rPr>
            </w:pPr>
          </w:p>
        </w:tc>
        <w:tc>
          <w:tcPr>
            <w:tcW w:w="2140" w:type="dxa"/>
            <w:vAlign w:val="bottom"/>
            <w:shd w:val="clear" w:color="auto" w:fill="CCEEFF"/>
          </w:tcPr>
          <w:p>
            <w:pPr>
              <w:jc w:val="right"/>
              <w:ind w:right="610"/>
              <w:spacing w:after="0"/>
              <w:rPr>
                <w:sz w:val="20"/>
                <w:szCs w:val="20"/>
                <w:color w:val="auto"/>
              </w:rPr>
            </w:pPr>
            <w:r>
              <w:rPr>
                <w:rFonts w:ascii="Arial" w:cs="Arial" w:eastAsia="Arial" w:hAnsi="Arial"/>
                <w:sz w:val="18"/>
                <w:szCs w:val="18"/>
                <w:color w:val="auto"/>
              </w:rPr>
              <w:t>7,185,726</w:t>
            </w:r>
          </w:p>
        </w:tc>
        <w:tc>
          <w:tcPr>
            <w:tcW w:w="120" w:type="dxa"/>
            <w:vAlign w:val="bottom"/>
            <w:shd w:val="clear" w:color="auto" w:fill="CCEEFF"/>
          </w:tcPr>
          <w:p>
            <w:pPr>
              <w:spacing w:after="0"/>
              <w:rPr>
                <w:sz w:val="19"/>
                <w:szCs w:val="19"/>
                <w:color w:val="auto"/>
              </w:rPr>
            </w:pPr>
          </w:p>
        </w:tc>
        <w:tc>
          <w:tcPr>
            <w:tcW w:w="21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8"/>
              </w:rPr>
              <w:t>2,237</w:t>
            </w:r>
          </w:p>
        </w:tc>
        <w:tc>
          <w:tcPr>
            <w:tcW w:w="120" w:type="dxa"/>
            <w:vAlign w:val="bottom"/>
            <w:shd w:val="clear" w:color="auto" w:fill="CCEEFF"/>
          </w:tcPr>
          <w:p>
            <w:pPr>
              <w:spacing w:after="0"/>
              <w:rPr>
                <w:sz w:val="19"/>
                <w:szCs w:val="19"/>
                <w:color w:val="auto"/>
              </w:rPr>
            </w:pPr>
          </w:p>
        </w:tc>
        <w:tc>
          <w:tcPr>
            <w:tcW w:w="2120" w:type="dxa"/>
            <w:vAlign w:val="bottom"/>
            <w:shd w:val="clear" w:color="auto" w:fill="CCEEFF"/>
          </w:tcPr>
          <w:p>
            <w:pPr>
              <w:jc w:val="right"/>
              <w:ind w:right="610"/>
              <w:spacing w:after="0"/>
              <w:rPr>
                <w:sz w:val="20"/>
                <w:szCs w:val="20"/>
                <w:color w:val="auto"/>
              </w:rPr>
            </w:pPr>
            <w:r>
              <w:rPr>
                <w:rFonts w:ascii="Arial" w:cs="Arial" w:eastAsia="Arial" w:hAnsi="Arial"/>
                <w:sz w:val="18"/>
                <w:szCs w:val="18"/>
                <w:color w:val="auto"/>
              </w:rPr>
              <w:t>2,247,178</w:t>
            </w:r>
          </w:p>
        </w:tc>
      </w:tr>
      <w:tr>
        <w:trPr>
          <w:trHeight w:val="26"/>
        </w:trPr>
        <w:tc>
          <w:tcPr>
            <w:tcW w:w="318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14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18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120" w:type="dxa"/>
            <w:vAlign w:val="bottom"/>
            <w:shd w:val="clear" w:color="auto" w:fill="CCEEFF"/>
          </w:tcPr>
          <w:p>
            <w:pPr>
              <w:spacing w:after="0"/>
              <w:rPr>
                <w:sz w:val="2"/>
                <w:szCs w:val="2"/>
                <w:color w:val="auto"/>
              </w:rPr>
            </w:pPr>
          </w:p>
        </w:tc>
      </w:tr>
    </w:tbl>
    <w:p>
      <w:pPr>
        <w:spacing w:after="0" w:line="321" w:lineRule="exact"/>
        <w:rPr>
          <w:sz w:val="20"/>
          <w:szCs w:val="20"/>
          <w:color w:val="auto"/>
        </w:rPr>
      </w:pPr>
    </w:p>
    <w:p>
      <w:pPr>
        <w:ind w:left="340"/>
        <w:spacing w:after="0"/>
        <w:tabs>
          <w:tab w:leader="none" w:pos="640" w:val="left"/>
        </w:tabs>
        <w:rPr>
          <w:sz w:val="20"/>
          <w:szCs w:val="20"/>
          <w:color w:val="auto"/>
        </w:rPr>
      </w:pPr>
      <w:r>
        <w:rPr>
          <w:rFonts w:ascii="Arial" w:cs="Arial" w:eastAsia="Arial" w:hAnsi="Arial"/>
          <w:sz w:val="20"/>
          <w:szCs w:val="20"/>
          <w:color w:val="auto"/>
        </w:rPr>
        <w:t>4.</w:t>
      </w:r>
      <w:r>
        <w:rPr>
          <w:sz w:val="20"/>
          <w:szCs w:val="20"/>
          <w:color w:val="auto"/>
        </w:rPr>
        <w:tab/>
      </w:r>
      <w:r>
        <w:rPr>
          <w:rFonts w:ascii="Arial" w:cs="Arial" w:eastAsia="Arial" w:hAnsi="Arial"/>
          <w:sz w:val="18"/>
          <w:szCs w:val="18"/>
          <w:color w:val="auto"/>
        </w:rPr>
        <w:t>Approval of the Amended and Restated Certificate of Incorporation permitting the exculpation of officers:</w:t>
      </w:r>
    </w:p>
    <w:p>
      <w:pPr>
        <w:spacing w:after="0" w:line="264"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660" w:type="dxa"/>
            <w:vAlign w:val="bottom"/>
          </w:tcPr>
          <w:p>
            <w:pPr>
              <w:spacing w:after="0"/>
              <w:rPr>
                <w:sz w:val="18"/>
                <w:szCs w:val="18"/>
                <w:color w:val="auto"/>
              </w:rPr>
            </w:pPr>
          </w:p>
        </w:tc>
        <w:tc>
          <w:tcPr>
            <w:tcW w:w="3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180" w:type="dxa"/>
            <w:vAlign w:val="bottom"/>
          </w:tcPr>
          <w:p>
            <w:pPr>
              <w:jc w:val="center"/>
              <w:spacing w:after="0"/>
              <w:rPr>
                <w:sz w:val="20"/>
                <w:szCs w:val="20"/>
                <w:color w:val="auto"/>
              </w:rPr>
            </w:pPr>
            <w:r>
              <w:rPr>
                <w:rFonts w:ascii="Arial" w:cs="Arial" w:eastAsia="Arial" w:hAnsi="Arial"/>
                <w:sz w:val="18"/>
                <w:szCs w:val="18"/>
                <w:b w:val="1"/>
                <w:bCs w:val="1"/>
                <w:color w:val="auto"/>
                <w:w w:val="86"/>
              </w:rPr>
              <w:t>Shares</w:t>
            </w:r>
          </w:p>
        </w:tc>
        <w:tc>
          <w:tcPr>
            <w:tcW w:w="120" w:type="dxa"/>
            <w:vAlign w:val="bottom"/>
          </w:tcPr>
          <w:p>
            <w:pPr>
              <w:spacing w:after="0"/>
              <w:rPr>
                <w:sz w:val="18"/>
                <w:szCs w:val="18"/>
                <w:color w:val="auto"/>
              </w:rPr>
            </w:pPr>
          </w:p>
        </w:tc>
        <w:tc>
          <w:tcPr>
            <w:tcW w:w="2120" w:type="dxa"/>
            <w:vAlign w:val="bottom"/>
          </w:tcPr>
          <w:p>
            <w:pPr>
              <w:spacing w:after="0"/>
              <w:rPr>
                <w:sz w:val="18"/>
                <w:szCs w:val="18"/>
                <w:color w:val="auto"/>
              </w:rPr>
            </w:pPr>
          </w:p>
        </w:tc>
        <w:tc>
          <w:tcPr>
            <w:tcW w:w="600" w:type="dxa"/>
            <w:vAlign w:val="bottom"/>
          </w:tcPr>
          <w:p>
            <w:pPr>
              <w:spacing w:after="0"/>
              <w:rPr>
                <w:sz w:val="18"/>
                <w:szCs w:val="18"/>
                <w:color w:val="auto"/>
              </w:rPr>
            </w:pPr>
          </w:p>
        </w:tc>
      </w:tr>
      <w:tr>
        <w:trPr>
          <w:trHeight w:val="234"/>
        </w:trPr>
        <w:tc>
          <w:tcPr>
            <w:tcW w:w="660" w:type="dxa"/>
            <w:vAlign w:val="bottom"/>
          </w:tcPr>
          <w:p>
            <w:pPr>
              <w:spacing w:after="0"/>
              <w:rPr>
                <w:sz w:val="20"/>
                <w:szCs w:val="20"/>
                <w:color w:val="auto"/>
              </w:rPr>
            </w:pPr>
          </w:p>
        </w:tc>
        <w:tc>
          <w:tcPr>
            <w:tcW w:w="3180" w:type="dxa"/>
            <w:vAlign w:val="bottom"/>
          </w:tcPr>
          <w:p>
            <w:pPr>
              <w:ind w:left="1160"/>
              <w:spacing w:after="0"/>
              <w:rPr>
                <w:sz w:val="20"/>
                <w:szCs w:val="20"/>
                <w:color w:val="auto"/>
              </w:rPr>
            </w:pPr>
            <w:r>
              <w:rPr>
                <w:rFonts w:ascii="Arial" w:cs="Arial" w:eastAsia="Arial" w:hAnsi="Arial"/>
                <w:sz w:val="18"/>
                <w:szCs w:val="18"/>
                <w:b w:val="1"/>
                <w:bCs w:val="1"/>
                <w:color w:val="auto"/>
              </w:rPr>
              <w:t>Shares For</w:t>
            </w:r>
          </w:p>
        </w:tc>
        <w:tc>
          <w:tcPr>
            <w:tcW w:w="120" w:type="dxa"/>
            <w:vAlign w:val="bottom"/>
          </w:tcPr>
          <w:p>
            <w:pPr>
              <w:spacing w:after="0"/>
              <w:rPr>
                <w:sz w:val="20"/>
                <w:szCs w:val="20"/>
                <w:color w:val="auto"/>
              </w:rPr>
            </w:pPr>
          </w:p>
        </w:tc>
        <w:tc>
          <w:tcPr>
            <w:tcW w:w="2140" w:type="dxa"/>
            <w:vAlign w:val="bottom"/>
          </w:tcPr>
          <w:p>
            <w:pPr>
              <w:jc w:val="center"/>
              <w:spacing w:after="0"/>
              <w:rPr>
                <w:sz w:val="20"/>
                <w:szCs w:val="20"/>
                <w:color w:val="auto"/>
              </w:rPr>
            </w:pPr>
            <w:r>
              <w:rPr>
                <w:rFonts w:ascii="Arial" w:cs="Arial" w:eastAsia="Arial" w:hAnsi="Arial"/>
                <w:sz w:val="18"/>
                <w:szCs w:val="18"/>
                <w:b w:val="1"/>
                <w:bCs w:val="1"/>
                <w:color w:val="auto"/>
                <w:w w:val="86"/>
              </w:rPr>
              <w:t>Shares Against</w:t>
            </w:r>
          </w:p>
        </w:tc>
        <w:tc>
          <w:tcPr>
            <w:tcW w:w="120" w:type="dxa"/>
            <w:vAlign w:val="bottom"/>
          </w:tcPr>
          <w:p>
            <w:pPr>
              <w:spacing w:after="0"/>
              <w:rPr>
                <w:sz w:val="20"/>
                <w:szCs w:val="20"/>
                <w:color w:val="auto"/>
              </w:rPr>
            </w:pPr>
          </w:p>
        </w:tc>
        <w:tc>
          <w:tcPr>
            <w:tcW w:w="2180" w:type="dxa"/>
            <w:vAlign w:val="bottom"/>
          </w:tcPr>
          <w:p>
            <w:pPr>
              <w:jc w:val="center"/>
              <w:spacing w:after="0"/>
              <w:rPr>
                <w:sz w:val="20"/>
                <w:szCs w:val="20"/>
                <w:color w:val="auto"/>
              </w:rPr>
            </w:pPr>
            <w:r>
              <w:rPr>
                <w:rFonts w:ascii="Arial" w:cs="Arial" w:eastAsia="Arial" w:hAnsi="Arial"/>
                <w:sz w:val="18"/>
                <w:szCs w:val="18"/>
                <w:b w:val="1"/>
                <w:bCs w:val="1"/>
                <w:color w:val="auto"/>
                <w:w w:val="91"/>
              </w:rPr>
              <w:t>Withheld/Abstaining</w:t>
            </w:r>
          </w:p>
        </w:tc>
        <w:tc>
          <w:tcPr>
            <w:tcW w:w="120" w:type="dxa"/>
            <w:vAlign w:val="bottom"/>
          </w:tcPr>
          <w:p>
            <w:pPr>
              <w:spacing w:after="0"/>
              <w:rPr>
                <w:sz w:val="20"/>
                <w:szCs w:val="20"/>
                <w:color w:val="auto"/>
              </w:rPr>
            </w:pPr>
          </w:p>
        </w:tc>
        <w:tc>
          <w:tcPr>
            <w:tcW w:w="2720" w:type="dxa"/>
            <w:vAlign w:val="bottom"/>
            <w:gridSpan w:val="2"/>
          </w:tcPr>
          <w:p>
            <w:pPr>
              <w:jc w:val="center"/>
              <w:ind w:right="620"/>
              <w:spacing w:after="0"/>
              <w:rPr>
                <w:sz w:val="20"/>
                <w:szCs w:val="20"/>
                <w:color w:val="auto"/>
              </w:rPr>
            </w:pPr>
            <w:r>
              <w:rPr>
                <w:rFonts w:ascii="Arial" w:cs="Arial" w:eastAsia="Arial" w:hAnsi="Arial"/>
                <w:sz w:val="18"/>
                <w:szCs w:val="18"/>
                <w:b w:val="1"/>
                <w:bCs w:val="1"/>
                <w:color w:val="auto"/>
                <w:w w:val="90"/>
              </w:rPr>
              <w:t>Broker Non-Votes</w:t>
            </w:r>
          </w:p>
        </w:tc>
      </w:tr>
      <w:tr>
        <w:trPr>
          <w:trHeight w:val="20"/>
        </w:trPr>
        <w:tc>
          <w:tcPr>
            <w:tcW w:w="660" w:type="dxa"/>
            <w:vAlign w:val="bottom"/>
          </w:tcPr>
          <w:p>
            <w:pPr>
              <w:spacing w:after="0" w:line="20" w:lineRule="exact"/>
              <w:rPr>
                <w:sz w:val="1"/>
                <w:szCs w:val="1"/>
                <w:color w:val="auto"/>
              </w:rPr>
            </w:pPr>
          </w:p>
        </w:tc>
        <w:tc>
          <w:tcPr>
            <w:tcW w:w="31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1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1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12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r>
      <w:tr>
        <w:trPr>
          <w:trHeight w:val="230"/>
        </w:trPr>
        <w:tc>
          <w:tcPr>
            <w:tcW w:w="660" w:type="dxa"/>
            <w:vAlign w:val="bottom"/>
          </w:tcPr>
          <w:p>
            <w:pPr>
              <w:spacing w:after="0"/>
              <w:rPr>
                <w:sz w:val="20"/>
                <w:szCs w:val="20"/>
                <w:color w:val="auto"/>
              </w:rPr>
            </w:pPr>
          </w:p>
        </w:tc>
        <w:tc>
          <w:tcPr>
            <w:tcW w:w="3180" w:type="dxa"/>
            <w:vAlign w:val="bottom"/>
            <w:tcBorders>
              <w:bottom w:val="single" w:sz="8" w:color="CCEEFF"/>
            </w:tcBorders>
            <w:shd w:val="clear" w:color="auto" w:fill="CCEEFF"/>
          </w:tcPr>
          <w:p>
            <w:pPr>
              <w:ind w:left="1180"/>
              <w:spacing w:after="0"/>
              <w:rPr>
                <w:sz w:val="20"/>
                <w:szCs w:val="20"/>
                <w:color w:val="auto"/>
              </w:rPr>
            </w:pPr>
            <w:r>
              <w:rPr>
                <w:rFonts w:ascii="Arial" w:cs="Arial" w:eastAsia="Arial" w:hAnsi="Arial"/>
                <w:sz w:val="18"/>
                <w:szCs w:val="18"/>
                <w:color w:val="auto"/>
              </w:rPr>
              <w:t>21,803,870</w:t>
            </w:r>
          </w:p>
        </w:tc>
        <w:tc>
          <w:tcPr>
            <w:tcW w:w="120" w:type="dxa"/>
            <w:vAlign w:val="bottom"/>
            <w:tcBorders>
              <w:bottom w:val="single" w:sz="8" w:color="CCEEFF"/>
            </w:tcBorders>
            <w:shd w:val="clear" w:color="auto" w:fill="CCEEFF"/>
          </w:tcPr>
          <w:p>
            <w:pPr>
              <w:spacing w:after="0"/>
              <w:rPr>
                <w:sz w:val="20"/>
                <w:szCs w:val="20"/>
                <w:color w:val="auto"/>
              </w:rPr>
            </w:pPr>
          </w:p>
        </w:tc>
        <w:tc>
          <w:tcPr>
            <w:tcW w:w="2140" w:type="dxa"/>
            <w:vAlign w:val="bottom"/>
            <w:tcBorders>
              <w:bottom w:val="single" w:sz="8" w:color="CCEEFF"/>
            </w:tcBorders>
            <w:shd w:val="clear" w:color="auto" w:fill="CCEEFF"/>
          </w:tcPr>
          <w:p>
            <w:pPr>
              <w:jc w:val="right"/>
              <w:ind w:right="690"/>
              <w:spacing w:after="0"/>
              <w:rPr>
                <w:sz w:val="20"/>
                <w:szCs w:val="20"/>
                <w:color w:val="auto"/>
              </w:rPr>
            </w:pPr>
            <w:r>
              <w:rPr>
                <w:rFonts w:ascii="Arial" w:cs="Arial" w:eastAsia="Arial" w:hAnsi="Arial"/>
                <w:sz w:val="18"/>
                <w:szCs w:val="18"/>
                <w:color w:val="auto"/>
              </w:rPr>
              <w:t>605,555</w:t>
            </w:r>
          </w:p>
        </w:tc>
        <w:tc>
          <w:tcPr>
            <w:tcW w:w="120" w:type="dxa"/>
            <w:vAlign w:val="bottom"/>
            <w:tcBorders>
              <w:bottom w:val="single" w:sz="8" w:color="CCEEFF"/>
            </w:tcBorders>
            <w:shd w:val="clear" w:color="auto" w:fill="CCEEFF"/>
          </w:tcPr>
          <w:p>
            <w:pPr>
              <w:spacing w:after="0"/>
              <w:rPr>
                <w:sz w:val="20"/>
                <w:szCs w:val="20"/>
                <w:color w:val="auto"/>
              </w:rPr>
            </w:pPr>
          </w:p>
        </w:tc>
        <w:tc>
          <w:tcPr>
            <w:tcW w:w="218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3"/>
              </w:rPr>
              <w:t>407</w:t>
            </w:r>
          </w:p>
        </w:tc>
        <w:tc>
          <w:tcPr>
            <w:tcW w:w="120" w:type="dxa"/>
            <w:vAlign w:val="bottom"/>
            <w:tcBorders>
              <w:bottom w:val="single" w:sz="8" w:color="CCEEFF"/>
            </w:tcBorders>
            <w:shd w:val="clear" w:color="auto" w:fill="CCEEFF"/>
          </w:tcPr>
          <w:p>
            <w:pPr>
              <w:spacing w:after="0"/>
              <w:rPr>
                <w:sz w:val="20"/>
                <w:szCs w:val="20"/>
                <w:color w:val="auto"/>
              </w:rPr>
            </w:pPr>
          </w:p>
        </w:tc>
        <w:tc>
          <w:tcPr>
            <w:tcW w:w="2120" w:type="dxa"/>
            <w:vAlign w:val="bottom"/>
            <w:tcBorders>
              <w:bottom w:val="single" w:sz="8" w:color="CCEEFF"/>
            </w:tcBorders>
            <w:shd w:val="clear" w:color="auto" w:fill="CCEEFF"/>
          </w:tcPr>
          <w:p>
            <w:pPr>
              <w:jc w:val="right"/>
              <w:ind w:right="610"/>
              <w:spacing w:after="0"/>
              <w:rPr>
                <w:sz w:val="20"/>
                <w:szCs w:val="20"/>
                <w:color w:val="auto"/>
              </w:rPr>
            </w:pPr>
            <w:r>
              <w:rPr>
                <w:rFonts w:ascii="Arial" w:cs="Arial" w:eastAsia="Arial" w:hAnsi="Arial"/>
                <w:sz w:val="18"/>
                <w:szCs w:val="18"/>
                <w:color w:val="auto"/>
              </w:rPr>
              <w:t>2,247,178</w:t>
            </w:r>
          </w:p>
        </w:tc>
        <w:tc>
          <w:tcPr>
            <w:tcW w:w="600" w:type="dxa"/>
            <w:vAlign w:val="bottom"/>
          </w:tcPr>
          <w:p>
            <w:pPr>
              <w:spacing w:after="0"/>
              <w:rPr>
                <w:sz w:val="20"/>
                <w:szCs w:val="20"/>
                <w:color w:val="auto"/>
              </w:rPr>
            </w:pPr>
          </w:p>
        </w:tc>
      </w:tr>
      <w:tr>
        <w:trPr>
          <w:trHeight w:val="1087"/>
        </w:trPr>
        <w:tc>
          <w:tcPr>
            <w:tcW w:w="660" w:type="dxa"/>
            <w:vAlign w:val="bottom"/>
            <w:tcBorders>
              <w:bottom w:val="single" w:sz="8" w:color="9A9A9A"/>
            </w:tcBorders>
          </w:tcPr>
          <w:p>
            <w:pPr>
              <w:spacing w:after="0"/>
              <w:rPr>
                <w:sz w:val="24"/>
                <w:szCs w:val="24"/>
                <w:color w:val="auto"/>
              </w:rPr>
            </w:pPr>
          </w:p>
        </w:tc>
        <w:tc>
          <w:tcPr>
            <w:tcW w:w="318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214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218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2120" w:type="dxa"/>
            <w:vAlign w:val="bottom"/>
            <w:tcBorders>
              <w:bottom w:val="single" w:sz="8" w:color="9A9A9A"/>
            </w:tcBorders>
          </w:tcPr>
          <w:p>
            <w:pPr>
              <w:spacing w:after="0"/>
              <w:rPr>
                <w:sz w:val="24"/>
                <w:szCs w:val="24"/>
                <w:color w:val="auto"/>
              </w:rPr>
            </w:pPr>
          </w:p>
        </w:tc>
        <w:tc>
          <w:tcPr>
            <w:tcW w:w="60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429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2" w:name="page3"/>
    <w:bookmarkEnd w:id="2"/>
    <w:p>
      <w:pPr>
        <w:jc w:val="center"/>
        <w:spacing w:after="0"/>
        <w:rPr>
          <w:sz w:val="20"/>
          <w:szCs w:val="20"/>
          <w:color w:val="auto"/>
        </w:rPr>
      </w:pPr>
      <w:r>
        <w:rPr>
          <w:rFonts w:ascii="Arial" w:cs="Arial" w:eastAsia="Arial" w:hAnsi="Arial"/>
          <w:sz w:val="20"/>
          <w:szCs w:val="20"/>
          <w:b w:val="1"/>
          <w:bCs w:val="1"/>
          <w:color w:val="auto"/>
        </w:rPr>
        <w:t>SIGNATURES</w:t>
      </w:r>
    </w:p>
    <w:p>
      <w:pPr>
        <w:spacing w:after="0" w:line="200" w:lineRule="exact"/>
        <w:rPr>
          <w:sz w:val="20"/>
          <w:szCs w:val="20"/>
          <w:color w:val="auto"/>
        </w:rPr>
      </w:pPr>
    </w:p>
    <w:p>
      <w:pPr>
        <w:spacing w:after="0" w:line="224" w:lineRule="exact"/>
        <w:rPr>
          <w:sz w:val="20"/>
          <w:szCs w:val="20"/>
          <w:color w:val="auto"/>
        </w:rPr>
      </w:pPr>
    </w:p>
    <w:p>
      <w:pPr>
        <w:spacing w:after="0" w:line="274" w:lineRule="auto"/>
        <w:rPr>
          <w:sz w:val="20"/>
          <w:szCs w:val="20"/>
          <w:color w:val="auto"/>
        </w:rPr>
      </w:pPr>
      <w:r>
        <w:rPr>
          <w:rFonts w:ascii="Arial" w:cs="Arial" w:eastAsia="Arial" w:hAnsi="Arial"/>
          <w:sz w:val="20"/>
          <w:szCs w:val="20"/>
          <w:color w:val="auto"/>
        </w:rPr>
        <w:t>Pursuant to the requirements of the Securities Exchange Act of 1934, the Registrant has duly caused this report to be signed on its behalf by the undersigned thereunto duly authorized.</w:t>
      </w:r>
    </w:p>
    <w:p>
      <w:pPr>
        <w:spacing w:after="0" w:line="200" w:lineRule="exact"/>
        <w:rPr>
          <w:sz w:val="20"/>
          <w:szCs w:val="20"/>
          <w:color w:val="auto"/>
        </w:rPr>
      </w:pPr>
    </w:p>
    <w:p>
      <w:pPr>
        <w:spacing w:after="0" w:line="274" w:lineRule="exact"/>
        <w:rPr>
          <w:sz w:val="20"/>
          <w:szCs w:val="20"/>
          <w:color w:val="auto"/>
        </w:rPr>
      </w:pPr>
    </w:p>
    <w:p>
      <w:pPr>
        <w:ind w:left="4240"/>
        <w:spacing w:after="0"/>
        <w:rPr>
          <w:sz w:val="20"/>
          <w:szCs w:val="20"/>
          <w:color w:val="auto"/>
        </w:rPr>
      </w:pPr>
      <w:r>
        <w:rPr>
          <w:rFonts w:ascii="Arial" w:cs="Arial" w:eastAsia="Arial" w:hAnsi="Arial"/>
          <w:sz w:val="20"/>
          <w:szCs w:val="20"/>
          <w:color w:val="auto"/>
        </w:rPr>
        <w:t>AnaptysBio, Inc.</w:t>
      </w:r>
    </w:p>
    <w:p>
      <w:pPr>
        <w:spacing w:after="0" w:line="27" w:lineRule="exact"/>
        <w:rPr>
          <w:sz w:val="20"/>
          <w:szCs w:val="20"/>
          <w:color w:val="auto"/>
        </w:rPr>
      </w:pPr>
    </w:p>
    <w:p>
      <w:pPr>
        <w:ind w:left="20"/>
        <w:spacing w:after="0"/>
        <w:tabs>
          <w:tab w:leader="none" w:pos="4220" w:val="left"/>
          <w:tab w:leader="none" w:pos="4800" w:val="left"/>
        </w:tabs>
        <w:rPr>
          <w:sz w:val="20"/>
          <w:szCs w:val="20"/>
          <w:color w:val="auto"/>
        </w:rPr>
      </w:pPr>
      <w:r>
        <w:rPr>
          <w:rFonts w:ascii="Arial" w:cs="Arial" w:eastAsia="Arial" w:hAnsi="Arial"/>
          <w:sz w:val="20"/>
          <w:szCs w:val="20"/>
          <w:color w:val="auto"/>
        </w:rPr>
        <w:t>Date: June 15, 2023</w:t>
      </w:r>
      <w:r>
        <w:rPr>
          <w:sz w:val="20"/>
          <w:szCs w:val="20"/>
          <w:color w:val="auto"/>
        </w:rPr>
        <w:tab/>
      </w:r>
      <w:r>
        <w:rPr>
          <w:rFonts w:ascii="Arial" w:cs="Arial" w:eastAsia="Arial" w:hAnsi="Arial"/>
          <w:sz w:val="20"/>
          <w:szCs w:val="20"/>
          <w:color w:val="auto"/>
        </w:rPr>
        <w:t>By:</w:t>
      </w:r>
      <w:r>
        <w:rPr>
          <w:sz w:val="20"/>
          <w:szCs w:val="20"/>
          <w:color w:val="auto"/>
        </w:rPr>
        <w:tab/>
      </w:r>
      <w:r>
        <w:rPr>
          <w:rFonts w:ascii="Arial" w:cs="Arial" w:eastAsia="Arial" w:hAnsi="Arial"/>
          <w:sz w:val="18"/>
          <w:szCs w:val="18"/>
          <w:color w:val="auto"/>
        </w:rPr>
        <w:t>/s/ Eric Loumeau</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3048000</wp:posOffset>
            </wp:positionH>
            <wp:positionV relativeFrom="paragraph">
              <wp:posOffset>10160</wp:posOffset>
            </wp:positionV>
            <wp:extent cx="408940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4089400" cy="8255"/>
                    </a:xfrm>
                    <a:prstGeom prst="rect">
                      <a:avLst/>
                    </a:prstGeom>
                    <a:noFill/>
                  </pic:spPr>
                </pic:pic>
              </a:graphicData>
            </a:graphic>
          </wp:anchor>
        </w:drawing>
      </w:r>
    </w:p>
    <w:p>
      <w:pPr>
        <w:spacing w:after="0" w:line="20" w:lineRule="exact"/>
        <w:rPr>
          <w:sz w:val="20"/>
          <w:szCs w:val="20"/>
          <w:color w:val="auto"/>
        </w:rPr>
      </w:pPr>
    </w:p>
    <w:p>
      <w:pPr>
        <w:ind w:left="4820"/>
        <w:spacing w:after="0"/>
        <w:rPr>
          <w:sz w:val="20"/>
          <w:szCs w:val="20"/>
          <w:color w:val="auto"/>
        </w:rPr>
      </w:pPr>
      <w:r>
        <w:rPr>
          <w:rFonts w:ascii="Arial" w:cs="Arial" w:eastAsia="Arial" w:hAnsi="Arial"/>
          <w:sz w:val="20"/>
          <w:szCs w:val="20"/>
          <w:color w:val="auto"/>
        </w:rPr>
        <w:t>Name: Eric Loumeau</w:t>
      </w:r>
    </w:p>
    <w:p>
      <w:pPr>
        <w:spacing w:after="0" w:line="54" w:lineRule="exact"/>
        <w:rPr>
          <w:sz w:val="20"/>
          <w:szCs w:val="20"/>
          <w:color w:val="auto"/>
        </w:rPr>
      </w:pPr>
    </w:p>
    <w:p>
      <w:pPr>
        <w:ind w:left="4820"/>
        <w:spacing w:after="0"/>
        <w:rPr>
          <w:sz w:val="20"/>
          <w:szCs w:val="20"/>
          <w:color w:val="auto"/>
        </w:rPr>
      </w:pPr>
      <w:r>
        <w:rPr>
          <w:rFonts w:ascii="Arial" w:cs="Arial" w:eastAsia="Arial" w:hAnsi="Arial"/>
          <w:sz w:val="20"/>
          <w:szCs w:val="20"/>
          <w:color w:val="auto"/>
        </w:rPr>
        <w:t>Title: Chief Legal Officer</w:t>
      </w:r>
    </w:p>
    <w:sectPr>
      <w:pgSz w:w="11900" w:h="16838" w:orient="portrait"/>
      <w:cols w:equalWidth="0" w:num="1">
        <w:col w:w="11240"/>
      </w:cols>
      <w:pgMar w:left="320" w:top="1413"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1."/>
      <w:numFmt w:val="decimal"/>
      <w:start w:val="2"/>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2023-06-15T16:20:13Z</dcterms:created>
  <dcterms:modified xsi:type="dcterms:W3CDTF">2023-06-15T16:20:13Z</dcterms:modified>
</cp:coreProperties>
</file>