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10421 Pacific Center, Suite 200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January 23,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229" w:right="27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Irene Paik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Joseph McCann</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Tabatha McCullom</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Mary Mast</w:t>
      </w:r>
    </w:p>
    <w:p>
      <w:pPr>
        <w:spacing w:after="0" w:line="200" w:lineRule="exact"/>
        <w:rPr>
          <w:sz w:val="24"/>
          <w:szCs w:val="24"/>
          <w:color w:val="auto"/>
        </w:rPr>
      </w:pPr>
    </w:p>
    <w:p>
      <w:pPr>
        <w:sectPr>
          <w:pgSz w:w="11900" w:h="16838" w:orient="portrait"/>
          <w:cols w:equalWidth="0" w:num="2">
            <w:col w:w="900" w:space="720"/>
            <w:col w:w="9760"/>
          </w:cols>
          <w:pgMar w:left="240" w:top="229" w:right="27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AnaptysBio, Inc., Form S-1 Registration Statement (File No. 333-206849)</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initially filed September 9, 2015, as amended.</w:t>
      </w:r>
    </w:p>
    <w:p>
      <w:pPr>
        <w:spacing w:after="0" w:line="200" w:lineRule="exact"/>
        <w:rPr>
          <w:sz w:val="24"/>
          <w:szCs w:val="24"/>
          <w:color w:val="auto"/>
        </w:rPr>
      </w:pPr>
    </w:p>
    <w:p>
      <w:pPr>
        <w:sectPr>
          <w:pgSz w:w="11900" w:h="16838" w:orient="portrait"/>
          <w:cols w:equalWidth="0" w:num="2">
            <w:col w:w="900" w:space="720"/>
            <w:col w:w="9760"/>
          </w:cols>
          <w:pgMar w:left="240" w:top="229" w:right="2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Requested Date: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Requested Time: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January 25, 2017</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4:00 p.m. Eastern Time</w:t>
      </w:r>
    </w:p>
    <w:p>
      <w:pPr>
        <w:spacing w:after="0" w:line="200" w:lineRule="exact"/>
        <w:rPr>
          <w:sz w:val="24"/>
          <w:szCs w:val="24"/>
          <w:color w:val="auto"/>
        </w:rPr>
      </w:pPr>
    </w:p>
    <w:p>
      <w:pPr>
        <w:sectPr>
          <w:pgSz w:w="11900" w:h="16838" w:orient="portrait"/>
          <w:cols w:equalWidth="0" w:num="2">
            <w:col w:w="1220" w:space="400"/>
            <w:col w:w="9760"/>
          </w:cols>
          <w:pgMar w:left="240" w:top="229" w:right="27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Rule 461 under the Securities Act of 1933, as amended, AnaptysBio,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hereby requests that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take appropriate action to declare the above-captioned Registration Statement on Form S</w:t>
      </w:r>
      <w:r>
        <w:rPr>
          <w:rFonts w:ascii="Arial" w:cs="Arial" w:eastAsia="Arial" w:hAnsi="Arial"/>
          <w:sz w:val="18"/>
          <w:szCs w:val="18"/>
          <w:b w:val="1"/>
          <w:bCs w:val="1"/>
          <w:color w:val="auto"/>
        </w:rPr>
        <w:t>-</w:t>
      </w:r>
      <w:r>
        <w:rPr>
          <w:rFonts w:ascii="Arial" w:cs="Arial" w:eastAsia="Arial" w:hAnsi="Arial"/>
          <w:sz w:val="18"/>
          <w:szCs w:val="18"/>
          <w:color w:val="auto"/>
        </w:rPr>
        <w:t>1 effective at the “Requested Date” and “Requested Time” set forth above or as soon thereafter as practicable, or at such later time as the Registrant may orally request via telephone call to the Commission.</w:t>
      </w:r>
    </w:p>
    <w:p>
      <w:pPr>
        <w:spacing w:after="0" w:line="187" w:lineRule="exact"/>
        <w:rPr>
          <w:sz w:val="24"/>
          <w:szCs w:val="24"/>
          <w:color w:val="auto"/>
        </w:rPr>
      </w:pPr>
    </w:p>
    <w:p>
      <w:pPr>
        <w:ind w:right="200" w:firstLine="456"/>
        <w:spacing w:after="0" w:line="277" w:lineRule="auto"/>
        <w:rPr>
          <w:sz w:val="20"/>
          <w:szCs w:val="20"/>
          <w:color w:val="auto"/>
        </w:rPr>
      </w:pPr>
      <w:r>
        <w:rPr>
          <w:rFonts w:ascii="Arial" w:cs="Arial" w:eastAsia="Arial" w:hAnsi="Arial"/>
          <w:sz w:val="18"/>
          <w:szCs w:val="18"/>
          <w:color w:val="auto"/>
        </w:rPr>
        <w:t>The Registrant hereby authorizes Robert A. Freedman and Matthew Rossiter, both of whom are attorneys with the Registrant’s outside legal counsel, Fenwick &amp; West LLP, orally to modify or withdraw this request for acceleration.</w:t>
      </w:r>
    </w:p>
    <w:p>
      <w:pPr>
        <w:spacing w:after="0" w:line="170" w:lineRule="exact"/>
        <w:rPr>
          <w:sz w:val="24"/>
          <w:szCs w:val="24"/>
          <w:color w:val="auto"/>
        </w:rPr>
      </w:pPr>
    </w:p>
    <w:p>
      <w:pPr>
        <w:ind w:right="120" w:firstLine="456"/>
        <w:spacing w:after="0" w:line="277" w:lineRule="auto"/>
        <w:rPr>
          <w:sz w:val="20"/>
          <w:szCs w:val="20"/>
          <w:color w:val="auto"/>
        </w:rPr>
      </w:pPr>
      <w:r>
        <w:rPr>
          <w:rFonts w:ascii="Arial" w:cs="Arial" w:eastAsia="Arial" w:hAnsi="Arial"/>
          <w:sz w:val="18"/>
          <w:szCs w:val="18"/>
          <w:color w:val="auto"/>
        </w:rPr>
        <w:t>The Registrant requests that it be notified of such effectiveness by a telephone call to Mr. Freedman at (650) 335-7292 or, in his absence, Mr. Rossiter at (415) 875-2372.</w:t>
      </w:r>
    </w:p>
    <w:p>
      <w:pPr>
        <w:spacing w:after="0" w:line="6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0"/>
          </w:cols>
          <w:pgMar w:left="240" w:top="229" w:right="279" w:bottom="1440" w:gutter="0" w:footer="0" w:header="0"/>
          <w:type w:val="continuous"/>
        </w:sectPr>
      </w:pPr>
    </w:p>
    <w:bookmarkStart w:id="1" w:name="page2"/>
    <w:bookmarkEnd w:id="1"/>
    <w:p>
      <w:pPr>
        <w:ind w:left="68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3"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ANAPTYSBIO, INC.</w:t>
      </w:r>
    </w:p>
    <w:p>
      <w:pPr>
        <w:spacing w:after="0" w:line="211"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  /s/ Hamza Suria</w:t>
      </w:r>
    </w:p>
    <w:p>
      <w:pPr>
        <w:spacing w:after="0" w:line="2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-130810</wp:posOffset>
            </wp:positionV>
            <wp:extent cx="2718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both"/>
        <w:ind w:left="6852"/>
        <w:spacing w:after="0"/>
        <w:tabs>
          <w:tab w:leader="none" w:pos="7412" w:val="left"/>
        </w:tabs>
        <w:rPr>
          <w:sz w:val="20"/>
          <w:szCs w:val="20"/>
          <w:color w:val="auto"/>
        </w:rPr>
      </w:pPr>
      <w:r>
        <w:rPr>
          <w:rFonts w:ascii="Arial" w:cs="Arial" w:eastAsia="Arial" w:hAnsi="Arial"/>
          <w:sz w:val="18"/>
          <w:szCs w:val="18"/>
          <w:color w:val="auto"/>
        </w:rPr>
        <w:t>Title:</w:t>
        <w:tab/>
        <w:t>Chief Executive Officer</w:t>
      </w:r>
    </w:p>
    <w:p>
      <w:pPr>
        <w:spacing w:after="0" w:line="359" w:lineRule="exact"/>
        <w:rPr>
          <w:sz w:val="20"/>
          <w:szCs w:val="20"/>
          <w:color w:val="auto"/>
        </w:rPr>
      </w:pPr>
    </w:p>
    <w:p>
      <w:pPr>
        <w:ind w:left="452" w:right="6219" w:hanging="452"/>
        <w:spacing w:after="0" w:line="264"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Robert A. Freedman, Esq., Fenwick &amp; West LLP Matthew Rossiter, Esq., Fenwick &amp; West LLP Charles S. Kim, Esq., Cooley LLP</w:t>
      </w:r>
    </w:p>
    <w:sectPr>
      <w:pgSz w:w="11900" w:h="16838" w:orient="portrait"/>
      <w:cols w:equalWidth="0" w:num="1">
        <w:col w:w="10211"/>
      </w:cols>
      <w:pgMar w:left="248"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2019-12-07T03:44:38Z</dcterms:created>
  <dcterms:modified xsi:type="dcterms:W3CDTF">2019-12-07T03:44:38Z</dcterms:modified>
</cp:coreProperties>
</file>