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Date of Report: August 5, 2024</w:t>
      </w:r>
    </w:p>
    <w:p>
      <w:pPr>
        <w:spacing w:after="0" w:line="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2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On August 5, 2024, AnaptysBio, Inc. (“AnaptysBio”) issued a press release announcing its financial results for the three and six months ended June 30, 2024. A copy of the press release is attached as Exhibit 99.1 to this Current Report on Form 8-K.</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8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40"/>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and six months ended</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June 30, 2024, dated August 5, 2024.</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6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August 5,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Anaptys Announces Second Quarter 2024 Financial Results and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Provides Business Update</w:t>
      </w:r>
    </w:p>
    <w:p>
      <w:pPr>
        <w:spacing w:after="0" w:line="151" w:lineRule="exact"/>
        <w:rPr>
          <w:sz w:val="20"/>
          <w:szCs w:val="20"/>
          <w:color w:val="auto"/>
        </w:rPr>
      </w:pPr>
    </w:p>
    <w:p>
      <w:pPr>
        <w:ind w:left="660" w:right="26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expected in December 2024 after having completed enrollment for Phase 2b trial to treat atopic dermatitis (AD) with ANB032, our BTLA agonist</w:t>
      </w:r>
    </w:p>
    <w:p>
      <w:pPr>
        <w:spacing w:after="0" w:line="64" w:lineRule="exact"/>
        <w:rPr>
          <w:rFonts w:ascii="Times New Roman" w:cs="Times New Roman" w:eastAsia="Times New Roman" w:hAnsi="Times New Roman"/>
          <w:sz w:val="20"/>
          <w:szCs w:val="20"/>
          <w:color w:val="auto"/>
        </w:rPr>
      </w:pPr>
    </w:p>
    <w:p>
      <w:pPr>
        <w:ind w:left="660" w:right="28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accelerated and now anticipated in Q1 2025 for Phase 2b trial to treat rheumatoid arthritis (RA) with rosnilimab, our PD-1 agonist</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now anticipated in Q1 2026 for Phase 2 trial to treat ulcerative colitis (UC) with rosnilimab</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 accepted by FDA for ANB033, our anti-CD122 antagonist; Phase 1 trial initiation anticipated in Q4 2024</w:t>
      </w:r>
    </w:p>
    <w:p>
      <w:pPr>
        <w:spacing w:after="0" w:line="225"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SAN DIEGO, August 5, 2024 </w:t>
      </w:r>
      <w:r>
        <w:rPr>
          <w:rFonts w:ascii="Times New Roman" w:cs="Times New Roman" w:eastAsia="Times New Roman" w:hAnsi="Times New Roman"/>
          <w:sz w:val="20"/>
          <w:szCs w:val="20"/>
          <w:color w:val="auto"/>
        </w:rPr>
        <w:t>— AnaptysBio, Inc. (Nasdaq: ANAB), a clinical-stage biotechnology company focused on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innovative immunology therapeutics, today reported financial results for the second quarter ended June 30, 2024 and provided a business update.</w:t>
      </w:r>
    </w:p>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“We’ve had an exceptional quarter as we approach multiple important value drivers for Anaptys including our first patient data for ANB032, our BTLA agonist. First, enrollment has completed in the Phase 2b trial of ANB032 in AD with strong demand leading to enrollment totaling approximately 200 patients. Importantly, we plan to share top-line Week 14 data in December of 2024,” said Daniel Faga, president and chief executive officer of Anaptys. “Second, strong demand in enrollment for the Phase 2b trial of rosnilimab in RA has accelerated anticipated top-line data from mid-2025 to Q1 2025. And finally, our IND for ANB033 was accepted by FDA in July and we look forward to initiating a Phase 1 trial in healthy volunteers soon. Looking to the end of the year, we still plan to have four immune cell modulators (ICMs) in clinical development.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Updates on Wholly Owned ICM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ANB032 (BTLA agonist antibody)</w:t>
      </w:r>
    </w:p>
    <w:p>
      <w:pPr>
        <w:spacing w:after="0" w:line="16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enrollment for global Phase 2b trial in moderate-to-severe AD</w:t>
      </w:r>
    </w:p>
    <w:p>
      <w:pPr>
        <w:spacing w:after="0" w:line="67" w:lineRule="exact"/>
        <w:rPr>
          <w:rFonts w:ascii="Times New Roman" w:cs="Times New Roman" w:eastAsia="Times New Roman" w:hAnsi="Times New Roman"/>
          <w:sz w:val="20"/>
          <w:szCs w:val="20"/>
          <w:color w:val="auto"/>
        </w:rPr>
      </w:pPr>
    </w:p>
    <w:p>
      <w:pPr>
        <w:ind w:left="1300" w:hanging="320"/>
        <w:spacing w:after="0" w:line="261" w:lineRule="auto"/>
        <w:tabs>
          <w:tab w:leader="none" w:pos="1289"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Enrolled approximately 200 patients in a placebo-controlled trial assessing three dose levels of subcutaneously administered ANB032 (randomized 1:1:1:1) for a 14-week treatment duration and then followed for a six-month off-drug follow-up period on well-established endpoints, including EASI-75 and IGA 0/1</w:t>
      </w:r>
    </w:p>
    <w:p>
      <w:pPr>
        <w:spacing w:after="0" w:line="19"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included approximately 15% of patients with Dupixent/anti-IL-13 treatment experience</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Week 14 data expected in December 2024</w:t>
      </w:r>
    </w:p>
    <w:p>
      <w:pPr>
        <w:spacing w:after="0" w:line="121" w:lineRule="exact"/>
        <w:rPr>
          <w:rFonts w:ascii="Times New Roman" w:cs="Times New Roman" w:eastAsia="Times New Roman" w:hAnsi="Times New Roman"/>
          <w:sz w:val="20"/>
          <w:szCs w:val="20"/>
          <w:color w:val="auto"/>
        </w:rPr>
      </w:pPr>
    </w:p>
    <w:p>
      <w:pPr>
        <w:ind w:left="660" w:right="18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previously reported ANB032 preclinical graft vs. host disease (GvHD) data at the 2024 American Association of Immunology (AAI) Annual Meeting and Society of Investigative Dermatology (SID) Annual Meeting in May 2024 and ANB032 preclinical data supporting the modulation of dendritic cell (DC) maturation and function at the Federation of Clinical Immunology Societies (FOCIS) Annual Meeting in June 2024</w:t>
      </w:r>
    </w:p>
    <w:p>
      <w:pPr>
        <w:spacing w:after="0" w:line="6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presentations are available at https://www.anaptysbio.com/technology/#anb032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 (PD-1 agonist antibody)</w:t>
      </w:r>
    </w:p>
    <w:p>
      <w:pPr>
        <w:spacing w:after="0" w:line="16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Enrollment ongoing for global Phase 2b trial in moderate-to-severe RA</w:t>
      </w:r>
    </w:p>
    <w:p>
      <w:pPr>
        <w:spacing w:after="0" w:line="175" w:lineRule="exact"/>
        <w:rPr>
          <w:rFonts w:ascii="Times New Roman" w:cs="Times New Roman" w:eastAsia="Times New Roman" w:hAnsi="Times New Roman"/>
          <w:sz w:val="20"/>
          <w:szCs w:val="20"/>
          <w:b w:val="1"/>
          <w:bCs w:val="1"/>
          <w:color w:val="auto"/>
        </w:rPr>
      </w:pPr>
    </w:p>
    <w:p>
      <w:pPr>
        <w:ind w:left="1300" w:right="260" w:hanging="320"/>
        <w:spacing w:after="0" w:line="310" w:lineRule="auto"/>
        <w:tabs>
          <w:tab w:leader="none" w:pos="1289"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420-patient placebo-controlled trial assessing three dose levels of subcutaneously administered rosnilimab (randomized 1:1:1:1) for a 12-week treatment duration on well-established endpoints, including DAS28-CRP, CDAI and ACR20/50/70</w:t>
      </w:r>
    </w:p>
    <w:p>
      <w:pPr>
        <w:sectPr>
          <w:pgSz w:w="11900" w:h="16838" w:orient="portrait"/>
          <w:cols w:equalWidth="0" w:num="1">
            <w:col w:w="11240"/>
          </w:cols>
          <w:pgMar w:left="320" w:top="907" w:right="339" w:bottom="1440" w:gutter="0" w:footer="0" w:header="0"/>
        </w:sectPr>
      </w:pPr>
    </w:p>
    <w:bookmarkStart w:id="4" w:name="page5"/>
    <w:bookmarkEnd w:id="4"/>
    <w:p>
      <w:pPr>
        <w:jc w:val="both"/>
        <w:ind w:left="1960" w:right="140" w:hanging="332"/>
        <w:spacing w:after="0" w:line="261" w:lineRule="auto"/>
        <w:tabs>
          <w:tab w:leader="none" w:pos="1949"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Week 14, rosnilimab-treated patients who achieve low disease activity, defined as CDAI&lt;=10, are eligible to be dosed for an additional 16-week all-active treatment period and then followed for a three-month off-drug follow-up period</w:t>
      </w:r>
    </w:p>
    <w:p>
      <w:pPr>
        <w:spacing w:after="0" w:line="1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Week 12 data anticipated in Q1 2025</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Enrollment ongoing for global Phase 2 trial in moderate-to-severe UC</w:t>
      </w:r>
    </w:p>
    <w:p>
      <w:pPr>
        <w:spacing w:after="0" w:line="175" w:lineRule="exact"/>
        <w:rPr>
          <w:rFonts w:ascii="Times New Roman" w:cs="Times New Roman" w:eastAsia="Times New Roman" w:hAnsi="Times New Roman"/>
          <w:sz w:val="20"/>
          <w:szCs w:val="20"/>
          <w:b w:val="1"/>
          <w:bCs w:val="1"/>
          <w:color w:val="auto"/>
        </w:rPr>
      </w:pPr>
    </w:p>
    <w:p>
      <w:pPr>
        <w:jc w:val="both"/>
        <w:ind w:left="1300" w:right="40" w:hanging="320"/>
        <w:spacing w:after="0" w:line="261"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132-patient placebo-controlled trial assessing two dose levels of subcutaneously administered rosnilimab (randomized 1:1:1) for a 12-week treatment duration on well-established endpoints, including clinical response on modified Mayo score (mMS), clinical remission on mMS and endoscopic remission</w:t>
      </w:r>
    </w:p>
    <w:p>
      <w:pPr>
        <w:spacing w:after="0" w:line="113" w:lineRule="exact"/>
        <w:rPr>
          <w:rFonts w:ascii="Times New Roman" w:cs="Times New Roman" w:eastAsia="Times New Roman" w:hAnsi="Times New Roman"/>
          <w:sz w:val="20"/>
          <w:szCs w:val="20"/>
          <w:color w:val="auto"/>
        </w:rPr>
      </w:pPr>
    </w:p>
    <w:p>
      <w:pPr>
        <w:ind w:left="1960" w:hanging="332"/>
        <w:spacing w:after="0" w:line="258" w:lineRule="auto"/>
        <w:tabs>
          <w:tab w:leader="none" w:pos="1949"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Rosnilimab and placebo-treated patients who achieved clinical response on mMS are eligible to continue on their assigned treatment for an additional 12 weeks, while patients on placebo who are non-responders will be crossed over to the high-dose rosnilimab treatment arm, in an all-active treatment period and then followed for a three-month off-drug follow-up period</w:t>
      </w:r>
    </w:p>
    <w:p>
      <w:pPr>
        <w:spacing w:after="0" w:line="13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Week 12 data anticipated in Q1 2026</w:t>
      </w:r>
    </w:p>
    <w:p>
      <w:pPr>
        <w:spacing w:after="0" w:line="161"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previously reported rosnilimab Phase 1 data and membrane proximal binding epitope to optimize PD-1 agonist signaling data at the 2024 Digestive Disease Week (DDW) Annual Meeting in May 2024 and at the Federation of Clinical Immunology Societies (FOCIS) Annual Meeting in June 2024</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presentations are available https://www.anaptysbio.com/technology/#anb030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 (anti-CD122 antagonist antibody)</w:t>
      </w:r>
    </w:p>
    <w:p>
      <w:pPr>
        <w:spacing w:after="0" w:line="16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 application accepted by the FDA in July 2024</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trial initiation in healthy volunteers anticipated in Q4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 (BDCA2 modulator antibody)</w:t>
      </w:r>
    </w:p>
    <w:p>
      <w:pPr>
        <w:spacing w:after="0" w:line="16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submit IND application in Q4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Legacy Clinical-Stage Cytokine Antagonist Programs Available for Out-Licensing</w:t>
      </w:r>
    </w:p>
    <w:p>
      <w:pPr>
        <w:spacing w:after="0" w:line="16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data from the Phase 3 GEMINI-1 and GEMINI-2 trials to be presented at a medical meeting in H2 2024</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Intend to out-license imsidolimab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GSK Immuno-Oncology Financial Collaboration</w:t>
      </w:r>
    </w:p>
    <w:p>
      <w:pPr>
        <w:spacing w:after="0" w:line="179" w:lineRule="exact"/>
        <w:rPr>
          <w:sz w:val="20"/>
          <w:szCs w:val="20"/>
          <w:color w:val="auto"/>
        </w:rPr>
      </w:pPr>
    </w:p>
    <w:p>
      <w:pPr>
        <w:ind w:left="660" w:right="260" w:hanging="328"/>
        <w:spacing w:after="0" w:line="261"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H1 2025 from COSTAR Lung Phase 3 trial comparing cobolimab, a TIM-3 antagonist, plus dostarlimab, a PD-1 antagonist, plus docetaxel to dostarlimab plus docetaxel to docetaxel alone in patients with advanced NSCLC who have progressed on prior anti-PD-(L)1 therapy and chemotherapy</w:t>
      </w:r>
    </w:p>
    <w:p>
      <w:pPr>
        <w:spacing w:after="0" w:line="127" w:lineRule="exact"/>
        <w:rPr>
          <w:rFonts w:ascii="Times New Roman" w:cs="Times New Roman" w:eastAsia="Times New Roman" w:hAnsi="Times New Roman"/>
          <w:sz w:val="20"/>
          <w:szCs w:val="20"/>
          <w:color w:val="auto"/>
        </w:rPr>
      </w:pPr>
    </w:p>
    <w:p>
      <w:pPr>
        <w:ind w:left="660" w:right="62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and iTEOS announced in June 2024 the initiation of the GALAXIES Lung-301 Phase 3 study, assessing belrestotug and dostarlimab in previously untreated, unresectable locally advanced/metastatic PD-L1 selected NSCLC</w:t>
      </w:r>
    </w:p>
    <w:p>
      <w:pPr>
        <w:spacing w:after="0" w:line="118"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H2 2024 from the FIRST Phase 3 trial for platinum-based therapy with dostarlimab and niraparib versus platinum-based therapy as first-line treatment of Stage III or IV nonmucinous epithelial ovarian cancer</w:t>
      </w:r>
    </w:p>
    <w:p>
      <w:pPr>
        <w:sectPr>
          <w:pgSz w:w="11900" w:h="16838" w:orient="portrait"/>
          <w:cols w:equalWidth="0" w:num="1">
            <w:col w:w="11220"/>
          </w:cols>
          <w:pgMar w:left="320" w:top="104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Cash Runway</w:t>
      </w:r>
    </w:p>
    <w:p>
      <w:pPr>
        <w:spacing w:after="0" w:line="166"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and investments of $393.5 million as of June 30, 2024 and reiterating cash runway through year-end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Financial Results</w:t>
      </w:r>
    </w:p>
    <w:p>
      <w:pPr>
        <w:spacing w:after="0" w:line="166" w:lineRule="exact"/>
        <w:rPr>
          <w:sz w:val="20"/>
          <w:szCs w:val="20"/>
          <w:color w:val="auto"/>
        </w:rPr>
      </w:pPr>
    </w:p>
    <w:p>
      <w:pPr>
        <w:ind w:left="660" w:right="180" w:hanging="328"/>
        <w:spacing w:after="0" w:line="268" w:lineRule="auto"/>
        <w:tabs>
          <w:tab w:leader="none" w:pos="648"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cash equivalents and investments totaled $393.5 million as of June 30, 2024, compared to $417.9 million as of December 31, 2023, for a decrease of $24.4 million due primarily to cash used for operating activities offset by $50.0 million received from the Sagard royalty monetization completed in May.</w:t>
      </w:r>
    </w:p>
    <w:p>
      <w:pPr>
        <w:spacing w:after="0" w:line="107" w:lineRule="exact"/>
        <w:rPr>
          <w:rFonts w:ascii="Times New Roman" w:cs="Times New Roman" w:eastAsia="Times New Roman" w:hAnsi="Times New Roman"/>
          <w:sz w:val="20"/>
          <w:szCs w:val="20"/>
          <w:b w:val="1"/>
          <w:bCs w:val="1"/>
          <w:color w:val="auto"/>
        </w:rPr>
      </w:pPr>
    </w:p>
    <w:p>
      <w:pPr>
        <w:ind w:left="660" w:right="480" w:hanging="328"/>
        <w:spacing w:after="0" w:line="275"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Collaboration revenue was $11.0 million and $18.2 million for the three and six months ended June 30, 2024, compared to $3.5 million and $4.8 million for the three and six months ended June 30, 2023. The change is due primarily to increased royalties recognized for sales of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w:t>
      </w:r>
    </w:p>
    <w:p>
      <w:pPr>
        <w:spacing w:after="0" w:line="113" w:lineRule="exact"/>
        <w:rPr>
          <w:rFonts w:ascii="Times New Roman" w:cs="Times New Roman" w:eastAsia="Times New Roman" w:hAnsi="Times New Roman"/>
          <w:sz w:val="20"/>
          <w:szCs w:val="20"/>
          <w:color w:val="auto"/>
        </w:rPr>
      </w:pPr>
    </w:p>
    <w:p>
      <w:pPr>
        <w:ind w:left="660" w:right="140" w:hanging="328"/>
        <w:spacing w:after="0" w:line="26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$42.0 million and $79.0 million for the three and six months ended June 30, 2024, compared to $32.9 million and $67.9 million for the three and six months ended June 30, 2023. The increase was due primarily to development costs for rosnilimab, ANB032, ANB033 and ANB101 offset by a decrease in development costs for imsidolimab. The R&amp;D non-cash, stock-based compensation expense was $3.5 million and $7.0 million for the three and six months ended June 30, 2024, compared to $2.7 million and $5.5 million in the same period in 2023.</w:t>
      </w:r>
    </w:p>
    <w:p>
      <w:pPr>
        <w:spacing w:after="0" w:line="131" w:lineRule="exact"/>
        <w:rPr>
          <w:rFonts w:ascii="Times New Roman" w:cs="Times New Roman" w:eastAsia="Times New Roman" w:hAnsi="Times New Roman"/>
          <w:sz w:val="20"/>
          <w:szCs w:val="20"/>
          <w:color w:val="auto"/>
        </w:rPr>
      </w:pPr>
    </w:p>
    <w:p>
      <w:pPr>
        <w:ind w:left="660" w:right="380" w:hanging="328"/>
        <w:spacing w:after="0" w:line="25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were $9.3 million and $21.6 million for the three and six months ended June 30, 2024, compared to $10.7 million and $21.5 million for the three and six months ended June 30, 2023. The G&amp;A non-cash, stock-based compensation expense was $4.0 million and $10.7 million for the three and six months ended June 30, 2024, compared to $5.7 million and $11.8 million in the same period in 2023.</w:t>
      </w:r>
    </w:p>
    <w:p>
      <w:pPr>
        <w:spacing w:after="0" w:line="126" w:lineRule="exact"/>
        <w:rPr>
          <w:rFonts w:ascii="Times New Roman" w:cs="Times New Roman" w:eastAsia="Times New Roman" w:hAnsi="Times New Roman"/>
          <w:sz w:val="20"/>
          <w:szCs w:val="20"/>
          <w:color w:val="auto"/>
        </w:rPr>
      </w:pPr>
    </w:p>
    <w:p>
      <w:pPr>
        <w:jc w:val="both"/>
        <w:ind w:left="660" w:right="180" w:hanging="328"/>
        <w:spacing w:after="0" w:line="27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loss was $46.7 million and $90.6 million for the three and six months ended June 30, 2024, or a net loss per share of $1.71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$3.35, compared to a net loss of $39.8 million and $84.1 million for the three and six months ended June 30, 2023, or a net loss per share of $1.50 and $3.08.</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w:t>
      </w:r>
    </w:p>
    <w:p>
      <w:pPr>
        <w:spacing w:after="0" w:line="1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Anaptys is a clinical-stage biotechnology company focused on delivering innovative immunology therapeutics. It is developing immune cell modulators for autoimmune and inflammatory diseases, including two checkpoint agonists: ANB032, its BTLA agonist, in a Phase 2b trial for the treatment of atopic dermatitis and rosnilimab, its PD-1 agonist, in a Phase 2b trial for the treatment of rheumatoid arthritis and in a Phase 2 trial for the treatment of ulcerative colitis. It also has other immune cell modulator candidates in its portfolio, including ANB033, an anti-CD122 antagonist antibody, entering a Phase 1 trial and ANB101, a BDCA2 modulator antibody, in preclinical development. In addition, Anaptys has developed two cytokine antagonists available for out-licensing: imsidolimab, an anti-IL-36R antagonist, that has completed Phase 3 trials for the treatment of generalized pustular psoriasis, and etokimab, an anti-IL-33 antagonist that is Phase 2/3 ready. Anaptys has also discovered multiple therapeutic antibodies licensed to GSK in a financial collaboration for immuno-oncology, including an anti-PD-1 antagonist antibody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(dostarlimab-gxly)) and an anti-TIM-3 antagonist antibody (cobolimab, GSK4069889). To learn more, visit www.AnaptysBio.com or follow us on LinkedIn and 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including, but not limited to: the timing of the release of data from the Company’s clinical trials, including ANB032’s Phase 2b clinical trial in atopic dermatitis and rosnilimab’s Phase 2b clinical trial in rheumatoid arthritis and Phase 2 clinical trial in ulcerative colitis; the timing of IND filing for ANB101; the timing of initiation of ANB033’s Phase 1 clinical trial; the timing of a presentation of Phase 3 clinical data at a medical conference; the potential to receive any additional royalties from the GSK collaboration; the Company’s ability to find a licensing partner for imsidolimab or etokimab and the timing of any such</w:t>
      </w:r>
    </w:p>
    <w:p>
      <w:pPr>
        <w:sectPr>
          <w:pgSz w:w="11900" w:h="16838" w:orient="portrait"/>
          <w:cols w:equalWidth="0" w:num="1">
            <w:col w:w="11220"/>
          </w:cols>
          <w:pgMar w:left="320" w:top="1044" w:right="35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20"/>
          <w:szCs w:val="20"/>
          <w:color w:val="auto"/>
        </w:rPr>
        <w:t>transaction; and the Company’s projected cash runway. Statements including words such as “plan,” “intend,”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Montemarano</w:t>
      </w:r>
    </w:p>
    <w:p>
      <w:pPr>
        <w:spacing w:after="0" w:line="231" w:lineRule="auto"/>
        <w:rPr>
          <w:sz w:val="20"/>
          <w:szCs w:val="20"/>
          <w:color w:val="auto"/>
        </w:rPr>
      </w:pPr>
      <w:r>
        <w:rPr>
          <w:rFonts w:ascii="Times New Roman" w:cs="Times New Roman" w:eastAsia="Times New Roman" w:hAnsi="Times New Roman"/>
          <w:sz w:val="20"/>
          <w:szCs w:val="20"/>
          <w:color w:val="auto"/>
        </w:rPr>
        <w:t>Senior Director, Investor Relations and Strategic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858.732.0178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investors@anaptysbio.com</w:t>
      </w:r>
    </w:p>
    <w:p>
      <w:pPr>
        <w:sectPr>
          <w:pgSz w:w="11900" w:h="16838" w:orient="portrait"/>
          <w:cols w:equalWidth="0" w:num="1">
            <w:col w:w="11100"/>
          </w:cols>
          <w:pgMar w:left="320" w:top="994"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5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310,807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June 30, 2024 and</w:t>
            </w:r>
          </w:p>
        </w:tc>
        <w:tc>
          <w:tcPr>
            <w:tcW w:w="2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27,434 shares and 26,597 shares issued and outstanding at</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702,969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740" w:type="dxa"/>
            <w:vAlign w:val="bottom"/>
            <w:gridSpan w:val="4"/>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274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67,880</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9,295</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89,378</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(84,544)</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7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07"/>
        </w:trPr>
        <w:tc>
          <w:tcPr>
            <w:tcW w:w="4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(39,845)</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(90,596)</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(84,100)</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Unrealized gain (loss) on available for sale securities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7"/>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(90,214)</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27,356</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2024-08-05T15:43:59Z</dcterms:created>
  <dcterms:modified xsi:type="dcterms:W3CDTF">2024-08-05T15:43:59Z</dcterms:modified>
</cp:coreProperties>
</file>