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3" w:lineRule="exact"/>
        <w:rPr>
          <w:sz w:val="24"/>
          <w:szCs w:val="24"/>
          <w:color w:val="auto"/>
        </w:rPr>
      </w:pPr>
    </w:p>
    <w:p>
      <w:pPr>
        <w:jc w:val="center"/>
        <w:ind w:left="260" w:right="2700"/>
        <w:spacing w:after="0" w:line="243" w:lineRule="auto"/>
        <w:rPr>
          <w:sz w:val="20"/>
          <w:szCs w:val="20"/>
          <w:color w:val="auto"/>
        </w:rPr>
      </w:pPr>
      <w:r>
        <w:rPr>
          <w:rFonts w:ascii="Times New Roman" w:cs="Times New Roman" w:eastAsia="Times New Roman" w:hAnsi="Times New Roman"/>
          <w:sz w:val="14"/>
          <w:szCs w:val="14"/>
          <w:b w:val="1"/>
          <w:bCs w:val="1"/>
          <w:color w:val="auto"/>
        </w:rPr>
        <w:t>As confidentially submitted with the Securities and Exchange Commission on September 11, 2017 Pursuant to the Division of Corporation Finance June 29, 2017 Announcement “Draft Registration Statement Processing Procedures Expanded”</w:t>
      </w:r>
    </w:p>
    <w:p>
      <w:pPr>
        <w:spacing w:after="0" w:line="11" w:lineRule="exact"/>
        <w:rPr>
          <w:sz w:val="24"/>
          <w:szCs w:val="24"/>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81915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83185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ANAPTYSBIO,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85090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8"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2834</w:t>
            </w:r>
          </w:p>
        </w:tc>
        <w:tc>
          <w:tcPr>
            <w:tcW w:w="2500" w:type="dxa"/>
            <w:vAlign w:val="bottom"/>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20-3828755</w:t>
            </w:r>
          </w:p>
        </w:tc>
      </w:tr>
      <w:tr>
        <w:trPr>
          <w:trHeight w:val="149"/>
        </w:trPr>
        <w:tc>
          <w:tcPr>
            <w:tcW w:w="2900" w:type="dxa"/>
            <w:vAlign w:val="bottom"/>
          </w:tcPr>
          <w:p>
            <w:pPr>
              <w:jc w:val="center"/>
              <w:ind w:right="9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0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0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10421 Pacific Center Court, Suite 200</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San Diego, CA 92121</w:t>
      </w:r>
    </w:p>
    <w:p>
      <w:pPr>
        <w:jc w:val="center"/>
        <w:ind w:right="-19"/>
        <w:spacing w:after="0" w:line="222" w:lineRule="auto"/>
        <w:rPr>
          <w:sz w:val="20"/>
          <w:szCs w:val="20"/>
          <w:color w:val="auto"/>
        </w:rPr>
      </w:pPr>
      <w:r>
        <w:rPr>
          <w:rFonts w:ascii="Times New Roman" w:cs="Times New Roman" w:eastAsia="Times New Roman" w:hAnsi="Times New Roman"/>
          <w:sz w:val="14"/>
          <w:szCs w:val="14"/>
          <w:b w:val="1"/>
          <w:bCs w:val="1"/>
          <w:color w:val="auto"/>
        </w:rPr>
        <w:t>(858) 362-6295</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Hamza Suria</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9"/>
        <w:spacing w:after="0" w:line="222" w:lineRule="auto"/>
        <w:rPr>
          <w:sz w:val="20"/>
          <w:szCs w:val="20"/>
          <w:color w:val="auto"/>
        </w:rPr>
      </w:pPr>
      <w:r>
        <w:rPr>
          <w:rFonts w:ascii="Times New Roman" w:cs="Times New Roman" w:eastAsia="Times New Roman" w:hAnsi="Times New Roman"/>
          <w:sz w:val="14"/>
          <w:szCs w:val="14"/>
          <w:b w:val="1"/>
          <w:bCs w:val="1"/>
          <w:color w:val="auto"/>
        </w:rPr>
        <w:t>AnaptysBio, Inc.</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10421 Pacific Center Court, Suite 200</w:t>
      </w:r>
    </w:p>
    <w:p>
      <w:pPr>
        <w:jc w:val="center"/>
        <w:ind w:right="-19"/>
        <w:spacing w:after="0" w:line="222" w:lineRule="auto"/>
        <w:rPr>
          <w:sz w:val="20"/>
          <w:szCs w:val="20"/>
          <w:color w:val="auto"/>
        </w:rPr>
      </w:pPr>
      <w:r>
        <w:rPr>
          <w:rFonts w:ascii="Times New Roman" w:cs="Times New Roman" w:eastAsia="Times New Roman" w:hAnsi="Times New Roman"/>
          <w:sz w:val="14"/>
          <w:szCs w:val="14"/>
          <w:b w:val="1"/>
          <w:bCs w:val="1"/>
          <w:color w:val="auto"/>
        </w:rPr>
        <w:t>San Diego, CA 92121</w:t>
      </w:r>
    </w:p>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(858) 362-6295</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7" w:lineRule="exact"/>
        <w:rPr>
          <w:sz w:val="24"/>
          <w:szCs w:val="24"/>
          <w:color w:val="auto"/>
        </w:rPr>
      </w:pPr>
    </w:p>
    <w:tbl>
      <w:tblPr>
        <w:tblLayout w:type="fixed"/>
        <w:tblInd w:w="208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48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480" w:type="dxa"/>
            <w:vAlign w:val="bottom"/>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Effie Toshav, Esq.</w:t>
            </w:r>
          </w:p>
        </w:tc>
        <w:tc>
          <w:tcPr>
            <w:tcW w:w="4840" w:type="dxa"/>
            <w:vAlign w:val="bottom"/>
          </w:tcPr>
          <w:p>
            <w:pPr>
              <w:jc w:val="center"/>
              <w:ind w:left="3288"/>
              <w:spacing w:after="0"/>
              <w:rPr>
                <w:sz w:val="20"/>
                <w:szCs w:val="20"/>
                <w:color w:val="auto"/>
              </w:rPr>
            </w:pPr>
            <w:r>
              <w:rPr>
                <w:rFonts w:ascii="Times New Roman" w:cs="Times New Roman" w:eastAsia="Times New Roman" w:hAnsi="Times New Roman"/>
                <w:sz w:val="14"/>
                <w:szCs w:val="14"/>
                <w:b w:val="1"/>
                <w:bCs w:val="1"/>
                <w:color w:val="auto"/>
              </w:rPr>
              <w:t>Charles S. Kim, Esq.</w:t>
            </w:r>
          </w:p>
        </w:tc>
      </w:tr>
      <w:tr>
        <w:trPr>
          <w:trHeight w:val="149"/>
        </w:trPr>
        <w:tc>
          <w:tcPr>
            <w:tcW w:w="2480" w:type="dxa"/>
            <w:vAlign w:val="bottom"/>
          </w:tcPr>
          <w:p>
            <w:pPr>
              <w:jc w:val="center"/>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Matthew S. Rossiter, Esq.</w:t>
            </w:r>
          </w:p>
        </w:tc>
        <w:tc>
          <w:tcPr>
            <w:tcW w:w="4840" w:type="dxa"/>
            <w:vAlign w:val="bottom"/>
          </w:tcPr>
          <w:p>
            <w:pPr>
              <w:jc w:val="center"/>
              <w:ind w:left="3268"/>
              <w:spacing w:after="0" w:line="149" w:lineRule="exact"/>
              <w:rPr>
                <w:sz w:val="20"/>
                <w:szCs w:val="20"/>
                <w:color w:val="auto"/>
              </w:rPr>
            </w:pPr>
            <w:r>
              <w:rPr>
                <w:rFonts w:ascii="Times New Roman" w:cs="Times New Roman" w:eastAsia="Times New Roman" w:hAnsi="Times New Roman"/>
                <w:sz w:val="14"/>
                <w:szCs w:val="14"/>
                <w:b w:val="1"/>
                <w:bCs w:val="1"/>
                <w:color w:val="auto"/>
              </w:rPr>
              <w:t>Sean M. Clayton, Esq.</w:t>
            </w:r>
          </w:p>
        </w:tc>
      </w:tr>
      <w:tr>
        <w:trPr>
          <w:trHeight w:val="149"/>
        </w:trPr>
        <w:tc>
          <w:tcPr>
            <w:tcW w:w="2480" w:type="dxa"/>
            <w:vAlign w:val="bottom"/>
          </w:tcPr>
          <w:p>
            <w:pPr>
              <w:jc w:val="center"/>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Robert A. Freedman, Esq.</w:t>
            </w:r>
          </w:p>
        </w:tc>
        <w:tc>
          <w:tcPr>
            <w:tcW w:w="4840" w:type="dxa"/>
            <w:vAlign w:val="bottom"/>
          </w:tcPr>
          <w:p>
            <w:pPr>
              <w:jc w:val="center"/>
              <w:ind w:left="3268"/>
              <w:spacing w:after="0" w:line="149" w:lineRule="exact"/>
              <w:rPr>
                <w:sz w:val="20"/>
                <w:szCs w:val="20"/>
                <w:color w:val="auto"/>
              </w:rPr>
            </w:pPr>
            <w:r>
              <w:rPr>
                <w:rFonts w:ascii="Times New Roman" w:cs="Times New Roman" w:eastAsia="Times New Roman" w:hAnsi="Times New Roman"/>
                <w:sz w:val="14"/>
                <w:szCs w:val="14"/>
                <w:b w:val="1"/>
                <w:bCs w:val="1"/>
                <w:color w:val="auto"/>
              </w:rPr>
              <w:t>Jonie I. Kondracki, Esq.</w:t>
            </w:r>
          </w:p>
        </w:tc>
      </w:tr>
      <w:tr>
        <w:trPr>
          <w:trHeight w:val="149"/>
        </w:trPr>
        <w:tc>
          <w:tcPr>
            <w:tcW w:w="2480" w:type="dxa"/>
            <w:vAlign w:val="bottom"/>
          </w:tcPr>
          <w:p>
            <w:pPr>
              <w:jc w:val="center"/>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Fenwick &amp; West LLP</w:t>
            </w:r>
          </w:p>
        </w:tc>
        <w:tc>
          <w:tcPr>
            <w:tcW w:w="4840" w:type="dxa"/>
            <w:vAlign w:val="bottom"/>
          </w:tcPr>
          <w:p>
            <w:pPr>
              <w:jc w:val="center"/>
              <w:ind w:left="3268"/>
              <w:spacing w:after="0" w:line="149" w:lineRule="exact"/>
              <w:rPr>
                <w:sz w:val="20"/>
                <w:szCs w:val="20"/>
                <w:color w:val="auto"/>
              </w:rPr>
            </w:pPr>
            <w:r>
              <w:rPr>
                <w:rFonts w:ascii="Times New Roman" w:cs="Times New Roman" w:eastAsia="Times New Roman" w:hAnsi="Times New Roman"/>
                <w:sz w:val="14"/>
                <w:szCs w:val="14"/>
                <w:b w:val="1"/>
                <w:bCs w:val="1"/>
                <w:color w:val="auto"/>
              </w:rPr>
              <w:t>Cooley LLP</w:t>
            </w:r>
          </w:p>
        </w:tc>
      </w:tr>
      <w:tr>
        <w:trPr>
          <w:trHeight w:val="149"/>
        </w:trPr>
        <w:tc>
          <w:tcPr>
            <w:tcW w:w="2480" w:type="dxa"/>
            <w:vAlign w:val="bottom"/>
          </w:tcPr>
          <w:p>
            <w:pPr>
              <w:jc w:val="center"/>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555 California Street</w:t>
            </w:r>
          </w:p>
        </w:tc>
        <w:tc>
          <w:tcPr>
            <w:tcW w:w="4840" w:type="dxa"/>
            <w:vAlign w:val="bottom"/>
          </w:tcPr>
          <w:p>
            <w:pPr>
              <w:jc w:val="center"/>
              <w:ind w:left="3268"/>
              <w:spacing w:after="0" w:line="149" w:lineRule="exact"/>
              <w:rPr>
                <w:sz w:val="20"/>
                <w:szCs w:val="20"/>
                <w:color w:val="auto"/>
              </w:rPr>
            </w:pPr>
            <w:r>
              <w:rPr>
                <w:rFonts w:ascii="Times New Roman" w:cs="Times New Roman" w:eastAsia="Times New Roman" w:hAnsi="Times New Roman"/>
                <w:sz w:val="14"/>
                <w:szCs w:val="14"/>
                <w:b w:val="1"/>
                <w:bCs w:val="1"/>
                <w:color w:val="auto"/>
              </w:rPr>
              <w:t>4401 Eastgate Mall</w:t>
            </w:r>
          </w:p>
        </w:tc>
      </w:tr>
      <w:tr>
        <w:trPr>
          <w:trHeight w:val="149"/>
        </w:trPr>
        <w:tc>
          <w:tcPr>
            <w:tcW w:w="2480" w:type="dxa"/>
            <w:vAlign w:val="bottom"/>
          </w:tcPr>
          <w:p>
            <w:pPr>
              <w:jc w:val="center"/>
              <w:ind w:right="78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 94104</w:t>
            </w:r>
          </w:p>
        </w:tc>
        <w:tc>
          <w:tcPr>
            <w:tcW w:w="4840" w:type="dxa"/>
            <w:vAlign w:val="bottom"/>
          </w:tcPr>
          <w:p>
            <w:pPr>
              <w:jc w:val="center"/>
              <w:ind w:left="3268"/>
              <w:spacing w:after="0" w:line="149" w:lineRule="exact"/>
              <w:rPr>
                <w:sz w:val="20"/>
                <w:szCs w:val="20"/>
                <w:color w:val="auto"/>
              </w:rPr>
            </w:pPr>
            <w:r>
              <w:rPr>
                <w:rFonts w:ascii="Times New Roman" w:cs="Times New Roman" w:eastAsia="Times New Roman" w:hAnsi="Times New Roman"/>
                <w:sz w:val="14"/>
                <w:szCs w:val="14"/>
                <w:b w:val="1"/>
                <w:bCs w:val="1"/>
                <w:color w:val="auto"/>
              </w:rPr>
              <w:t>San Diego, CA 92121</w:t>
            </w:r>
          </w:p>
        </w:tc>
      </w:tr>
      <w:tr>
        <w:trPr>
          <w:trHeight w:val="190"/>
        </w:trPr>
        <w:tc>
          <w:tcPr>
            <w:tcW w:w="2480" w:type="dxa"/>
            <w:vAlign w:val="bottom"/>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(415) 875-2300</w:t>
            </w:r>
          </w:p>
        </w:tc>
        <w:tc>
          <w:tcPr>
            <w:tcW w:w="4840" w:type="dxa"/>
            <w:vAlign w:val="bottom"/>
          </w:tcPr>
          <w:p>
            <w:pPr>
              <w:jc w:val="center"/>
              <w:ind w:left="3268"/>
              <w:spacing w:after="0"/>
              <w:rPr>
                <w:sz w:val="20"/>
                <w:szCs w:val="20"/>
                <w:color w:val="auto"/>
              </w:rPr>
            </w:pPr>
            <w:r>
              <w:rPr>
                <w:rFonts w:ascii="Times New Roman" w:cs="Times New Roman" w:eastAsia="Times New Roman" w:hAnsi="Times New Roman"/>
                <w:sz w:val="14"/>
                <w:szCs w:val="14"/>
                <w:b w:val="1"/>
                <w:bCs w:val="1"/>
                <w:color w:val="auto"/>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74930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34"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22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2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6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300" w:firstLine="342"/>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6" w:right="239" w:bottom="1440" w:gutter="0" w:footer="0" w:header="0"/>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07"/>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32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39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188"/>
        </w:trPr>
        <w:tc>
          <w:tcPr>
            <w:tcW w:w="15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39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28" w:lineRule="exact"/>
        <w:rPr>
          <w:sz w:val="24"/>
          <w:szCs w:val="24"/>
          <w:color w:val="auto"/>
        </w:rPr>
      </w:pPr>
    </w:p>
    <w:p>
      <w:pPr>
        <w:ind w:firstLine="288"/>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5"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4"/>
          <w:szCs w:val="14"/>
          <w:color w:val="auto"/>
        </w:rPr>
        <w:t>CALCULATION OF REGISTRATION FEE</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76" w:lineRule="exact"/>
        <w:rPr>
          <w:sz w:val="24"/>
          <w:szCs w:val="24"/>
          <w:color w:val="auto"/>
        </w:rPr>
      </w:pPr>
    </w:p>
    <w:p>
      <w:pPr>
        <w:sectPr>
          <w:pgSz w:w="11900" w:h="16838" w:orient="portrait"/>
          <w:cols w:equalWidth="0" w:num="2">
            <w:col w:w="10960" w:space="320"/>
            <w:col w:w="14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ind w:left="11"/>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6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Borders>
              <w:right w:val="single" w:sz="8" w:color="auto"/>
            </w:tcBorders>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1720" w:type="dxa"/>
            <w:vAlign w:val="bottom"/>
            <w:tcBorders>
              <w:right w:val="single" w:sz="8" w:color="auto"/>
            </w:tcBorders>
          </w:tcPr>
          <w:p>
            <w:pPr>
              <w:jc w:val="center"/>
              <w:ind w:left="11"/>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0" w:type="dxa"/>
            <w:vAlign w:val="bottom"/>
            <w:tcBorders>
              <w:bottom w:val="single" w:sz="8" w:color="auto"/>
              <w:right w:val="single" w:sz="8" w:color="auto"/>
            </w:tcBorders>
            <w:vMerge w:val="continue"/>
          </w:tcPr>
          <w:p>
            <w:pPr>
              <w:spacing w:after="0"/>
              <w:rPr>
                <w:sz w:val="15"/>
                <w:szCs w:val="15"/>
                <w:color w:val="auto"/>
              </w:rPr>
            </w:pPr>
          </w:p>
        </w:tc>
        <w:tc>
          <w:tcPr>
            <w:tcW w:w="172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Price(1)(2)</w:t>
            </w:r>
          </w:p>
        </w:tc>
        <w:tc>
          <w:tcPr>
            <w:tcW w:w="16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00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1720" w:type="dxa"/>
            <w:vAlign w:val="bottom"/>
            <w:tcBorders>
              <w:bottom w:val="single" w:sz="8" w:color="auto"/>
              <w:right w:val="single" w:sz="8" w:color="auto"/>
            </w:tcBorders>
          </w:tcPr>
          <w:p>
            <w:pPr>
              <w:jc w:val="right"/>
              <w:ind w:right="931"/>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aggregate offering price includes the offering price of additional shares that the underwriters have the option to purchase.</w:t>
      </w: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purposes of calculating the registration fee in accordance with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9" w:lineRule="exact"/>
        <w:rPr>
          <w:sz w:val="24"/>
          <w:szCs w:val="24"/>
          <w:color w:val="auto"/>
        </w:rPr>
      </w:pPr>
    </w:p>
    <w:p>
      <w:pPr>
        <w:ind w:right="180" w:firstLine="342"/>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D1323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D13239"/>
        </w:rPr>
        <w:t>SUBJECT TO COMPLETION, DATED SEPTEMBER 11, 2017</w:t>
      </w:r>
    </w:p>
    <w:p>
      <w:pPr>
        <w:spacing w:after="0" w:line="300" w:lineRule="exact"/>
        <w:rPr>
          <w:sz w:val="20"/>
          <w:szCs w:val="20"/>
          <w:color w:val="auto"/>
        </w:rPr>
      </w:pPr>
    </w:p>
    <w:p>
      <w:pPr>
        <w:ind w:left="5740"/>
        <w:spacing w:after="0"/>
        <w:rPr>
          <w:sz w:val="20"/>
          <w:szCs w:val="20"/>
          <w:color w:val="auto"/>
        </w:rPr>
      </w:pPr>
      <w:r>
        <w:rPr>
          <w:rFonts w:ascii="Arial" w:cs="Arial" w:eastAsia="Arial" w:hAnsi="Arial"/>
          <w:sz w:val="29"/>
          <w:szCs w:val="29"/>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260985</wp:posOffset>
            </wp:positionV>
            <wp:extent cx="211836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329565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tabs>
          <w:tab w:leader="none" w:pos="2560" w:val="left"/>
        </w:tabs>
        <w:rPr>
          <w:sz w:val="20"/>
          <w:szCs w:val="20"/>
          <w:color w:val="auto"/>
        </w:rPr>
      </w:pPr>
      <w:r>
        <w:rPr>
          <w:rFonts w:ascii="Arial" w:cs="Arial" w:eastAsia="Arial" w:hAnsi="Arial"/>
          <w:sz w:val="18"/>
          <w:szCs w:val="18"/>
          <w:color w:val="auto"/>
        </w:rPr>
        <w:t>We are offering</w:t>
      </w:r>
      <w:r>
        <w:rPr>
          <w:sz w:val="20"/>
          <w:szCs w:val="20"/>
          <w:color w:val="auto"/>
        </w:rPr>
        <w:tab/>
      </w:r>
      <w:r>
        <w:rPr>
          <w:rFonts w:ascii="Arial" w:cs="Arial" w:eastAsia="Arial" w:hAnsi="Arial"/>
          <w:sz w:val="18"/>
          <w:szCs w:val="18"/>
          <w:color w:val="auto"/>
        </w:rPr>
        <w:t>shares of our common stock.</w:t>
      </w:r>
    </w:p>
    <w:p>
      <w:pPr>
        <w:spacing w:after="0" w:line="320" w:lineRule="exact"/>
        <w:rPr>
          <w:sz w:val="20"/>
          <w:szCs w:val="20"/>
          <w:color w:val="auto"/>
        </w:rPr>
      </w:pPr>
    </w:p>
    <w:p>
      <w:pPr>
        <w:ind w:right="40" w:firstLine="456"/>
        <w:spacing w:after="0" w:line="276" w:lineRule="auto"/>
        <w:rPr>
          <w:sz w:val="20"/>
          <w:szCs w:val="20"/>
          <w:color w:val="auto"/>
        </w:rPr>
      </w:pPr>
      <w:r>
        <w:rPr>
          <w:rFonts w:ascii="Arial" w:cs="Arial" w:eastAsia="Arial" w:hAnsi="Arial"/>
          <w:sz w:val="18"/>
          <w:szCs w:val="18"/>
          <w:color w:val="auto"/>
        </w:rPr>
        <w:t>Our common stock is listed on The NASDAQ Global Select Market under the symbol “ANAB”. The last reported sale price of our common stock on The NASDAQ Global Select Market on September 8, 2017 was $31.84 per share.</w:t>
      </w:r>
    </w:p>
    <w:p>
      <w:pPr>
        <w:spacing w:after="0" w:line="253" w:lineRule="exact"/>
        <w:rPr>
          <w:sz w:val="20"/>
          <w:szCs w:val="20"/>
          <w:color w:val="auto"/>
        </w:rPr>
      </w:pPr>
    </w:p>
    <w:p>
      <w:pPr>
        <w:ind w:left="460"/>
        <w:spacing w:after="0"/>
        <w:tabs>
          <w:tab w:leader="none" w:pos="6540" w:val="left"/>
        </w:tabs>
        <w:rPr>
          <w:sz w:val="20"/>
          <w:szCs w:val="20"/>
          <w:color w:val="auto"/>
        </w:rPr>
      </w:pPr>
      <w:r>
        <w:rPr>
          <w:rFonts w:ascii="Arial" w:cs="Arial" w:eastAsia="Arial" w:hAnsi="Arial"/>
          <w:sz w:val="18"/>
          <w:szCs w:val="18"/>
          <w:color w:val="auto"/>
        </w:rPr>
        <w:t>We have granted the underwriters a 30-day option to purchase up to</w:t>
      </w:r>
      <w:r>
        <w:rPr>
          <w:sz w:val="20"/>
          <w:szCs w:val="20"/>
          <w:color w:val="auto"/>
        </w:rPr>
        <w:tab/>
      </w:r>
      <w:r>
        <w:rPr>
          <w:rFonts w:ascii="Arial" w:cs="Arial" w:eastAsia="Arial" w:hAnsi="Arial"/>
          <w:sz w:val="17"/>
          <w:szCs w:val="17"/>
          <w:color w:val="auto"/>
        </w:rPr>
        <w:t>additional shares from us at the public offering price, less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w:t>
      </w:r>
    </w:p>
    <w:p>
      <w:pPr>
        <w:spacing w:after="0" w:line="29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are an “emerging growth company” as the term is used in the Jumpstart Our Business Startups Act of 2012 and, as such, have elected to comply with certain reduced public company reporting requirements for this prospectus, the documents incorporated by reference herein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281940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14 of this prospectus.</w:t>
      </w:r>
    </w:p>
    <w:p>
      <w:pPr>
        <w:spacing w:after="0" w:line="370" w:lineRule="exact"/>
        <w:rPr>
          <w:sz w:val="20"/>
          <w:szCs w:val="20"/>
          <w:color w:val="auto"/>
        </w:rPr>
      </w:pPr>
    </w:p>
    <w:tbl>
      <w:tblPr>
        <w:tblLayout w:type="fixed"/>
        <w:tblInd w:w="638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200" w:type="dxa"/>
            <w:vAlign w:val="bottom"/>
          </w:tcPr>
          <w:p>
            <w:pPr>
              <w:jc w:val="center"/>
              <w:ind w:left="68"/>
              <w:spacing w:after="0"/>
              <w:rPr>
                <w:sz w:val="20"/>
                <w:szCs w:val="20"/>
                <w:color w:val="auto"/>
              </w:rPr>
            </w:pPr>
            <w:r>
              <w:rPr>
                <w:rFonts w:ascii="Arial" w:cs="Arial" w:eastAsia="Arial" w:hAnsi="Arial"/>
                <w:sz w:val="14"/>
                <w:szCs w:val="14"/>
                <w:b w:val="1"/>
                <w:bCs w:val="1"/>
                <w:color w:val="auto"/>
              </w:rPr>
              <w:t>Underwriting</w:t>
            </w:r>
          </w:p>
        </w:tc>
        <w:tc>
          <w:tcPr>
            <w:tcW w:w="1320" w:type="dxa"/>
            <w:vAlign w:val="bottom"/>
          </w:tcPr>
          <w:p>
            <w:pPr>
              <w:jc w:val="center"/>
              <w:ind w:left="428"/>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1140" w:type="dxa"/>
            <w:vAlign w:val="bottom"/>
          </w:tcPr>
          <w:p>
            <w:pPr>
              <w:jc w:val="center"/>
              <w:ind w:right="548"/>
              <w:spacing w:after="0"/>
              <w:rPr>
                <w:sz w:val="20"/>
                <w:szCs w:val="20"/>
                <w:color w:val="auto"/>
              </w:rPr>
            </w:pPr>
            <w:r>
              <w:rPr>
                <w:rFonts w:ascii="Arial" w:cs="Arial" w:eastAsia="Arial" w:hAnsi="Arial"/>
                <w:sz w:val="14"/>
                <w:szCs w:val="14"/>
                <w:b w:val="1"/>
                <w:bCs w:val="1"/>
                <w:color w:val="auto"/>
              </w:rPr>
              <w:t>Price to</w:t>
            </w:r>
          </w:p>
        </w:tc>
        <w:tc>
          <w:tcPr>
            <w:tcW w:w="2200" w:type="dxa"/>
            <w:vAlign w:val="bottom"/>
          </w:tcPr>
          <w:p>
            <w:pPr>
              <w:jc w:val="center"/>
              <w:ind w:left="68"/>
              <w:spacing w:after="0"/>
              <w:rPr>
                <w:sz w:val="20"/>
                <w:szCs w:val="20"/>
                <w:color w:val="auto"/>
              </w:rPr>
            </w:pPr>
            <w:r>
              <w:rPr>
                <w:rFonts w:ascii="Arial" w:cs="Arial" w:eastAsia="Arial" w:hAnsi="Arial"/>
                <w:sz w:val="14"/>
                <w:szCs w:val="14"/>
                <w:b w:val="1"/>
                <w:bCs w:val="1"/>
                <w:color w:val="auto"/>
              </w:rPr>
              <w:t>Discounts and</w:t>
            </w: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rPr>
              <w:t>AnaptysBio,</w:t>
            </w:r>
          </w:p>
        </w:tc>
      </w:tr>
      <w:tr>
        <w:trPr>
          <w:trHeight w:val="191"/>
        </w:trPr>
        <w:tc>
          <w:tcPr>
            <w:tcW w:w="1140" w:type="dxa"/>
            <w:vAlign w:val="bottom"/>
          </w:tcPr>
          <w:p>
            <w:pPr>
              <w:jc w:val="center"/>
              <w:ind w:right="528"/>
              <w:spacing w:after="0"/>
              <w:rPr>
                <w:sz w:val="20"/>
                <w:szCs w:val="20"/>
                <w:color w:val="auto"/>
              </w:rPr>
            </w:pPr>
            <w:r>
              <w:rPr>
                <w:rFonts w:ascii="Arial" w:cs="Arial" w:eastAsia="Arial" w:hAnsi="Arial"/>
                <w:sz w:val="14"/>
                <w:szCs w:val="14"/>
                <w:b w:val="1"/>
                <w:bCs w:val="1"/>
                <w:color w:val="auto"/>
                <w:w w:val="99"/>
              </w:rPr>
              <w:t>Public</w:t>
            </w:r>
          </w:p>
        </w:tc>
        <w:tc>
          <w:tcPr>
            <w:tcW w:w="2200" w:type="dxa"/>
            <w:vAlign w:val="bottom"/>
          </w:tcPr>
          <w:p>
            <w:pPr>
              <w:jc w:val="center"/>
              <w:ind w:left="88"/>
              <w:spacing w:after="0"/>
              <w:rPr>
                <w:sz w:val="20"/>
                <w:szCs w:val="20"/>
                <w:color w:val="auto"/>
              </w:rPr>
            </w:pPr>
            <w:r>
              <w:rPr>
                <w:rFonts w:ascii="Arial" w:cs="Arial" w:eastAsia="Arial" w:hAnsi="Arial"/>
                <w:sz w:val="14"/>
                <w:szCs w:val="14"/>
                <w:b w:val="1"/>
                <w:bCs w:val="1"/>
                <w:color w:val="auto"/>
              </w:rPr>
              <w:t>Commissions(1)</w:t>
            </w: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9"/>
              </w:rPr>
              <w:t>Inc.</w:t>
            </w:r>
          </w:p>
        </w:tc>
      </w:tr>
    </w:tbl>
    <w:p>
      <w:pPr>
        <w:spacing w:after="0" w:line="1" w:lineRule="exact"/>
        <w:rPr>
          <w:sz w:val="20"/>
          <w:szCs w:val="20"/>
          <w:color w:val="auto"/>
        </w:rPr>
      </w:pPr>
    </w:p>
    <w:p>
      <w:pPr>
        <w:sectPr>
          <w:pgSz w:w="11900" w:h="16838" w:orient="portrait"/>
          <w:cols w:equalWidth="0" w:num="1">
            <w:col w:w="11420"/>
          </w:cols>
          <w:pgMar w:left="240" w:top="455" w:right="239" w:bottom="1440" w:gutter="0" w:footer="0" w:header="0"/>
        </w:sect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line="173" w:lineRule="exact"/>
              <w:rPr>
                <w:sz w:val="20"/>
                <w:szCs w:val="20"/>
                <w:color w:val="auto"/>
              </w:rPr>
            </w:pPr>
            <w:r>
              <w:rPr>
                <w:rFonts w:ascii="Arial" w:cs="Arial" w:eastAsia="Arial" w:hAnsi="Arial"/>
                <w:sz w:val="18"/>
                <w:szCs w:val="18"/>
                <w:color w:val="auto"/>
              </w:rPr>
              <w:t>Per Share</w:t>
            </w:r>
          </w:p>
        </w:tc>
        <w:tc>
          <w:tcPr>
            <w:tcW w:w="1820" w:type="dxa"/>
            <w:vAlign w:val="bottom"/>
            <w:tcBorders>
              <w:top w:val="single" w:sz="8" w:color="auto"/>
            </w:tcBorders>
          </w:tcPr>
          <w:p>
            <w:pPr>
              <w:jc w:val="right"/>
              <w:ind w:right="1170"/>
              <w:spacing w:after="0" w:line="173" w:lineRule="exact"/>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ind w:right="11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1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Borders>
              <w:top w:val="single" w:sz="8" w:color="auto"/>
            </w:tcBorders>
          </w:tcPr>
          <w:p>
            <w:pPr>
              <w:jc w:val="right"/>
              <w:ind w:right="1050"/>
              <w:spacing w:after="0" w:line="17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600" w:type="dxa"/>
            <w:vAlign w:val="bottom"/>
            <w:tcBorders>
              <w:top w:val="single" w:sz="8" w:color="auto"/>
            </w:tcBorders>
          </w:tcPr>
          <w:p>
            <w:pPr>
              <w:jc w:val="right"/>
              <w:ind w:right="1050"/>
              <w:spacing w:after="0" w:line="173" w:lineRule="exact"/>
              <w:rPr>
                <w:sz w:val="20"/>
                <w:szCs w:val="20"/>
                <w:color w:val="auto"/>
              </w:rPr>
            </w:pPr>
            <w:r>
              <w:rPr>
                <w:rFonts w:ascii="Arial" w:cs="Arial" w:eastAsia="Arial" w:hAnsi="Arial"/>
                <w:sz w:val="18"/>
                <w:szCs w:val="18"/>
                <w:color w:val="auto"/>
              </w:rPr>
              <w:t>$</w:t>
            </w:r>
          </w:p>
        </w:tc>
      </w:tr>
      <w:tr>
        <w:trPr>
          <w:trHeight w:val="243"/>
        </w:trPr>
        <w:tc>
          <w:tcPr>
            <w:tcW w:w="158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0" w:type="dxa"/>
            <w:vAlign w:val="bottom"/>
          </w:tcPr>
          <w:p>
            <w:pPr>
              <w:jc w:val="right"/>
              <w:ind w:right="1050"/>
              <w:spacing w:after="0"/>
              <w:rPr>
                <w:sz w:val="20"/>
                <w:szCs w:val="20"/>
                <w:color w:val="auto"/>
              </w:rPr>
            </w:pPr>
            <w:r>
              <w:rPr>
                <w:rFonts w:ascii="Arial" w:cs="Arial" w:eastAsia="Arial" w:hAnsi="Arial"/>
                <w:sz w:val="18"/>
                <w:szCs w:val="18"/>
                <w:color w:val="auto"/>
              </w:rPr>
              <w:t>$</w:t>
            </w:r>
          </w:p>
        </w:tc>
      </w:tr>
    </w:tbl>
    <w:p>
      <w:pPr>
        <w:spacing w:after="0" w:line="636" w:lineRule="exact"/>
        <w:rPr>
          <w:sz w:val="20"/>
          <w:szCs w:val="20"/>
          <w:color w:val="auto"/>
        </w:rPr>
      </w:pPr>
    </w:p>
    <w:p>
      <w:pPr>
        <w:sectPr>
          <w:pgSz w:w="11900" w:h="16838" w:orient="portrait"/>
          <w:cols w:equalWidth="0" w:num="2">
            <w:col w:w="7560" w:space="340"/>
            <w:col w:w="3520"/>
          </w:cols>
          <w:pgMar w:left="240" w:top="455" w:right="239" w:bottom="1440" w:gutter="0" w:footer="0" w:header="0"/>
          <w:type w:val="continuous"/>
        </w:sectPr>
      </w:pPr>
    </w:p>
    <w:p>
      <w:pPr>
        <w:spacing w:after="0" w:line="11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259"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The underwriters expect to deliver the shares on or about</w:t>
      </w:r>
      <w:r>
        <w:rPr>
          <w:sz w:val="20"/>
          <w:szCs w:val="20"/>
          <w:color w:val="auto"/>
        </w:rPr>
        <w:tab/>
      </w:r>
      <w:r>
        <w:rPr>
          <w:rFonts w:ascii="Arial" w:cs="Arial" w:eastAsia="Arial" w:hAnsi="Arial"/>
          <w:sz w:val="17"/>
          <w:szCs w:val="17"/>
          <w:color w:val="auto"/>
        </w:rPr>
        <w:t>, 2017.</w:t>
      </w:r>
    </w:p>
    <w:p>
      <w:pPr>
        <w:spacing w:after="0" w:line="339" w:lineRule="exact"/>
        <w:rPr>
          <w:sz w:val="20"/>
          <w:szCs w:val="20"/>
          <w:color w:val="auto"/>
        </w:rPr>
      </w:pPr>
    </w:p>
    <w:p>
      <w:pPr>
        <w:spacing w:after="0"/>
        <w:tabs>
          <w:tab w:leader="none" w:pos="5280" w:val="left"/>
          <w:tab w:leader="none" w:pos="1070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8"/>
          <w:szCs w:val="28"/>
          <w:b w:val="1"/>
          <w:bCs w:val="1"/>
          <w:color w:val="auto"/>
        </w:rPr>
        <w:t>Stifel</w:t>
      </w:r>
    </w:p>
    <w:p>
      <w:pPr>
        <w:sectPr>
          <w:pgSz w:w="11900" w:h="16838" w:orient="portrait"/>
          <w:cols w:equalWidth="0" w:num="1">
            <w:col w:w="11420"/>
          </w:cols>
          <w:pgMar w:left="240" w:top="455" w:right="239" w:bottom="1440" w:gutter="0" w:footer="0" w:header="0"/>
          <w:type w:val="continuous"/>
        </w:sectPr>
      </w:pPr>
    </w:p>
    <w:p>
      <w:pPr>
        <w:spacing w:after="0" w:line="350" w:lineRule="exact"/>
        <w:rPr>
          <w:sz w:val="20"/>
          <w:szCs w:val="20"/>
          <w:color w:val="auto"/>
        </w:rPr>
      </w:pPr>
    </w:p>
    <w:p>
      <w:pPr>
        <w:ind w:left="3840"/>
        <w:spacing w:after="0"/>
        <w:tabs>
          <w:tab w:leader="none" w:pos="70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8"/>
          <w:szCs w:val="18"/>
          <w:color w:val="auto"/>
        </w:rPr>
        <w:t>, 2017.</w:t>
      </w:r>
    </w:p>
    <w:p>
      <w:pPr>
        <w:sectPr>
          <w:pgSz w:w="11900" w:h="16838" w:orient="portrait"/>
          <w:cols w:equalWidth="0" w:num="1">
            <w:col w:w="1142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168910</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40" w:type="dxa"/>
            <w:vAlign w:val="bottom"/>
            <w:gridSpan w:val="21"/>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w:t>
              </w:r>
              <w:r>
                <w:rPr>
                  <w:rFonts w:ascii="Times New Roman" w:cs="Times New Roman" w:eastAsia="Times New Roman" w:hAnsi="Times New Roman"/>
                  <w:sz w:val="15"/>
                  <w:szCs w:val="15"/>
                  <w:color w:val="0000EE"/>
                </w:rPr>
                <w:t>ROSPECTUS</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UMMARY</w:t>
              </w:r>
            </w:hyperlink>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2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T</w:t>
              </w:r>
              <w:r>
                <w:rPr>
                  <w:rFonts w:ascii="Times New Roman" w:cs="Times New Roman" w:eastAsia="Times New Roman" w:hAnsi="Times New Roman"/>
                  <w:sz w:val="15"/>
                  <w:szCs w:val="15"/>
                  <w:color w:val="0000EE"/>
                  <w:w w:val="99"/>
                </w:rPr>
                <w:t>HE</w:t>
              </w:r>
              <w:r>
                <w:rPr>
                  <w:rFonts w:ascii="Times New Roman" w:cs="Times New Roman" w:eastAsia="Times New Roman" w:hAnsi="Times New Roman"/>
                  <w:sz w:val="18"/>
                  <w:szCs w:val="18"/>
                  <w:color w:val="0000EE"/>
                  <w:w w:val="99"/>
                </w:rPr>
                <w:t xml:space="preserve"> O</w:t>
              </w:r>
              <w:r>
                <w:rPr>
                  <w:rFonts w:ascii="Times New Roman" w:cs="Times New Roman" w:eastAsia="Times New Roman" w:hAnsi="Times New Roman"/>
                  <w:sz w:val="15"/>
                  <w:szCs w:val="15"/>
                  <w:color w:val="0000EE"/>
                  <w:w w:val="99"/>
                </w:rPr>
                <w:t>FFERING</w:t>
              </w:r>
            </w:hyperlink>
          </w:p>
        </w:tc>
        <w:tc>
          <w:tcPr>
            <w:tcW w:w="660" w:type="dxa"/>
            <w:vAlign w:val="bottom"/>
            <w:tcBorders>
              <w:top w:val="single" w:sz="8" w:color="0000EE"/>
            </w:tcBorders>
            <w:gridSpan w:val="6"/>
          </w:tcPr>
          <w:p>
            <w:pPr>
              <w:spacing w:after="0"/>
              <w:rPr>
                <w:sz w:val="18"/>
                <w:szCs w:val="18"/>
                <w:color w:val="auto"/>
              </w:rPr>
            </w:pPr>
          </w:p>
        </w:tc>
        <w:tc>
          <w:tcPr>
            <w:tcW w:w="9160" w:type="dxa"/>
            <w:vAlign w:val="bottom"/>
            <w:gridSpan w:val="11"/>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R</w:t>
              </w:r>
              <w:r>
                <w:rPr>
                  <w:rFonts w:ascii="Times New Roman" w:cs="Times New Roman" w:eastAsia="Times New Roman" w:hAnsi="Times New Roman"/>
                  <w:sz w:val="15"/>
                  <w:szCs w:val="15"/>
                  <w:color w:val="0000EE"/>
                </w:rPr>
                <w:t>ISK</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ACTORS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S</w:t>
              </w:r>
              <w:r>
                <w:rPr>
                  <w:rFonts w:ascii="Times New Roman" w:cs="Times New Roman" w:eastAsia="Times New Roman" w:hAnsi="Times New Roman"/>
                  <w:sz w:val="15"/>
                  <w:szCs w:val="15"/>
                  <w:color w:val="0000EE"/>
                </w:rPr>
                <w:t>PECIAL</w:t>
              </w:r>
              <w:r>
                <w:rPr>
                  <w:rFonts w:ascii="Times New Roman" w:cs="Times New Roman" w:eastAsia="Times New Roman" w:hAnsi="Times New Roman"/>
                  <w:sz w:val="18"/>
                  <w:szCs w:val="18"/>
                  <w:color w:val="0000EE"/>
                </w:rPr>
                <w:t xml:space="preserve"> N</w:t>
              </w:r>
              <w:r>
                <w:rPr>
                  <w:rFonts w:ascii="Times New Roman" w:cs="Times New Roman" w:eastAsia="Times New Roman" w:hAnsi="Times New Roman"/>
                  <w:sz w:val="15"/>
                  <w:szCs w:val="15"/>
                  <w:color w:val="0000EE"/>
                </w:rPr>
                <w:t>OTE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EGARDING</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ORWARD</w:t>
              </w:r>
              <w:r>
                <w:rPr>
                  <w:rFonts w:ascii="Times New Roman" w:cs="Times New Roman" w:eastAsia="Times New Roman" w:hAnsi="Times New Roman"/>
                  <w:sz w:val="18"/>
                  <w:szCs w:val="18"/>
                  <w:color w:val="0000EE"/>
                </w:rPr>
                <w:t xml:space="preserve"> -L</w:t>
              </w:r>
              <w:r>
                <w:rPr>
                  <w:rFonts w:ascii="Times New Roman" w:cs="Times New Roman" w:eastAsia="Times New Roman" w:hAnsi="Times New Roman"/>
                  <w:sz w:val="15"/>
                  <w:szCs w:val="15"/>
                  <w:color w:val="0000EE"/>
                </w:rPr>
                <w:t>OOKING</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TATEMENTS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M</w:t>
              </w:r>
              <w:r>
                <w:rPr>
                  <w:rFonts w:ascii="Times New Roman" w:cs="Times New Roman" w:eastAsia="Times New Roman" w:hAnsi="Times New Roman"/>
                  <w:sz w:val="15"/>
                  <w:szCs w:val="15"/>
                  <w:color w:val="0000EE"/>
                  <w:w w:val="98"/>
                </w:rPr>
                <w:t>ARKET AND</w:t>
              </w:r>
              <w:r>
                <w:rPr>
                  <w:rFonts w:ascii="Times New Roman" w:cs="Times New Roman" w:eastAsia="Times New Roman" w:hAnsi="Times New Roman"/>
                  <w:sz w:val="18"/>
                  <w:szCs w:val="18"/>
                  <w:color w:val="0000EE"/>
                  <w:w w:val="98"/>
                </w:rPr>
                <w:t xml:space="preserve"> I</w:t>
              </w:r>
              <w:r>
                <w:rPr>
                  <w:rFonts w:ascii="Times New Roman" w:cs="Times New Roman" w:eastAsia="Times New Roman" w:hAnsi="Times New Roman"/>
                  <w:sz w:val="15"/>
                  <w:szCs w:val="15"/>
                  <w:color w:val="0000EE"/>
                  <w:w w:val="98"/>
                </w:rPr>
                <w:t>NDUSTRY</w:t>
              </w:r>
              <w:r>
                <w:rPr>
                  <w:rFonts w:ascii="Times New Roman" w:cs="Times New Roman" w:eastAsia="Times New Roman" w:hAnsi="Times New Roman"/>
                  <w:sz w:val="18"/>
                  <w:szCs w:val="18"/>
                  <w:color w:val="0000EE"/>
                  <w:w w:val="98"/>
                </w:rPr>
                <w:t xml:space="preserve"> D</w:t>
              </w:r>
              <w:r>
                <w:rPr>
                  <w:rFonts w:ascii="Times New Roman" w:cs="Times New Roman" w:eastAsia="Times New Roman" w:hAnsi="Times New Roman"/>
                  <w:sz w:val="15"/>
                  <w:szCs w:val="15"/>
                  <w:color w:val="0000EE"/>
                  <w:w w:val="98"/>
                </w:rPr>
                <w:t>ATA</w:t>
              </w:r>
            </w:hyperlink>
          </w:p>
        </w:tc>
        <w:tc>
          <w:tcPr>
            <w:tcW w:w="2340" w:type="dxa"/>
            <w:vAlign w:val="bottom"/>
            <w:tcBorders>
              <w:top w:val="single" w:sz="8" w:color="0000EE"/>
            </w:tcBorders>
            <w:gridSpan w:val="3"/>
          </w:tcPr>
          <w:p>
            <w:pPr>
              <w:spacing w:after="0"/>
              <w:rPr>
                <w:sz w:val="17"/>
                <w:szCs w:val="17"/>
                <w:color w:val="auto"/>
              </w:rPr>
            </w:pPr>
          </w:p>
        </w:tc>
        <w:tc>
          <w:tcPr>
            <w:tcW w:w="63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U</w:t>
              </w:r>
              <w:r>
                <w:rPr>
                  <w:rFonts w:ascii="Times New Roman" w:cs="Times New Roman" w:eastAsia="Times New Roman" w:hAnsi="Times New Roman"/>
                  <w:sz w:val="15"/>
                  <w:szCs w:val="15"/>
                  <w:color w:val="0000EE"/>
                  <w:w w:val="99"/>
                </w:rPr>
                <w:t>SE OF</w:t>
              </w:r>
              <w:r>
                <w:rPr>
                  <w:rFonts w:ascii="Times New Roman" w:cs="Times New Roman" w:eastAsia="Times New Roman" w:hAnsi="Times New Roman"/>
                  <w:sz w:val="18"/>
                  <w:szCs w:val="18"/>
                  <w:color w:val="0000EE"/>
                  <w:w w:val="99"/>
                </w:rPr>
                <w:t xml:space="preserve"> P</w:t>
              </w:r>
              <w:r>
                <w:rPr>
                  <w:rFonts w:ascii="Times New Roman" w:cs="Times New Roman" w:eastAsia="Times New Roman" w:hAnsi="Times New Roman"/>
                  <w:sz w:val="15"/>
                  <w:szCs w:val="15"/>
                  <w:color w:val="0000EE"/>
                  <w:w w:val="99"/>
                </w:rPr>
                <w:t>ROCEEDS</w:t>
              </w:r>
            </w:hyperlink>
          </w:p>
        </w:tc>
        <w:tc>
          <w:tcPr>
            <w:tcW w:w="956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w:t>
              </w:r>
              <w:r>
                <w:rPr>
                  <w:rFonts w:ascii="Times New Roman" w:cs="Times New Roman" w:eastAsia="Times New Roman" w:hAnsi="Times New Roman"/>
                  <w:sz w:val="15"/>
                  <w:szCs w:val="15"/>
                  <w:color w:val="0000EE"/>
                </w:rPr>
                <w:t>IVIDEND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5"/>
                  <w:szCs w:val="15"/>
                  <w:color w:val="0000EE"/>
                </w:rPr>
                <w:t>OLICY</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w:t>
              </w:r>
              <w:r>
                <w:rPr>
                  <w:rFonts w:ascii="Times New Roman" w:cs="Times New Roman" w:eastAsia="Times New Roman" w:hAnsi="Times New Roman"/>
                  <w:sz w:val="15"/>
                  <w:szCs w:val="15"/>
                  <w:color w:val="0000EE"/>
                </w:rPr>
                <w:t>APITALIZATION</w:t>
              </w:r>
            </w:hyperlink>
          </w:p>
        </w:tc>
        <w:tc>
          <w:tcPr>
            <w:tcW w:w="958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D</w:t>
              </w:r>
              <w:r>
                <w:rPr>
                  <w:rFonts w:ascii="Times New Roman" w:cs="Times New Roman" w:eastAsia="Times New Roman" w:hAnsi="Times New Roman"/>
                  <w:sz w:val="15"/>
                  <w:szCs w:val="15"/>
                  <w:color w:val="0000EE"/>
                </w:rPr>
                <w:t>ILUTION</w:t>
              </w:r>
            </w:hyperlink>
          </w:p>
        </w:tc>
        <w:tc>
          <w:tcPr>
            <w:tcW w:w="970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w:t>
              </w:r>
              <w:r>
                <w:rPr>
                  <w:rFonts w:ascii="Times New Roman" w:cs="Times New Roman" w:eastAsia="Times New Roman" w:hAnsi="Times New Roman"/>
                  <w:sz w:val="15"/>
                  <w:szCs w:val="15"/>
                  <w:color w:val="0000EE"/>
                </w:rPr>
                <w:t>ERTAIN</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ELATIONSHIPS AND</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ELATED</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5"/>
                  <w:szCs w:val="15"/>
                  <w:color w:val="0000EE"/>
                </w:rPr>
                <w:t>ARTY</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5"/>
                  <w:szCs w:val="15"/>
                  <w:color w:val="0000EE"/>
                </w:rPr>
                <w:t>RANSACTIONS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P</w:t>
              </w:r>
              <w:r>
                <w:rPr>
                  <w:rFonts w:ascii="Times New Roman" w:cs="Times New Roman" w:eastAsia="Times New Roman" w:hAnsi="Times New Roman"/>
                  <w:sz w:val="15"/>
                  <w:szCs w:val="15"/>
                  <w:color w:val="0000EE"/>
                </w:rPr>
                <w:t>RINCIPAL</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TOCKHOLDERS</w:t>
              </w:r>
            </w:hyperlink>
          </w:p>
        </w:tc>
        <w:tc>
          <w:tcPr>
            <w:tcW w:w="624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D</w:t>
              </w:r>
              <w:r>
                <w:rPr>
                  <w:rFonts w:ascii="Times New Roman" w:cs="Times New Roman" w:eastAsia="Times New Roman" w:hAnsi="Times New Roman"/>
                  <w:sz w:val="15"/>
                  <w:szCs w:val="15"/>
                  <w:color w:val="0000EE"/>
                  <w:w w:val="99"/>
                </w:rPr>
                <w:t>ESCRIPTION OF</w:t>
              </w:r>
              <w:r>
                <w:rPr>
                  <w:rFonts w:ascii="Times New Roman" w:cs="Times New Roman" w:eastAsia="Times New Roman" w:hAnsi="Times New Roman"/>
                  <w:sz w:val="18"/>
                  <w:szCs w:val="18"/>
                  <w:color w:val="0000EE"/>
                  <w:w w:val="99"/>
                </w:rPr>
                <w:t xml:space="preserve"> C</w:t>
              </w:r>
              <w:r>
                <w:rPr>
                  <w:rFonts w:ascii="Times New Roman" w:cs="Times New Roman" w:eastAsia="Times New Roman" w:hAnsi="Times New Roman"/>
                  <w:sz w:val="15"/>
                  <w:szCs w:val="15"/>
                  <w:color w:val="0000EE"/>
                  <w:w w:val="99"/>
                </w:rPr>
                <w:t>APITAL</w:t>
              </w:r>
              <w:r>
                <w:rPr>
                  <w:rFonts w:ascii="Times New Roman" w:cs="Times New Roman" w:eastAsia="Times New Roman" w:hAnsi="Times New Roman"/>
                  <w:sz w:val="18"/>
                  <w:szCs w:val="18"/>
                  <w:color w:val="0000EE"/>
                  <w:w w:val="99"/>
                </w:rPr>
                <w:t xml:space="preserve"> S</w:t>
              </w:r>
              <w:r>
                <w:rPr>
                  <w:rFonts w:ascii="Times New Roman" w:cs="Times New Roman" w:eastAsia="Times New Roman" w:hAnsi="Times New Roman"/>
                  <w:sz w:val="15"/>
                  <w:szCs w:val="15"/>
                  <w:color w:val="0000EE"/>
                  <w:w w:val="99"/>
                </w:rPr>
                <w:t>TOCK</w:t>
              </w:r>
            </w:hyperlink>
          </w:p>
        </w:tc>
        <w:tc>
          <w:tcPr>
            <w:tcW w:w="84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w:t>
              </w:r>
              <w:r>
                <w:rPr>
                  <w:rFonts w:ascii="Times New Roman" w:cs="Times New Roman" w:eastAsia="Times New Roman" w:hAnsi="Times New Roman"/>
                  <w:sz w:val="15"/>
                  <w:szCs w:val="15"/>
                  <w:color w:val="0000EE"/>
                </w:rPr>
                <w:t>ATERIAL</w:t>
              </w:r>
              <w:r>
                <w:rPr>
                  <w:rFonts w:ascii="Times New Roman" w:cs="Times New Roman" w:eastAsia="Times New Roman" w:hAnsi="Times New Roman"/>
                  <w:sz w:val="18"/>
                  <w:szCs w:val="18"/>
                  <w:color w:val="0000EE"/>
                </w:rPr>
                <w:t xml:space="preserve"> U.S. F</w:t>
              </w:r>
              <w:r>
                <w:rPr>
                  <w:rFonts w:ascii="Times New Roman" w:cs="Times New Roman" w:eastAsia="Times New Roman" w:hAnsi="Times New Roman"/>
                  <w:sz w:val="15"/>
                  <w:szCs w:val="15"/>
                  <w:color w:val="0000EE"/>
                </w:rPr>
                <w:t>EDERAL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NCOME</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5"/>
                  <w:szCs w:val="15"/>
                  <w:color w:val="0000EE"/>
                </w:rPr>
                <w:t>AX</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ONSIDERATIONS FOR</w:t>
              </w:r>
              <w:r>
                <w:rPr>
                  <w:rFonts w:ascii="Times New Roman" w:cs="Times New Roman" w:eastAsia="Times New Roman" w:hAnsi="Times New Roman"/>
                  <w:sz w:val="18"/>
                  <w:szCs w:val="18"/>
                  <w:color w:val="0000EE"/>
                </w:rPr>
                <w:t xml:space="preserve"> N</w:t>
              </w:r>
              <w:r>
                <w:rPr>
                  <w:rFonts w:ascii="Times New Roman" w:cs="Times New Roman" w:eastAsia="Times New Roman" w:hAnsi="Times New Roman"/>
                  <w:sz w:val="15"/>
                  <w:szCs w:val="15"/>
                  <w:color w:val="0000EE"/>
                </w:rPr>
                <w:t>ON</w:t>
              </w:r>
              <w:r>
                <w:rPr>
                  <w:rFonts w:ascii="Times New Roman" w:cs="Times New Roman" w:eastAsia="Times New Roman" w:hAnsi="Times New Roman"/>
                  <w:sz w:val="18"/>
                  <w:szCs w:val="18"/>
                  <w:color w:val="0000EE"/>
                </w:rPr>
                <w:t>-U.S. H</w:t>
              </w:r>
              <w:r>
                <w:rPr>
                  <w:rFonts w:ascii="Times New Roman" w:cs="Times New Roman" w:eastAsia="Times New Roman" w:hAnsi="Times New Roman"/>
                  <w:sz w:val="15"/>
                  <w:szCs w:val="15"/>
                  <w:color w:val="0000EE"/>
                </w:rPr>
                <w:t>OLDERS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61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U</w:t>
              </w:r>
              <w:r>
                <w:rPr>
                  <w:rFonts w:ascii="Times New Roman" w:cs="Times New Roman" w:eastAsia="Times New Roman" w:hAnsi="Times New Roman"/>
                  <w:sz w:val="15"/>
                  <w:szCs w:val="15"/>
                  <w:color w:val="0000EE"/>
                </w:rPr>
                <w:t>NDERWRITING</w:t>
              </w:r>
            </w:hyperlink>
          </w:p>
        </w:tc>
        <w:tc>
          <w:tcPr>
            <w:tcW w:w="48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56">
              <w:r>
                <w:rPr>
                  <w:rFonts w:ascii="Times New Roman" w:cs="Times New Roman" w:eastAsia="Times New Roman" w:hAnsi="Times New Roman"/>
                  <w:sz w:val="18"/>
                  <w:szCs w:val="18"/>
                  <w:color w:val="0000EE"/>
                  <w:w w:val="98"/>
                </w:rPr>
                <w:t>L</w:t>
              </w:r>
              <w:r>
                <w:rPr>
                  <w:rFonts w:ascii="Times New Roman" w:cs="Times New Roman" w:eastAsia="Times New Roman" w:hAnsi="Times New Roman"/>
                  <w:sz w:val="15"/>
                  <w:szCs w:val="15"/>
                  <w:color w:val="0000EE"/>
                  <w:w w:val="98"/>
                </w:rPr>
                <w:t>EGAL</w:t>
              </w:r>
              <w:r>
                <w:rPr>
                  <w:rFonts w:ascii="Times New Roman" w:cs="Times New Roman" w:eastAsia="Times New Roman" w:hAnsi="Times New Roman"/>
                  <w:sz w:val="18"/>
                  <w:szCs w:val="18"/>
                  <w:color w:val="0000EE"/>
                  <w:w w:val="98"/>
                </w:rPr>
                <w:t xml:space="preserve"> M</w:t>
              </w:r>
              <w:r>
                <w:rPr>
                  <w:rFonts w:ascii="Times New Roman" w:cs="Times New Roman" w:eastAsia="Times New Roman" w:hAnsi="Times New Roman"/>
                  <w:sz w:val="15"/>
                  <w:szCs w:val="15"/>
                  <w:color w:val="0000EE"/>
                  <w:w w:val="98"/>
                </w:rPr>
                <w:t>ATTERS</w:t>
              </w:r>
            </w:hyperlink>
          </w:p>
        </w:tc>
        <w:tc>
          <w:tcPr>
            <w:tcW w:w="966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w:t>
              </w:r>
              <w:r>
                <w:rPr>
                  <w:rFonts w:ascii="Times New Roman" w:cs="Times New Roman" w:eastAsia="Times New Roman" w:hAnsi="Times New Roman"/>
                  <w:sz w:val="15"/>
                  <w:szCs w:val="15"/>
                  <w:color w:val="0000EE"/>
                </w:rPr>
                <w:t>XPERTS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A</w:t>
              </w:r>
              <w:r>
                <w:rPr>
                  <w:rFonts w:ascii="Times New Roman" w:cs="Times New Roman" w:eastAsia="Times New Roman" w:hAnsi="Times New Roman"/>
                  <w:sz w:val="15"/>
                  <w:szCs w:val="15"/>
                  <w:color w:val="0000EE"/>
                  <w:w w:val="99"/>
                </w:rPr>
                <w:t>DDITIONAL</w:t>
              </w:r>
              <w:r>
                <w:rPr>
                  <w:rFonts w:ascii="Times New Roman" w:cs="Times New Roman" w:eastAsia="Times New Roman" w:hAnsi="Times New Roman"/>
                  <w:sz w:val="18"/>
                  <w:szCs w:val="18"/>
                  <w:color w:val="0000EE"/>
                  <w:w w:val="99"/>
                </w:rPr>
                <w:t xml:space="preserve"> I</w:t>
              </w:r>
              <w:r>
                <w:rPr>
                  <w:rFonts w:ascii="Times New Roman" w:cs="Times New Roman" w:eastAsia="Times New Roman" w:hAnsi="Times New Roman"/>
                  <w:sz w:val="15"/>
                  <w:szCs w:val="15"/>
                  <w:color w:val="0000EE"/>
                  <w:w w:val="99"/>
                </w:rPr>
                <w:t>NFORMATION</w:t>
              </w:r>
            </w:hyperlink>
          </w:p>
        </w:tc>
        <w:tc>
          <w:tcPr>
            <w:tcW w:w="88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I</w:t>
              </w:r>
              <w:r>
                <w:rPr>
                  <w:rFonts w:ascii="Times New Roman" w:cs="Times New Roman" w:eastAsia="Times New Roman" w:hAnsi="Times New Roman"/>
                  <w:sz w:val="15"/>
                  <w:szCs w:val="15"/>
                  <w:color w:val="0000EE"/>
                </w:rPr>
                <w:t>NCORPORATION OF</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ERTAIN</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NFORMATION BY</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EFERENCE</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29"/>
        </w:trPr>
        <w:tc>
          <w:tcPr>
            <w:tcW w:w="6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94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or to which we have referred you. Neither we nor the underwriters have authorized anyone to provide you with information that is different. This prospectus may only be used where it is legal to sell these securities. The information in this prospectus or in any document incorporated by reference herein may only be accurate as of the date hereof or thereof, respectively,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47"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5518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or incorporated by reference into, this prospectus. Unless the context otherwise requires, we use the terms “AnaptysBio,” “company,” “we,” “us” and “our” in this prospectus to refer to AnaptysBio, Inc. and our subsidiary.</w:t>
      </w: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88" w:lineRule="exact"/>
        <w:rPr>
          <w:sz w:val="20"/>
          <w:szCs w:val="20"/>
          <w:color w:val="auto"/>
        </w:rPr>
      </w:pPr>
    </w:p>
    <w:p>
      <w:pPr>
        <w:ind w:left="200"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We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pharmacodynamic assay. We presented these results at the 2017 American Academy of Dermatology Annual Meeting and the American Academy of Allergy, Asthma and Immunology 2017 Annual Meeting in March 2017. We have subsequently initiated, under an approved Clinical Trial Authorisation, or CTA, with the U.K. Medicines and Healthcare Products Regulatory Agency, or MHRA, and completed enrollment of, a Phase 2a trial of ANB020 with 12 moderate-to-severe adult atopic dermatitis patients. Top-line data are anticipated during the second half of 2017.</w:t>
      </w:r>
    </w:p>
    <w:p>
      <w:pPr>
        <w:spacing w:after="0" w:line="186"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We have also initiated,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before and after a single dose of ANB020 or placebo. Top-line data are anticipated during the fourth quarter of 2017. We have also received clearance to initiate enrollment,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first half of 2018.</w:t>
      </w:r>
    </w:p>
    <w:p>
      <w:pPr>
        <w:spacing w:after="0" w:line="188" w:lineRule="exact"/>
        <w:rPr>
          <w:sz w:val="20"/>
          <w:szCs w:val="20"/>
          <w:color w:val="auto"/>
        </w:rPr>
      </w:pPr>
    </w:p>
    <w:p>
      <w:pPr>
        <w:ind w:left="200" w:right="140" w:firstLine="441"/>
        <w:spacing w:after="0" w:line="282" w:lineRule="auto"/>
        <w:rPr>
          <w:sz w:val="20"/>
          <w:szCs w:val="20"/>
          <w:color w:val="auto"/>
        </w:rPr>
      </w:pPr>
      <w:r>
        <w:rPr>
          <w:rFonts w:ascii="Times New Roman" w:cs="Times New Roman" w:eastAsia="Times New Roman" w:hAnsi="Times New Roman"/>
          <w:sz w:val="18"/>
          <w:szCs w:val="18"/>
          <w:color w:val="auto"/>
        </w:rPr>
        <w:t>ANB019 inhibits the interleukin-36 receptor, or IL-36R, for the treatment of rare inflammatory diseases including generalized pustular psoriasis, or GPP, and palmo-plantar pustular psoriasis, or PPP. We are currently</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24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3528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5286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line="258" w:lineRule="auto"/>
        <w:rPr>
          <w:sz w:val="20"/>
          <w:szCs w:val="20"/>
          <w:color w:val="auto"/>
        </w:rPr>
      </w:pPr>
      <w:r>
        <w:rPr>
          <w:rFonts w:ascii="Times New Roman" w:cs="Times New Roman" w:eastAsia="Times New Roman" w:hAnsi="Times New Roman"/>
          <w:sz w:val="18"/>
          <w:szCs w:val="18"/>
          <w:color w:val="auto"/>
        </w:rPr>
        <w:t>conducting, under an approved Clinical Trial Notification, or CTN, a Phase 1 clinical trial in healthy volunteers to assess the safety, pharmacokinetics and pharmacodynamics of ANB019 and anticipate announcing top-line data from this trial during the fourth quarter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84" w:lineRule="exact"/>
        <w:rPr>
          <w:sz w:val="20"/>
          <w:szCs w:val="20"/>
          <w:color w:val="auto"/>
        </w:rPr>
      </w:pPr>
    </w:p>
    <w:p>
      <w:pPr>
        <w:ind w:left="200" w:right="320" w:firstLine="441"/>
        <w:spacing w:after="0" w:line="266" w:lineRule="auto"/>
        <w:rPr>
          <w:sz w:val="20"/>
          <w:szCs w:val="20"/>
          <w:color w:val="auto"/>
        </w:rPr>
      </w:pPr>
      <w:r>
        <w:rPr>
          <w:rFonts w:ascii="Times New Roman" w:cs="Times New Roman" w:eastAsia="Times New Roman" w:hAnsi="Times New Roman"/>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176"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Under our TESARO collaboration, TESARO has initiated a registration program under an IND with the FDA of an AnaptysBio-generated anti-PD-1 antagonist antibody (TSR-042) in metastatic microsatellite high endometrial cancer patients. TESARO has completed dose escalation of an AnaptysBio-generated anti-TIM-3 antagonist antibody (TSR-022) in patients under an IND and has subsequently initiated a combination study of TSR-022 and TSR-042. In addition, TESARO has initiated a Phase 1 study of an AnaptysBio-generated anti-LAG-3 antibody (TSR-033), and TESARO has initiated IND-enabling preclinical studies for an AnaptysBio-generated PD-1/LAG-3 bispecific antibody, which has exhibited similar levels of T-cell activation in vitro as a combination of TSR-042 and TSR-033.</w:t>
      </w:r>
    </w:p>
    <w:p>
      <w:pPr>
        <w:spacing w:after="0" w:line="188" w:lineRule="exact"/>
        <w:rPr>
          <w:sz w:val="20"/>
          <w:szCs w:val="20"/>
          <w:color w:val="auto"/>
        </w:rPr>
      </w:pPr>
    </w:p>
    <w:p>
      <w:pPr>
        <w:ind w:left="200" w:right="500" w:firstLine="441"/>
        <w:spacing w:after="0" w:line="282" w:lineRule="auto"/>
        <w:rPr>
          <w:sz w:val="20"/>
          <w:szCs w:val="20"/>
          <w:color w:val="auto"/>
        </w:rPr>
      </w:pPr>
      <w:r>
        <w:rPr>
          <w:rFonts w:ascii="Times New Roman" w:cs="Times New Roman" w:eastAsia="Times New Roman" w:hAnsi="Times New Roman"/>
          <w:sz w:val="18"/>
          <w:szCs w:val="18"/>
          <w:color w:val="auto"/>
        </w:rPr>
        <w:t>Under our collaboration with Celgene, Celgene is advancing two AnaptysBio-generated anti-inflammatory antibody programs. One of these programs is an anti-PD-1 agonist antibody (CC-90006) currently in a Phase 1 trial for psoriasis.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Through June 30, 2017, we have received $73.6 million in non-dilutive funding from our collaborators.</w:t>
      </w:r>
    </w:p>
    <w:p>
      <w:pPr>
        <w:spacing w:after="0" w:line="225" w:lineRule="exact"/>
        <w:rPr>
          <w:sz w:val="20"/>
          <w:szCs w:val="20"/>
          <w:color w:val="auto"/>
        </w:rPr>
      </w:pPr>
    </w:p>
    <w:p>
      <w:pPr>
        <w:ind w:left="200" w:right="260" w:firstLine="441"/>
        <w:spacing w:after="0" w:line="282" w:lineRule="auto"/>
        <w:rPr>
          <w:sz w:val="20"/>
          <w:szCs w:val="20"/>
          <w:color w:val="auto"/>
        </w:rPr>
      </w:pPr>
      <w:r>
        <w:rPr>
          <w:rFonts w:ascii="Times New Roman" w:cs="Times New Roman" w:eastAsia="Times New Roman" w:hAnsi="Times New Roman"/>
          <w:sz w:val="18"/>
          <w:szCs w:val="18"/>
          <w:color w:val="auto"/>
        </w:rPr>
        <w:t>Our company is led by a strong management team with deep experience in antibody discovery and development, collaborations, operations and corporate finance.</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6256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2560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ind w:left="200" w:right="20" w:firstLine="441"/>
        <w:spacing w:after="0" w:line="266" w:lineRule="auto"/>
        <w:rPr>
          <w:sz w:val="20"/>
          <w:szCs w:val="20"/>
          <w:color w:val="auto"/>
        </w:rPr>
      </w:pPr>
      <w:r>
        <w:rPr>
          <w:rFonts w:ascii="Times New Roman" w:cs="Times New Roman" w:eastAsia="Times New Roman" w:hAnsi="Times New Roman"/>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most advanced, wholly-owned product candidates are summarized below:</w:t>
      </w:r>
    </w:p>
    <w:p>
      <w:pPr>
        <w:spacing w:after="0" w:line="127" w:lineRule="exact"/>
        <w:rPr>
          <w:sz w:val="20"/>
          <w:szCs w:val="20"/>
          <w:color w:val="auto"/>
        </w:rPr>
      </w:pPr>
    </w:p>
    <w:p>
      <w:pPr>
        <w:ind w:left="840" w:hanging="211"/>
        <w:spacing w:after="0" w:line="254"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ANB020 </w:t>
      </w:r>
      <w:r>
        <w:rPr>
          <w:rFonts w:ascii="Times New Roman" w:cs="Times New Roman" w:eastAsia="Times New Roman" w:hAnsi="Times New Roman"/>
          <w:sz w:val="18"/>
          <w:szCs w:val="18"/>
          <w:color w:val="auto"/>
        </w:rPr>
        <w:t>is a potentially first-in-class antibody that inhibits the activity of IL-33, a pro-inflammatory cytokine that multiple studies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pharmacodynamic assay. We presented these results at the 2017 American</w:t>
      </w: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24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5192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1923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60"/>
        <w:spacing w:after="0" w:line="252" w:lineRule="auto"/>
        <w:rPr>
          <w:sz w:val="20"/>
          <w:szCs w:val="20"/>
          <w:color w:val="auto"/>
        </w:rPr>
      </w:pPr>
      <w:r>
        <w:rPr>
          <w:rFonts w:ascii="Times New Roman" w:cs="Times New Roman" w:eastAsia="Times New Roman" w:hAnsi="Times New Roman"/>
          <w:sz w:val="18"/>
          <w:szCs w:val="18"/>
          <w:color w:val="auto"/>
        </w:rPr>
        <w:t>Academy of Dermatology Annual Meeting and the American Academy of Allergy, Asthma and Immunology 2017 Annual Meeting in March 2017. We have subsequently initiated, under an approved CTA with MHRA, and completed enrollment of, a Phase 2a trial of ANB020 with 12 moderate-to-severe adult atopic dermatitis patients, for which top-line data is anticipated during the second half of 2017. We have also initiated, under our IND a Phase 2a trial of ANB020 in the United States with 20 severe adult peanut allergy patients where efficacy will be assessed by measuring the cumulative dose of peanut tolerated in an oral food challenge before and after a single dose of ANB020 or placebo. We anticipate top-line data from this trial will be available during the fourth quarter of 2017. We have also received clearance to initiate enrollment, under a CTA with the MHRA, of a Phase 2a trial of ANB020 with 24 severe adult eosinophilic asthma patients, where efficacy will be assessed using improvement in Forced Expiratory Volume in One Second after administration of a single dose of ANB020 or placebo. Top-line data are anticipated during the first half of 2018.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1.1 million have severe disease that cannot be controlled by standard-of-care therapy.</w:t>
      </w:r>
    </w:p>
    <w:p>
      <w:pPr>
        <w:spacing w:after="0" w:line="95" w:lineRule="exact"/>
        <w:rPr>
          <w:sz w:val="20"/>
          <w:szCs w:val="20"/>
          <w:color w:val="auto"/>
        </w:rPr>
      </w:pPr>
    </w:p>
    <w:p>
      <w:pPr>
        <w:ind w:left="840" w:hanging="211"/>
        <w:spacing w:after="0" w:line="253"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ANB019 </w:t>
      </w:r>
      <w:r>
        <w:rPr>
          <w:rFonts w:ascii="Times New Roman" w:cs="Times New Roman" w:eastAsia="Times New Roman" w:hAnsi="Times New Roman"/>
          <w:sz w:val="18"/>
          <w:szCs w:val="18"/>
          <w:color w:val="auto"/>
        </w:rPr>
        <w:t>is an antibody that inhibits the function of IL-36R, which we are initially developing as a potential first-in-class therapy for GPP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IL-36R signaling pathway. PPP is a non-fatal form of pustular psoriasis that we estimate affects approximately 150,000 patients in the United States alone. PPP is believed to be caused by increased systemic levels of interleukin-36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are currently conducting, under an approved CTN, a Phase 1 clinical trial in healthy volunteers to assess the safety, pharmacokinetics and pharmacodynamics of ANB019 and anticipate announcing top-line data from this trial during the fourth quarter of 2017. We subsequently plan to seek regulatory clearance to initiate Phase 2 studies of ANB019 in GPP and PPP patients during 2018. We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91" w:lineRule="exact"/>
        <w:rPr>
          <w:rFonts w:ascii="Times New Roman" w:cs="Times New Roman" w:eastAsia="Times New Roman" w:hAnsi="Times New Roman"/>
          <w:sz w:val="18"/>
          <w:szCs w:val="18"/>
          <w:color w:val="auto"/>
        </w:rPr>
      </w:pPr>
    </w:p>
    <w:p>
      <w:pPr>
        <w:ind w:left="840" w:right="320" w:hanging="211"/>
        <w:spacing w:after="0" w:line="268"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Checkpoint receptor agonist </w:t>
      </w:r>
      <w:r>
        <w:rPr>
          <w:rFonts w:ascii="Times New Roman" w:cs="Times New Roman" w:eastAsia="Times New Roman" w:hAnsi="Times New Roman"/>
          <w:sz w:val="18"/>
          <w:szCs w:val="18"/>
          <w:color w:val="auto"/>
        </w:rPr>
        <w:t>antibodies are being developed by AnaptysBio to multiple different immune checkpoint receptors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certain autoimmune diseases where we believe checkpoint receptor function is insufficiently activated. Known human immune checkpoint receptors</w:t>
      </w:r>
    </w:p>
    <w:p>
      <w:pPr>
        <w:spacing w:after="0" w:line="2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24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5913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9131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60" w:right="120"/>
        <w:spacing w:after="0" w:line="266" w:lineRule="auto"/>
        <w:rPr>
          <w:sz w:val="20"/>
          <w:szCs w:val="20"/>
          <w:color w:val="auto"/>
        </w:rPr>
      </w:pPr>
      <w:r>
        <w:rPr>
          <w:rFonts w:ascii="Times New Roman" w:cs="Times New Roman" w:eastAsia="Times New Roman" w:hAnsi="Times New Roman"/>
          <w:sz w:val="18"/>
          <w:szCs w:val="18"/>
          <w:color w:val="auto"/>
        </w:rPr>
        <w:t>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Advantages of Our SHM Platform</w:t>
      </w:r>
    </w:p>
    <w:p>
      <w:pPr>
        <w:spacing w:after="0" w:line="229" w:lineRule="exact"/>
        <w:rPr>
          <w:sz w:val="20"/>
          <w:szCs w:val="20"/>
          <w:color w:val="auto"/>
        </w:rPr>
      </w:pPr>
    </w:p>
    <w:p>
      <w:pPr>
        <w:ind w:left="200" w:right="200" w:firstLine="441"/>
        <w:spacing w:after="0" w:line="258" w:lineRule="auto"/>
        <w:rPr>
          <w:sz w:val="20"/>
          <w:szCs w:val="20"/>
          <w:color w:val="auto"/>
        </w:rPr>
      </w:pPr>
      <w:r>
        <w:rPr>
          <w:rFonts w:ascii="Times New Roman" w:cs="Times New Roman" w:eastAsia="Times New Roman" w:hAnsi="Times New Roman"/>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85" w:lineRule="exact"/>
        <w:rPr>
          <w:sz w:val="20"/>
          <w:szCs w:val="20"/>
          <w:color w:val="auto"/>
        </w:rPr>
      </w:pPr>
    </w:p>
    <w:p>
      <w:pPr>
        <w:ind w:left="840" w:right="360" w:hanging="211"/>
        <w:spacing w:after="0" w:line="268"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Diversity against difficult targets. </w:t>
      </w:r>
      <w:r>
        <w:rPr>
          <w:rFonts w:ascii="Times New Roman" w:cs="Times New Roman" w:eastAsia="Times New Roman" w:hAnsi="Times New Roman"/>
          <w:sz w:val="18"/>
          <w:szCs w:val="18"/>
          <w:color w:val="auto"/>
        </w:rPr>
        <w:t>By applying SHM without the constraints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 we are able to generate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unprecedented diversity of antibodies. This enables us to develop antibodies against human targets that we believe have not otherwise been accessible to other technologies.</w:t>
      </w:r>
    </w:p>
    <w:p>
      <w:pPr>
        <w:spacing w:after="0" w:line="76" w:lineRule="exact"/>
        <w:rPr>
          <w:rFonts w:ascii="Times New Roman" w:cs="Times New Roman" w:eastAsia="Times New Roman" w:hAnsi="Times New Roman"/>
          <w:sz w:val="18"/>
          <w:szCs w:val="18"/>
          <w:color w:val="auto"/>
        </w:rPr>
      </w:pPr>
    </w:p>
    <w:p>
      <w:pPr>
        <w:ind w:left="840" w:right="740" w:hanging="211"/>
        <w:spacing w:after="0" w:line="28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potency. </w:t>
      </w:r>
      <w:r>
        <w:rPr>
          <w:rFonts w:ascii="Times New Roman" w:cs="Times New Roman" w:eastAsia="Times New Roman" w:hAnsi="Times New Roman"/>
          <w:sz w:val="18"/>
          <w:szCs w:val="18"/>
          <w:color w:val="auto"/>
        </w:rPr>
        <w:t>Because our platform generates highly-potent antibodies, we are potentially able to modulate every extracellular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associated with human disease, and believe only small therapeutic doses may be required to mediate therapeutic effect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840" w:right="100" w:hanging="211"/>
        <w:spacing w:after="0" w:line="268"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Functional activity selection. </w:t>
      </w:r>
      <w:r>
        <w:rPr>
          <w:rFonts w:ascii="Times New Roman" w:cs="Times New Roman" w:eastAsia="Times New Roman" w:hAnsi="Times New Roman"/>
          <w:sz w:val="18"/>
          <w:szCs w:val="18"/>
          <w:color w:val="auto"/>
        </w:rPr>
        <w:t>Our mammalian cell system simultaneously displays and secretes antibodies during the antibody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allowing us to incorporate functional assays throughout the process and focus on product candidates that are optimized for the desired therapeutic activity.</w:t>
      </w:r>
    </w:p>
    <w:p>
      <w:pPr>
        <w:spacing w:after="0" w:line="76" w:lineRule="exact"/>
        <w:rPr>
          <w:rFonts w:ascii="Times New Roman" w:cs="Times New Roman" w:eastAsia="Times New Roman" w:hAnsi="Times New Roman"/>
          <w:sz w:val="18"/>
          <w:szCs w:val="18"/>
          <w:color w:val="auto"/>
        </w:rPr>
      </w:pPr>
    </w:p>
    <w:p>
      <w:pPr>
        <w:ind w:left="840" w:right="180" w:hanging="211"/>
        <w:spacing w:after="0" w:line="268"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Speed. </w:t>
      </w:r>
      <w:r>
        <w:rPr>
          <w:rFonts w:ascii="Times New Roman" w:cs="Times New Roman" w:eastAsia="Times New Roman" w:hAnsi="Times New Roman"/>
          <w:sz w:val="18"/>
          <w:szCs w:val="18"/>
          <w:color w:val="auto"/>
        </w:rPr>
        <w:t>Our platform technology has enabled us to generate therapeutic-grade antibodies and subsequently advance preclinical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76" w:lineRule="exact"/>
        <w:rPr>
          <w:rFonts w:ascii="Times New Roman" w:cs="Times New Roman" w:eastAsia="Times New Roman" w:hAnsi="Times New Roman"/>
          <w:sz w:val="18"/>
          <w:szCs w:val="18"/>
          <w:color w:val="auto"/>
        </w:rPr>
      </w:pPr>
    </w:p>
    <w:p>
      <w:pPr>
        <w:ind w:left="840" w:right="20" w:hanging="211"/>
        <w:spacing w:after="0" w:line="28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Manufacturability. </w:t>
      </w:r>
      <w:r>
        <w:rPr>
          <w:rFonts w:ascii="Times New Roman" w:cs="Times New Roman" w:eastAsia="Times New Roman" w:hAnsi="Times New Roman"/>
          <w:sz w:val="18"/>
          <w:szCs w:val="18"/>
          <w:color w:val="auto"/>
        </w:rPr>
        <w:t>By using mammalian cell display to generate our therapeutic antibodies, we believe our platform mitigates risks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antibody expression, formulation and stability during the antibody generation process.</w:t>
      </w:r>
    </w:p>
    <w:p>
      <w:pPr>
        <w:spacing w:after="0" w:line="2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Our Collaborations</w:t>
      </w:r>
    </w:p>
    <w:p>
      <w:pPr>
        <w:spacing w:after="0" w:line="229" w:lineRule="exact"/>
        <w:rPr>
          <w:sz w:val="20"/>
          <w:szCs w:val="20"/>
          <w:color w:val="auto"/>
        </w:rPr>
      </w:pPr>
    </w:p>
    <w:p>
      <w:pPr>
        <w:ind w:left="200" w:right="460" w:firstLine="441"/>
        <w:spacing w:after="0" w:line="266" w:lineRule="auto"/>
        <w:rPr>
          <w:sz w:val="20"/>
          <w:szCs w:val="20"/>
          <w:color w:val="auto"/>
        </w:rPr>
      </w:pPr>
      <w:r>
        <w:rPr>
          <w:rFonts w:ascii="Times New Roman" w:cs="Times New Roman" w:eastAsia="Times New Roman" w:hAnsi="Times New Roman"/>
          <w:sz w:val="18"/>
          <w:szCs w:val="18"/>
          <w:color w:val="auto"/>
        </w:rPr>
        <w:t>We have established collaborations with pharmaceutical and biotechnology companies that have provided us with $73.6 million in payments through June 30, 2017. Multiple antibodies, generated by us prior to or during a strategic collaboration, are currently being advanced through development by our collaborators. Our collaborations with TESARO and Celgene are described below:</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TESARO Programs</w:t>
      </w:r>
    </w:p>
    <w:p>
      <w:pPr>
        <w:spacing w:after="0" w:line="12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67" w:lineRule="exact"/>
        <w:rPr>
          <w:sz w:val="20"/>
          <w:szCs w:val="20"/>
          <w:color w:val="auto"/>
        </w:rPr>
      </w:pPr>
    </w:p>
    <w:p>
      <w:pPr>
        <w:ind w:left="840" w:right="80" w:hanging="211"/>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Anti-PD-1 Monospecific Antagonist Antibody (TSR-042): Registration program initiated for metastatic microsatellite instability high (MSI-H) endometrial cancer;</w:t>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5561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5613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40" w:right="240" w:hanging="211"/>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Anti-TIM-3 Monospecific Antagonist Antibody (TSR-022): Dose escalation completed in Phase 1, combination trial with TSR-042 has been initiated;</w:t>
      </w:r>
    </w:p>
    <w:p>
      <w:pPr>
        <w:spacing w:after="0" w:line="67"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Anti-LAG-3 Monospecific Antagonist Antibody (TSR-033): Phase 1 trial initiated, and</w:t>
      </w:r>
    </w:p>
    <w:p>
      <w:pPr>
        <w:spacing w:after="0" w:line="130"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Anti-PD-1/LAG-3 Bispecific Antagonist Antibody: lead candidate identified, IND-enabling studies on-going.</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Celgene Programs</w:t>
      </w:r>
    </w:p>
    <w:p>
      <w:pPr>
        <w:spacing w:after="0" w:line="121" w:lineRule="exact"/>
        <w:rPr>
          <w:sz w:val="20"/>
          <w:szCs w:val="20"/>
          <w:color w:val="auto"/>
        </w:rPr>
      </w:pPr>
    </w:p>
    <w:p>
      <w:pPr>
        <w:ind w:left="200" w:right="20" w:firstLine="441"/>
        <w:spacing w:after="0" w:line="258" w:lineRule="auto"/>
        <w:rPr>
          <w:sz w:val="20"/>
          <w:szCs w:val="20"/>
          <w:color w:val="auto"/>
        </w:rPr>
      </w:pPr>
      <w:r>
        <w:rPr>
          <w:rFonts w:ascii="Times New Roman" w:cs="Times New Roman" w:eastAsia="Times New Roman" w:hAnsi="Times New Roman"/>
          <w:sz w:val="18"/>
          <w:szCs w:val="18"/>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Celgene is currently advancing two AnaptysBio-generated anti-inflammatory antibody programs, where one of these programs is an anti-PD-1 agonist antibody (CC-90006) currently in a Phase 1 trial for psoriasis.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anticipate the following milestones relating to wholly-owned pipeline programs to be attained during the remainder of 2017 and 2018:</w:t>
      </w:r>
    </w:p>
    <w:p>
      <w:pPr>
        <w:spacing w:after="0" w:line="271" w:lineRule="exact"/>
        <w:rPr>
          <w:sz w:val="20"/>
          <w:szCs w:val="20"/>
          <w:color w:val="auto"/>
        </w:rPr>
      </w:pPr>
    </w:p>
    <w:tbl>
      <w:tblPr>
        <w:tblLayout w:type="fixed"/>
        <w:tblInd w:w="200" w:type="dxa"/>
        <w:tblCellMar>
          <w:top w:w="0" w:type="dxa"/>
          <w:left w:w="0" w:type="dxa"/>
          <w:bottom w:w="0" w:type="dxa"/>
          <w:right w:w="0" w:type="dxa"/>
        </w:tblCellMar>
      </w:tblPr>
      <w:tr>
        <w:trPr>
          <w:trHeight w:val="257"/>
        </w:trPr>
        <w:tc>
          <w:tcPr>
            <w:tcW w:w="2240" w:type="dxa"/>
            <w:vAlign w:val="bottom"/>
            <w:tcBorders>
              <w:bottom w:val="single" w:sz="8" w:color="0D8DD3"/>
              <w:righ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6940" w:type="dxa"/>
            <w:vAlign w:val="bottom"/>
            <w:tcBorders>
              <w:bottom w:val="single" w:sz="8" w:color="0D8DD3"/>
              <w:right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1860" w:type="dxa"/>
            <w:vAlign w:val="bottom"/>
            <w:tcBorders>
              <w:bottom w:val="single" w:sz="8" w:color="0D8DD3"/>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Anticipated Timing</w:t>
            </w:r>
          </w:p>
        </w:tc>
        <w:tc>
          <w:tcPr>
            <w:tcW w:w="0" w:type="dxa"/>
            <w:vAlign w:val="bottom"/>
          </w:tcPr>
          <w:p>
            <w:pPr>
              <w:spacing w:after="0"/>
              <w:rPr>
                <w:sz w:val="1"/>
                <w:szCs w:val="1"/>
                <w:color w:val="auto"/>
              </w:rPr>
            </w:pPr>
          </w:p>
        </w:tc>
      </w:tr>
      <w:tr>
        <w:trPr>
          <w:trHeight w:val="412"/>
        </w:trPr>
        <w:tc>
          <w:tcPr>
            <w:tcW w:w="2240" w:type="dxa"/>
            <w:vAlign w:val="bottom"/>
            <w:tcBorders>
              <w:right w:val="single" w:sz="8" w:color="auto"/>
            </w:tcBorders>
            <w:shd w:val="clear" w:color="auto" w:fill="E6F3FA"/>
          </w:tcPr>
          <w:p>
            <w:pPr>
              <w:spacing w:after="0"/>
              <w:rPr>
                <w:sz w:val="24"/>
                <w:szCs w:val="24"/>
                <w:color w:val="auto"/>
              </w:rPr>
            </w:pPr>
          </w:p>
        </w:tc>
        <w:tc>
          <w:tcPr>
            <w:tcW w:w="520" w:type="dxa"/>
            <w:vAlign w:val="bottom"/>
            <w:shd w:val="clear" w:color="auto" w:fill="E6F3FA"/>
          </w:tcPr>
          <w:p>
            <w:pPr>
              <w:spacing w:after="0"/>
              <w:rPr>
                <w:sz w:val="24"/>
                <w:szCs w:val="24"/>
                <w:color w:val="auto"/>
              </w:rPr>
            </w:pPr>
          </w:p>
        </w:tc>
        <w:tc>
          <w:tcPr>
            <w:tcW w:w="6420" w:type="dxa"/>
            <w:vAlign w:val="bottom"/>
            <w:tcBorders>
              <w:right w:val="single" w:sz="8" w:color="auto"/>
            </w:tcBorders>
            <w:shd w:val="clear" w:color="auto" w:fill="E6F3FA"/>
          </w:tcPr>
          <w:p>
            <w:pPr>
              <w:spacing w:after="0"/>
              <w:rPr>
                <w:sz w:val="20"/>
                <w:szCs w:val="20"/>
                <w:color w:val="auto"/>
              </w:rPr>
            </w:pPr>
            <w:r>
              <w:rPr>
                <w:rFonts w:ascii="Times New Roman" w:cs="Times New Roman" w:eastAsia="Times New Roman" w:hAnsi="Times New Roman"/>
                <w:sz w:val="18"/>
                <w:szCs w:val="18"/>
                <w:color w:val="auto"/>
              </w:rPr>
              <w:t>Atopic Dermatitis Phase 2a Top-Line Data</w:t>
            </w:r>
          </w:p>
        </w:tc>
        <w:tc>
          <w:tcPr>
            <w:tcW w:w="1860" w:type="dxa"/>
            <w:vAlign w:val="bottom"/>
            <w:shd w:val="clear" w:color="auto" w:fill="E6F3FA"/>
          </w:tcPr>
          <w:p>
            <w:pPr>
              <w:ind w:left="320"/>
              <w:spacing w:after="0"/>
              <w:rPr>
                <w:sz w:val="20"/>
                <w:szCs w:val="20"/>
                <w:color w:val="auto"/>
              </w:rPr>
            </w:pPr>
            <w:r>
              <w:rPr>
                <w:rFonts w:ascii="Times New Roman" w:cs="Times New Roman" w:eastAsia="Times New Roman" w:hAnsi="Times New Roman"/>
                <w:sz w:val="18"/>
                <w:szCs w:val="18"/>
                <w:color w:val="auto"/>
              </w:rPr>
              <w:t>H2 2017</w:t>
            </w:r>
          </w:p>
        </w:tc>
        <w:tc>
          <w:tcPr>
            <w:tcW w:w="0" w:type="dxa"/>
            <w:vAlign w:val="bottom"/>
          </w:tcPr>
          <w:p>
            <w:pPr>
              <w:spacing w:after="0"/>
              <w:rPr>
                <w:sz w:val="1"/>
                <w:szCs w:val="1"/>
                <w:color w:val="auto"/>
              </w:rPr>
            </w:pPr>
          </w:p>
        </w:tc>
      </w:tr>
      <w:tr>
        <w:trPr>
          <w:trHeight w:val="216"/>
        </w:trPr>
        <w:tc>
          <w:tcPr>
            <w:tcW w:w="2240" w:type="dxa"/>
            <w:vAlign w:val="bottom"/>
            <w:tcBorders>
              <w:right w:val="single" w:sz="8" w:color="auto"/>
            </w:tcBorders>
            <w:vMerge w:val="restart"/>
            <w:shd w:val="clear" w:color="auto" w:fill="E6F3FA"/>
          </w:tcPr>
          <w:p>
            <w:pPr>
              <w:ind w:left="140"/>
              <w:spacing w:after="0"/>
              <w:rPr>
                <w:sz w:val="20"/>
                <w:szCs w:val="20"/>
                <w:color w:val="auto"/>
              </w:rPr>
            </w:pPr>
            <w:r>
              <w:rPr>
                <w:rFonts w:ascii="Times New Roman" w:cs="Times New Roman" w:eastAsia="Times New Roman" w:hAnsi="Times New Roman"/>
                <w:sz w:val="18"/>
                <w:szCs w:val="18"/>
                <w:color w:val="auto"/>
              </w:rPr>
              <w:t>ANB020 (Anti-IL-33)</w:t>
            </w:r>
          </w:p>
        </w:tc>
        <w:tc>
          <w:tcPr>
            <w:tcW w:w="520" w:type="dxa"/>
            <w:vAlign w:val="bottom"/>
            <w:shd w:val="clear" w:color="auto" w:fill="E6F3FA"/>
          </w:tcPr>
          <w:p>
            <w:pPr>
              <w:spacing w:after="0"/>
              <w:rPr>
                <w:sz w:val="18"/>
                <w:szCs w:val="18"/>
                <w:color w:val="auto"/>
              </w:rPr>
            </w:pPr>
          </w:p>
        </w:tc>
        <w:tc>
          <w:tcPr>
            <w:tcW w:w="6420" w:type="dxa"/>
            <w:vAlign w:val="bottom"/>
            <w:tcBorders>
              <w:right w:val="single" w:sz="8" w:color="auto"/>
            </w:tcBorders>
            <w:shd w:val="clear" w:color="auto" w:fill="E6F3FA"/>
          </w:tcPr>
          <w:p>
            <w:pPr>
              <w:spacing w:after="0"/>
              <w:rPr>
                <w:sz w:val="20"/>
                <w:szCs w:val="20"/>
                <w:color w:val="auto"/>
              </w:rPr>
            </w:pPr>
            <w:r>
              <w:rPr>
                <w:rFonts w:ascii="Times New Roman" w:cs="Times New Roman" w:eastAsia="Times New Roman" w:hAnsi="Times New Roman"/>
                <w:sz w:val="18"/>
                <w:szCs w:val="18"/>
                <w:color w:val="auto"/>
              </w:rPr>
              <w:t>Peanut Allergy Phase 2a Top-Line Data</w:t>
            </w:r>
          </w:p>
        </w:tc>
        <w:tc>
          <w:tcPr>
            <w:tcW w:w="1860" w:type="dxa"/>
            <w:vAlign w:val="bottom"/>
            <w:shd w:val="clear" w:color="auto" w:fill="E6F3FA"/>
          </w:tcPr>
          <w:p>
            <w:pPr>
              <w:ind w:left="320"/>
              <w:spacing w:after="0"/>
              <w:rPr>
                <w:sz w:val="20"/>
                <w:szCs w:val="20"/>
                <w:color w:val="auto"/>
              </w:rPr>
            </w:pPr>
            <w:r>
              <w:rPr>
                <w:rFonts w:ascii="Times New Roman" w:cs="Times New Roman" w:eastAsia="Times New Roman" w:hAnsi="Times New Roman"/>
                <w:sz w:val="18"/>
                <w:szCs w:val="18"/>
                <w:color w:val="auto"/>
              </w:rPr>
              <w:t>Q4 2017</w:t>
            </w:r>
          </w:p>
        </w:tc>
        <w:tc>
          <w:tcPr>
            <w:tcW w:w="0" w:type="dxa"/>
            <w:vAlign w:val="bottom"/>
          </w:tcPr>
          <w:p>
            <w:pPr>
              <w:spacing w:after="0"/>
              <w:rPr>
                <w:sz w:val="1"/>
                <w:szCs w:val="1"/>
                <w:color w:val="auto"/>
              </w:rPr>
            </w:pPr>
          </w:p>
        </w:tc>
      </w:tr>
      <w:tr>
        <w:trPr>
          <w:trHeight w:val="68"/>
        </w:trPr>
        <w:tc>
          <w:tcPr>
            <w:tcW w:w="2240" w:type="dxa"/>
            <w:vAlign w:val="bottom"/>
            <w:tcBorders>
              <w:right w:val="single" w:sz="8" w:color="auto"/>
            </w:tcBorders>
            <w:vMerge w:val="continue"/>
            <w:shd w:val="clear" w:color="auto" w:fill="E6F3FA"/>
          </w:tcPr>
          <w:p>
            <w:pPr>
              <w:spacing w:after="0"/>
              <w:rPr>
                <w:sz w:val="5"/>
                <w:szCs w:val="5"/>
                <w:color w:val="auto"/>
              </w:rPr>
            </w:pPr>
          </w:p>
        </w:tc>
        <w:tc>
          <w:tcPr>
            <w:tcW w:w="520" w:type="dxa"/>
            <w:vAlign w:val="bottom"/>
            <w:shd w:val="clear" w:color="auto" w:fill="E6F3FA"/>
          </w:tcPr>
          <w:p>
            <w:pPr>
              <w:spacing w:after="0"/>
              <w:rPr>
                <w:sz w:val="5"/>
                <w:szCs w:val="5"/>
                <w:color w:val="auto"/>
              </w:rPr>
            </w:pPr>
          </w:p>
        </w:tc>
        <w:tc>
          <w:tcPr>
            <w:tcW w:w="6420" w:type="dxa"/>
            <w:vAlign w:val="bottom"/>
            <w:tcBorders>
              <w:right w:val="single" w:sz="8" w:color="auto"/>
            </w:tcBorders>
            <w:vMerge w:val="restart"/>
            <w:shd w:val="clear" w:color="auto" w:fill="E6F3FA"/>
          </w:tcPr>
          <w:p>
            <w:pPr>
              <w:spacing w:after="0"/>
              <w:rPr>
                <w:sz w:val="20"/>
                <w:szCs w:val="20"/>
                <w:color w:val="auto"/>
              </w:rPr>
            </w:pPr>
            <w:r>
              <w:rPr>
                <w:rFonts w:ascii="Times New Roman" w:cs="Times New Roman" w:eastAsia="Times New Roman" w:hAnsi="Times New Roman"/>
                <w:sz w:val="18"/>
                <w:szCs w:val="18"/>
                <w:color w:val="auto"/>
              </w:rPr>
              <w:t>Eosinophilic Asthma Phase 2a Top-Line Data</w:t>
            </w:r>
          </w:p>
        </w:tc>
        <w:tc>
          <w:tcPr>
            <w:tcW w:w="1860" w:type="dxa"/>
            <w:vAlign w:val="bottom"/>
            <w:vMerge w:val="restart"/>
            <w:shd w:val="clear" w:color="auto" w:fill="E6F3FA"/>
          </w:tcPr>
          <w:p>
            <w:pPr>
              <w:ind w:left="320"/>
              <w:spacing w:after="0"/>
              <w:rPr>
                <w:sz w:val="20"/>
                <w:szCs w:val="20"/>
                <w:color w:val="auto"/>
              </w:rPr>
            </w:pPr>
            <w:r>
              <w:rPr>
                <w:rFonts w:ascii="Times New Roman" w:cs="Times New Roman" w:eastAsia="Times New Roman" w:hAnsi="Times New Roman"/>
                <w:sz w:val="18"/>
                <w:szCs w:val="18"/>
                <w:color w:val="auto"/>
              </w:rPr>
              <w:t>H1 2018</w:t>
            </w:r>
          </w:p>
        </w:tc>
        <w:tc>
          <w:tcPr>
            <w:tcW w:w="0" w:type="dxa"/>
            <w:vAlign w:val="bottom"/>
          </w:tcPr>
          <w:p>
            <w:pPr>
              <w:spacing w:after="0"/>
              <w:rPr>
                <w:sz w:val="1"/>
                <w:szCs w:val="1"/>
                <w:color w:val="auto"/>
              </w:rPr>
            </w:pPr>
          </w:p>
        </w:tc>
      </w:tr>
      <w:tr>
        <w:trPr>
          <w:trHeight w:val="167"/>
        </w:trPr>
        <w:tc>
          <w:tcPr>
            <w:tcW w:w="2240" w:type="dxa"/>
            <w:vAlign w:val="bottom"/>
            <w:tcBorders>
              <w:right w:val="single" w:sz="8" w:color="auto"/>
            </w:tcBorders>
            <w:shd w:val="clear" w:color="auto" w:fill="E6F3FA"/>
          </w:tcPr>
          <w:p>
            <w:pPr>
              <w:spacing w:after="0"/>
              <w:rPr>
                <w:sz w:val="14"/>
                <w:szCs w:val="14"/>
                <w:color w:val="auto"/>
              </w:rPr>
            </w:pPr>
          </w:p>
        </w:tc>
        <w:tc>
          <w:tcPr>
            <w:tcW w:w="520" w:type="dxa"/>
            <w:vAlign w:val="bottom"/>
            <w:shd w:val="clear" w:color="auto" w:fill="E6F3FA"/>
          </w:tcPr>
          <w:p>
            <w:pPr>
              <w:spacing w:after="0"/>
              <w:rPr>
                <w:sz w:val="14"/>
                <w:szCs w:val="14"/>
                <w:color w:val="auto"/>
              </w:rPr>
            </w:pPr>
          </w:p>
        </w:tc>
        <w:tc>
          <w:tcPr>
            <w:tcW w:w="6420" w:type="dxa"/>
            <w:vAlign w:val="bottom"/>
            <w:tcBorders>
              <w:right w:val="single" w:sz="8" w:color="auto"/>
            </w:tcBorders>
            <w:vMerge w:val="continue"/>
            <w:shd w:val="clear" w:color="auto" w:fill="E6F3FA"/>
          </w:tcPr>
          <w:p>
            <w:pPr>
              <w:spacing w:after="0"/>
              <w:rPr>
                <w:sz w:val="14"/>
                <w:szCs w:val="14"/>
                <w:color w:val="auto"/>
              </w:rPr>
            </w:pPr>
          </w:p>
        </w:tc>
        <w:tc>
          <w:tcPr>
            <w:tcW w:w="1860" w:type="dxa"/>
            <w:vAlign w:val="bottom"/>
            <w:vMerge w:val="continue"/>
            <w:shd w:val="clear" w:color="auto" w:fill="E6F3F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240" w:type="dxa"/>
            <w:vAlign w:val="bottom"/>
            <w:tcBorders>
              <w:bottom w:val="single" w:sz="8" w:color="auto"/>
              <w:right w:val="single" w:sz="8" w:color="auto"/>
            </w:tcBorders>
            <w:shd w:val="clear" w:color="auto" w:fill="E6F3FA"/>
          </w:tcPr>
          <w:p>
            <w:pPr>
              <w:spacing w:after="0"/>
              <w:rPr>
                <w:sz w:val="10"/>
                <w:szCs w:val="10"/>
                <w:color w:val="auto"/>
              </w:rPr>
            </w:pPr>
          </w:p>
        </w:tc>
        <w:tc>
          <w:tcPr>
            <w:tcW w:w="520" w:type="dxa"/>
            <w:vAlign w:val="bottom"/>
            <w:tcBorders>
              <w:bottom w:val="single" w:sz="8" w:color="auto"/>
            </w:tcBorders>
            <w:shd w:val="clear" w:color="auto" w:fill="E6F3FA"/>
          </w:tcPr>
          <w:p>
            <w:pPr>
              <w:spacing w:after="0"/>
              <w:rPr>
                <w:sz w:val="10"/>
                <w:szCs w:val="10"/>
                <w:color w:val="auto"/>
              </w:rPr>
            </w:pPr>
          </w:p>
        </w:tc>
        <w:tc>
          <w:tcPr>
            <w:tcW w:w="6420" w:type="dxa"/>
            <w:vAlign w:val="bottom"/>
            <w:tcBorders>
              <w:bottom w:val="single" w:sz="8" w:color="auto"/>
              <w:right w:val="single" w:sz="8" w:color="auto"/>
            </w:tcBorders>
            <w:shd w:val="clear" w:color="auto" w:fill="E6F3FA"/>
          </w:tcPr>
          <w:p>
            <w:pPr>
              <w:spacing w:after="0"/>
              <w:rPr>
                <w:sz w:val="10"/>
                <w:szCs w:val="10"/>
                <w:color w:val="auto"/>
              </w:rPr>
            </w:pPr>
          </w:p>
        </w:tc>
        <w:tc>
          <w:tcPr>
            <w:tcW w:w="1860" w:type="dxa"/>
            <w:vAlign w:val="bottom"/>
            <w:tcBorders>
              <w:bottom w:val="single" w:sz="8" w:color="auto"/>
            </w:tcBorders>
            <w:shd w:val="clear" w:color="auto" w:fill="E6F3FA"/>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2240" w:type="dxa"/>
            <w:vAlign w:val="bottom"/>
            <w:tcBorders>
              <w:right w:val="single" w:sz="8" w:color="auto"/>
            </w:tcBorders>
            <w:shd w:val="clear" w:color="auto" w:fill="E6F3FA"/>
          </w:tcPr>
          <w:p>
            <w:pPr>
              <w:spacing w:after="0"/>
              <w:rPr>
                <w:sz w:val="24"/>
                <w:szCs w:val="24"/>
                <w:color w:val="auto"/>
              </w:rPr>
            </w:pPr>
          </w:p>
        </w:tc>
        <w:tc>
          <w:tcPr>
            <w:tcW w:w="520" w:type="dxa"/>
            <w:vAlign w:val="bottom"/>
            <w:shd w:val="clear" w:color="auto" w:fill="E6F3FA"/>
          </w:tcPr>
          <w:p>
            <w:pPr>
              <w:spacing w:after="0"/>
              <w:rPr>
                <w:sz w:val="24"/>
                <w:szCs w:val="24"/>
                <w:color w:val="auto"/>
              </w:rPr>
            </w:pPr>
          </w:p>
        </w:tc>
        <w:tc>
          <w:tcPr>
            <w:tcW w:w="6420" w:type="dxa"/>
            <w:vAlign w:val="bottom"/>
            <w:tcBorders>
              <w:right w:val="single" w:sz="8" w:color="auto"/>
            </w:tcBorders>
            <w:shd w:val="clear" w:color="auto" w:fill="E6F3FA"/>
          </w:tcPr>
          <w:p>
            <w:pPr>
              <w:spacing w:after="0"/>
              <w:rPr>
                <w:sz w:val="20"/>
                <w:szCs w:val="20"/>
                <w:color w:val="auto"/>
              </w:rPr>
            </w:pPr>
            <w:r>
              <w:rPr>
                <w:rFonts w:ascii="Times New Roman" w:cs="Times New Roman" w:eastAsia="Times New Roman" w:hAnsi="Times New Roman"/>
                <w:sz w:val="18"/>
                <w:szCs w:val="18"/>
                <w:color w:val="auto"/>
              </w:rPr>
              <w:t>Healthy Volunteer Phase 1 Top-Line Data</w:t>
            </w:r>
          </w:p>
        </w:tc>
        <w:tc>
          <w:tcPr>
            <w:tcW w:w="1860" w:type="dxa"/>
            <w:vAlign w:val="bottom"/>
            <w:shd w:val="clear" w:color="auto" w:fill="E6F3FA"/>
          </w:tcPr>
          <w:p>
            <w:pPr>
              <w:ind w:left="320"/>
              <w:spacing w:after="0"/>
              <w:rPr>
                <w:sz w:val="20"/>
                <w:szCs w:val="20"/>
                <w:color w:val="auto"/>
              </w:rPr>
            </w:pPr>
            <w:r>
              <w:rPr>
                <w:rFonts w:ascii="Times New Roman" w:cs="Times New Roman" w:eastAsia="Times New Roman" w:hAnsi="Times New Roman"/>
                <w:sz w:val="18"/>
                <w:szCs w:val="18"/>
                <w:color w:val="auto"/>
              </w:rPr>
              <w:t>Q4 2017</w:t>
            </w:r>
          </w:p>
        </w:tc>
        <w:tc>
          <w:tcPr>
            <w:tcW w:w="0" w:type="dxa"/>
            <w:vAlign w:val="bottom"/>
          </w:tcPr>
          <w:p>
            <w:pPr>
              <w:spacing w:after="0"/>
              <w:rPr>
                <w:sz w:val="1"/>
                <w:szCs w:val="1"/>
                <w:color w:val="auto"/>
              </w:rPr>
            </w:pPr>
          </w:p>
        </w:tc>
      </w:tr>
      <w:tr>
        <w:trPr>
          <w:trHeight w:val="216"/>
        </w:trPr>
        <w:tc>
          <w:tcPr>
            <w:tcW w:w="2240" w:type="dxa"/>
            <w:vAlign w:val="bottom"/>
            <w:tcBorders>
              <w:right w:val="single" w:sz="8" w:color="auto"/>
            </w:tcBorders>
            <w:vMerge w:val="restart"/>
            <w:shd w:val="clear" w:color="auto" w:fill="E6F3FA"/>
          </w:tcPr>
          <w:p>
            <w:pPr>
              <w:ind w:left="140"/>
              <w:spacing w:after="0"/>
              <w:rPr>
                <w:sz w:val="20"/>
                <w:szCs w:val="20"/>
                <w:color w:val="auto"/>
              </w:rPr>
            </w:pPr>
            <w:r>
              <w:rPr>
                <w:rFonts w:ascii="Times New Roman" w:cs="Times New Roman" w:eastAsia="Times New Roman" w:hAnsi="Times New Roman"/>
                <w:sz w:val="18"/>
                <w:szCs w:val="18"/>
                <w:color w:val="auto"/>
              </w:rPr>
              <w:t>ANB019 (anti-IL-36R)</w:t>
            </w:r>
          </w:p>
        </w:tc>
        <w:tc>
          <w:tcPr>
            <w:tcW w:w="520" w:type="dxa"/>
            <w:vAlign w:val="bottom"/>
            <w:shd w:val="clear" w:color="auto" w:fill="E6F3FA"/>
          </w:tcPr>
          <w:p>
            <w:pPr>
              <w:spacing w:after="0"/>
              <w:rPr>
                <w:sz w:val="18"/>
                <w:szCs w:val="18"/>
                <w:color w:val="auto"/>
              </w:rPr>
            </w:pPr>
          </w:p>
        </w:tc>
        <w:tc>
          <w:tcPr>
            <w:tcW w:w="6420" w:type="dxa"/>
            <w:vAlign w:val="bottom"/>
            <w:tcBorders>
              <w:right w:val="single" w:sz="8" w:color="auto"/>
            </w:tcBorders>
            <w:shd w:val="clear" w:color="auto" w:fill="E6F3FA"/>
          </w:tcPr>
          <w:p>
            <w:pPr>
              <w:spacing w:after="0"/>
              <w:rPr>
                <w:sz w:val="20"/>
                <w:szCs w:val="20"/>
                <w:color w:val="auto"/>
              </w:rPr>
            </w:pPr>
            <w:r>
              <w:rPr>
                <w:rFonts w:ascii="Times New Roman" w:cs="Times New Roman" w:eastAsia="Times New Roman" w:hAnsi="Times New Roman"/>
                <w:sz w:val="18"/>
                <w:szCs w:val="18"/>
                <w:color w:val="auto"/>
              </w:rPr>
              <w:t>GPP Phase 2 Initiation</w:t>
            </w:r>
          </w:p>
        </w:tc>
        <w:tc>
          <w:tcPr>
            <w:tcW w:w="1860" w:type="dxa"/>
            <w:vAlign w:val="bottom"/>
            <w:shd w:val="clear" w:color="auto" w:fill="E6F3FA"/>
          </w:tcPr>
          <w:p>
            <w:pPr>
              <w:ind w:left="32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68"/>
        </w:trPr>
        <w:tc>
          <w:tcPr>
            <w:tcW w:w="2240" w:type="dxa"/>
            <w:vAlign w:val="bottom"/>
            <w:tcBorders>
              <w:right w:val="single" w:sz="8" w:color="auto"/>
            </w:tcBorders>
            <w:vMerge w:val="continue"/>
            <w:shd w:val="clear" w:color="auto" w:fill="E6F3FA"/>
          </w:tcPr>
          <w:p>
            <w:pPr>
              <w:spacing w:after="0"/>
              <w:rPr>
                <w:sz w:val="5"/>
                <w:szCs w:val="5"/>
                <w:color w:val="auto"/>
              </w:rPr>
            </w:pPr>
          </w:p>
        </w:tc>
        <w:tc>
          <w:tcPr>
            <w:tcW w:w="520" w:type="dxa"/>
            <w:vAlign w:val="bottom"/>
            <w:shd w:val="clear" w:color="auto" w:fill="E6F3FA"/>
          </w:tcPr>
          <w:p>
            <w:pPr>
              <w:spacing w:after="0"/>
              <w:rPr>
                <w:sz w:val="5"/>
                <w:szCs w:val="5"/>
                <w:color w:val="auto"/>
              </w:rPr>
            </w:pPr>
          </w:p>
        </w:tc>
        <w:tc>
          <w:tcPr>
            <w:tcW w:w="6420" w:type="dxa"/>
            <w:vAlign w:val="bottom"/>
            <w:tcBorders>
              <w:right w:val="single" w:sz="8" w:color="auto"/>
            </w:tcBorders>
            <w:vMerge w:val="restart"/>
            <w:shd w:val="clear" w:color="auto" w:fill="E6F3FA"/>
          </w:tcPr>
          <w:p>
            <w:pPr>
              <w:spacing w:after="0"/>
              <w:rPr>
                <w:sz w:val="20"/>
                <w:szCs w:val="20"/>
                <w:color w:val="auto"/>
              </w:rPr>
            </w:pPr>
            <w:r>
              <w:rPr>
                <w:rFonts w:ascii="Times New Roman" w:cs="Times New Roman" w:eastAsia="Times New Roman" w:hAnsi="Times New Roman"/>
                <w:sz w:val="18"/>
                <w:szCs w:val="18"/>
                <w:color w:val="auto"/>
              </w:rPr>
              <w:t>PPP Phase 2 Initiation</w:t>
            </w:r>
          </w:p>
        </w:tc>
        <w:tc>
          <w:tcPr>
            <w:tcW w:w="1860" w:type="dxa"/>
            <w:vAlign w:val="bottom"/>
            <w:vMerge w:val="restart"/>
            <w:shd w:val="clear" w:color="auto" w:fill="E6F3FA"/>
          </w:tcPr>
          <w:p>
            <w:pPr>
              <w:ind w:left="32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67"/>
        </w:trPr>
        <w:tc>
          <w:tcPr>
            <w:tcW w:w="2240" w:type="dxa"/>
            <w:vAlign w:val="bottom"/>
            <w:tcBorders>
              <w:right w:val="single" w:sz="8" w:color="auto"/>
            </w:tcBorders>
            <w:shd w:val="clear" w:color="auto" w:fill="E6F3FA"/>
          </w:tcPr>
          <w:p>
            <w:pPr>
              <w:spacing w:after="0"/>
              <w:rPr>
                <w:sz w:val="14"/>
                <w:szCs w:val="14"/>
                <w:color w:val="auto"/>
              </w:rPr>
            </w:pPr>
          </w:p>
        </w:tc>
        <w:tc>
          <w:tcPr>
            <w:tcW w:w="520" w:type="dxa"/>
            <w:vAlign w:val="bottom"/>
            <w:shd w:val="clear" w:color="auto" w:fill="E6F3FA"/>
          </w:tcPr>
          <w:p>
            <w:pPr>
              <w:spacing w:after="0"/>
              <w:rPr>
                <w:sz w:val="14"/>
                <w:szCs w:val="14"/>
                <w:color w:val="auto"/>
              </w:rPr>
            </w:pPr>
          </w:p>
        </w:tc>
        <w:tc>
          <w:tcPr>
            <w:tcW w:w="6420" w:type="dxa"/>
            <w:vAlign w:val="bottom"/>
            <w:tcBorders>
              <w:right w:val="single" w:sz="8" w:color="auto"/>
            </w:tcBorders>
            <w:vMerge w:val="continue"/>
            <w:shd w:val="clear" w:color="auto" w:fill="E6F3FA"/>
          </w:tcPr>
          <w:p>
            <w:pPr>
              <w:spacing w:after="0"/>
              <w:rPr>
                <w:sz w:val="14"/>
                <w:szCs w:val="14"/>
                <w:color w:val="auto"/>
              </w:rPr>
            </w:pPr>
          </w:p>
        </w:tc>
        <w:tc>
          <w:tcPr>
            <w:tcW w:w="1860" w:type="dxa"/>
            <w:vAlign w:val="bottom"/>
            <w:vMerge w:val="continue"/>
            <w:shd w:val="clear" w:color="auto" w:fill="E6F3FA"/>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240" w:type="dxa"/>
            <w:vAlign w:val="bottom"/>
            <w:tcBorders>
              <w:bottom w:val="single" w:sz="8" w:color="auto"/>
              <w:right w:val="single" w:sz="8" w:color="auto"/>
            </w:tcBorders>
            <w:shd w:val="clear" w:color="auto" w:fill="E6F3FA"/>
          </w:tcPr>
          <w:p>
            <w:pPr>
              <w:spacing w:after="0"/>
              <w:rPr>
                <w:sz w:val="10"/>
                <w:szCs w:val="10"/>
                <w:color w:val="auto"/>
              </w:rPr>
            </w:pPr>
          </w:p>
        </w:tc>
        <w:tc>
          <w:tcPr>
            <w:tcW w:w="520" w:type="dxa"/>
            <w:vAlign w:val="bottom"/>
            <w:tcBorders>
              <w:bottom w:val="single" w:sz="8" w:color="auto"/>
            </w:tcBorders>
            <w:shd w:val="clear" w:color="auto" w:fill="E6F3FA"/>
          </w:tcPr>
          <w:p>
            <w:pPr>
              <w:spacing w:after="0"/>
              <w:rPr>
                <w:sz w:val="10"/>
                <w:szCs w:val="10"/>
                <w:color w:val="auto"/>
              </w:rPr>
            </w:pPr>
          </w:p>
        </w:tc>
        <w:tc>
          <w:tcPr>
            <w:tcW w:w="6420" w:type="dxa"/>
            <w:vAlign w:val="bottom"/>
            <w:tcBorders>
              <w:bottom w:val="single" w:sz="8" w:color="auto"/>
              <w:right w:val="single" w:sz="8" w:color="auto"/>
            </w:tcBorders>
            <w:shd w:val="clear" w:color="auto" w:fill="E6F3FA"/>
          </w:tcPr>
          <w:p>
            <w:pPr>
              <w:spacing w:after="0"/>
              <w:rPr>
                <w:sz w:val="10"/>
                <w:szCs w:val="10"/>
                <w:color w:val="auto"/>
              </w:rPr>
            </w:pPr>
          </w:p>
        </w:tc>
        <w:tc>
          <w:tcPr>
            <w:tcW w:w="1860" w:type="dxa"/>
            <w:vAlign w:val="bottom"/>
            <w:tcBorders>
              <w:bottom w:val="single" w:sz="8" w:color="auto"/>
            </w:tcBorders>
            <w:shd w:val="clear" w:color="auto" w:fill="E6F3FA"/>
          </w:tcPr>
          <w:p>
            <w:pPr>
              <w:spacing w:after="0"/>
              <w:rPr>
                <w:sz w:val="10"/>
                <w:szCs w:val="1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63" w:lineRule="exact"/>
        <w:rPr>
          <w:sz w:val="20"/>
          <w:szCs w:val="20"/>
          <w:color w:val="auto"/>
        </w:rPr>
      </w:pPr>
    </w:p>
    <w:p>
      <w:pPr>
        <w:ind w:left="840" w:right="120" w:hanging="211"/>
        <w:spacing w:after="0" w:line="262"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our wholly-owned lead product candidates to clinical milestones. </w:t>
      </w:r>
      <w:r>
        <w:rPr>
          <w:rFonts w:ascii="Times New Roman" w:cs="Times New Roman" w:eastAsia="Times New Roman" w:hAnsi="Times New Roman"/>
          <w:sz w:val="18"/>
          <w:szCs w:val="18"/>
          <w:color w:val="auto"/>
        </w:rPr>
        <w:t>We are working to demonstrate the safety and efficacy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wholly-owned pipeline programs, and have completed a Phase 1 trial of ANB020 in healthy volunteers in Australia, which we believe has demonstrated favorable safety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pharmacodynamic properties. We are conducting multiple Phase 2a trials of ANB020: top-line results from a Phase 2a trial in patients with moderate-to-severe adult atopic dermatitis are</w:t>
      </w: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240" w:top="455" w:right="4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5509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5098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60" w:right="60"/>
        <w:spacing w:after="0" w:line="258" w:lineRule="auto"/>
        <w:rPr>
          <w:sz w:val="20"/>
          <w:szCs w:val="20"/>
          <w:color w:val="auto"/>
        </w:rPr>
      </w:pPr>
      <w:r>
        <w:rPr>
          <w:rFonts w:ascii="Times New Roman" w:cs="Times New Roman" w:eastAsia="Times New Roman" w:hAnsi="Times New Roman"/>
          <w:sz w:val="18"/>
          <w:szCs w:val="18"/>
          <w:color w:val="auto"/>
        </w:rPr>
        <w:t>anticipated during the second half of 2017; top-line data from a Phase 2a trial in patients with severe adult peanut allergy are anticipated in the fourth quarter of 2017; and top-line data from a Phase 2a trial in patients with severe adult eosinophilic asthma are anticipated during the first half of 2018. We are currently conducting, under an approved CTN, a Phase 1 clinical trial in healthy volunteers to assess the safety, pharmacokinetics and pharmacodynamics of ANB019 and anticipate announcing top-line data from this trial during the fourth quarter of 2017. We subsequently plan to seek regulatory clearance to initiate Phase 2 studies of ANB019 in GPP and PPP patients during 2018.</w:t>
      </w:r>
    </w:p>
    <w:p>
      <w:pPr>
        <w:spacing w:after="0" w:line="85" w:lineRule="exact"/>
        <w:rPr>
          <w:sz w:val="20"/>
          <w:szCs w:val="20"/>
          <w:color w:val="auto"/>
        </w:rPr>
      </w:pPr>
    </w:p>
    <w:p>
      <w:pPr>
        <w:ind w:left="840" w:right="40" w:hanging="211"/>
        <w:spacing w:after="0" w:line="26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Continuing to expand our proprietary pipeline by generating new product candidates using our technology platform. </w:t>
      </w:r>
      <w:r>
        <w:rPr>
          <w:rFonts w:ascii="Times New Roman" w:cs="Times New Roman" w:eastAsia="Times New Roman" w:hAnsi="Times New Roman"/>
          <w:sz w:val="18"/>
          <w:szCs w:val="18"/>
          <w:color w:val="auto"/>
        </w:rPr>
        <w:t>Using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82" w:lineRule="exact"/>
        <w:rPr>
          <w:rFonts w:ascii="Times New Roman" w:cs="Times New Roman" w:eastAsia="Times New Roman" w:hAnsi="Times New Roman"/>
          <w:sz w:val="18"/>
          <w:szCs w:val="18"/>
          <w:color w:val="auto"/>
        </w:rPr>
      </w:pPr>
    </w:p>
    <w:p>
      <w:pPr>
        <w:ind w:left="840" w:right="160" w:hanging="211"/>
        <w:spacing w:after="0" w:line="259"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Identifying emerging opportunities in key therapeutic areas. </w:t>
      </w:r>
      <w:r>
        <w:rPr>
          <w:rFonts w:ascii="Times New Roman" w:cs="Times New Roman" w:eastAsia="Times New Roman" w:hAnsi="Times New Roman"/>
          <w:sz w:val="18"/>
          <w:szCs w:val="18"/>
          <w:color w:val="auto"/>
        </w:rPr>
        <w:t>We intend to remain at the forefront of discovery and development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85" w:lineRule="exact"/>
        <w:rPr>
          <w:rFonts w:ascii="Times New Roman" w:cs="Times New Roman" w:eastAsia="Times New Roman" w:hAnsi="Times New Roman"/>
          <w:sz w:val="18"/>
          <w:szCs w:val="18"/>
          <w:color w:val="auto"/>
        </w:rPr>
      </w:pPr>
    </w:p>
    <w:p>
      <w:pPr>
        <w:ind w:left="840" w:right="260" w:hanging="211"/>
        <w:spacing w:after="0" w:line="262"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Retaining rights to strategic products in key commercial markets. </w:t>
      </w:r>
      <w:r>
        <w:rPr>
          <w:rFonts w:ascii="Times New Roman" w:cs="Times New Roman" w:eastAsia="Times New Roman" w:hAnsi="Times New Roman"/>
          <w:sz w:val="18"/>
          <w:szCs w:val="18"/>
          <w:color w:val="auto"/>
        </w:rPr>
        <w:t>We intend to retain ownership and control of our pipeline programs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preclinical and clinical data inflection points. We may build sales and marketing capabilities in the United States with a focused commercial organization. For certain programs, we plan to seek strategic collaborations that provide us with funding, infrastructure and marketing resources to advance through development and commercialization.</w:t>
      </w:r>
    </w:p>
    <w:p>
      <w:pPr>
        <w:spacing w:after="0" w:line="2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Risks Affecting Us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and incorporated by reference in the section titled “Risk</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Factors” immediately following this prospectus summary. These risks include, among others, the following:</w:t>
      </w:r>
    </w:p>
    <w:p>
      <w:pPr>
        <w:spacing w:after="0" w:line="112" w:lineRule="exact"/>
        <w:rPr>
          <w:sz w:val="20"/>
          <w:szCs w:val="20"/>
          <w:color w:val="auto"/>
        </w:rPr>
      </w:pPr>
    </w:p>
    <w:p>
      <w:pPr>
        <w:jc w:val="both"/>
        <w:ind w:left="840" w:right="160" w:hanging="211"/>
        <w:spacing w:after="0" w:line="266"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1" w:lineRule="exact"/>
        <w:rPr>
          <w:rFonts w:ascii="Times New Roman" w:cs="Times New Roman" w:eastAsia="Times New Roman" w:hAnsi="Times New Roman"/>
          <w:sz w:val="18"/>
          <w:szCs w:val="18"/>
          <w:color w:val="auto"/>
        </w:rPr>
      </w:pPr>
    </w:p>
    <w:p>
      <w:pPr>
        <w:ind w:left="840" w:hanging="211"/>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limited data regarding the safety profile of our wholly-owned product candidates when dosed in humans. Our ongoing and planned clinical trials or those of our collaborators may demonstrate limited efficacy or reveal significant adverse events, toxicities or other side effects and may result in an efficacy or safety profile that could inhibit regulatory approval or market acceptance of any of our product candidates.</w:t>
      </w:r>
    </w:p>
    <w:p>
      <w:pPr>
        <w:spacing w:after="0" w:line="85" w:lineRule="exact"/>
        <w:rPr>
          <w:rFonts w:ascii="Times New Roman" w:cs="Times New Roman" w:eastAsia="Times New Roman" w:hAnsi="Times New Roman"/>
          <w:sz w:val="18"/>
          <w:szCs w:val="18"/>
          <w:color w:val="auto"/>
        </w:rPr>
      </w:pPr>
    </w:p>
    <w:p>
      <w:pPr>
        <w:ind w:left="840" w:right="200" w:hanging="211"/>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67" w:lineRule="exact"/>
        <w:rPr>
          <w:rFonts w:ascii="Times New Roman" w:cs="Times New Roman" w:eastAsia="Times New Roman" w:hAnsi="Times New Roman"/>
          <w:sz w:val="18"/>
          <w:szCs w:val="18"/>
          <w:color w:val="auto"/>
        </w:rPr>
      </w:pPr>
    </w:p>
    <w:p>
      <w:pPr>
        <w:ind w:left="840" w:right="240" w:hanging="211"/>
        <w:spacing w:after="0" w:line="282"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technology platform to expand our pipeline of product candidates and develop marketable products.</w:t>
      </w: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5793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40" w:right="280" w:hanging="211"/>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recently commenced clinical development of ANB019 and ANB020 and have no other history of conducting clinical trials or commercializing biotechnology products, which may make it difficult to evaluate the prospects for our future viability.</w:t>
      </w:r>
    </w:p>
    <w:p>
      <w:pPr>
        <w:spacing w:after="0" w:line="67" w:lineRule="exact"/>
        <w:rPr>
          <w:rFonts w:ascii="Times New Roman" w:cs="Times New Roman" w:eastAsia="Times New Roman" w:hAnsi="Times New Roman"/>
          <w:sz w:val="18"/>
          <w:szCs w:val="18"/>
          <w:color w:val="auto"/>
        </w:rPr>
      </w:pPr>
    </w:p>
    <w:p>
      <w:pPr>
        <w:ind w:left="840" w:right="220" w:hanging="211"/>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7" w:lineRule="exact"/>
        <w:rPr>
          <w:rFonts w:ascii="Times New Roman" w:cs="Times New Roman" w:eastAsia="Times New Roman" w:hAnsi="Times New Roman"/>
          <w:sz w:val="18"/>
          <w:szCs w:val="18"/>
          <w:color w:val="auto"/>
        </w:rPr>
      </w:pPr>
    </w:p>
    <w:p>
      <w:pPr>
        <w:ind w:left="840" w:right="160" w:hanging="211"/>
        <w:spacing w:after="0" w:line="266"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1" w:lineRule="exact"/>
        <w:rPr>
          <w:rFonts w:ascii="Times New Roman" w:cs="Times New Roman" w:eastAsia="Times New Roman" w:hAnsi="Times New Roman"/>
          <w:sz w:val="18"/>
          <w:szCs w:val="18"/>
          <w:color w:val="auto"/>
        </w:rPr>
      </w:pPr>
    </w:p>
    <w:p>
      <w:pPr>
        <w:ind w:left="840" w:right="60" w:hanging="211"/>
        <w:spacing w:after="0" w:line="266"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1" w:lineRule="exact"/>
        <w:rPr>
          <w:rFonts w:ascii="Times New Roman" w:cs="Times New Roman" w:eastAsia="Times New Roman" w:hAnsi="Times New Roman"/>
          <w:sz w:val="18"/>
          <w:szCs w:val="18"/>
          <w:color w:val="auto"/>
        </w:rPr>
      </w:pPr>
    </w:p>
    <w:p>
      <w:pPr>
        <w:ind w:left="840" w:right="560" w:hanging="211"/>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7" w:lineRule="exact"/>
        <w:rPr>
          <w:rFonts w:ascii="Times New Roman" w:cs="Times New Roman" w:eastAsia="Times New Roman" w:hAnsi="Times New Roman"/>
          <w:sz w:val="18"/>
          <w:szCs w:val="18"/>
          <w:color w:val="auto"/>
        </w:rPr>
      </w:pPr>
    </w:p>
    <w:p>
      <w:pPr>
        <w:ind w:left="840" w:hanging="211"/>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80" w:lineRule="exact"/>
        <w:rPr>
          <w:sz w:val="20"/>
          <w:szCs w:val="20"/>
          <w:color w:val="auto"/>
        </w:rPr>
      </w:pPr>
    </w:p>
    <w:p>
      <w:pPr>
        <w:ind w:left="200" w:right="120" w:firstLine="441"/>
        <w:spacing w:after="0" w:line="282" w:lineRule="auto"/>
        <w:rPr>
          <w:sz w:val="20"/>
          <w:szCs w:val="20"/>
          <w:color w:val="auto"/>
        </w:rPr>
      </w:pPr>
      <w:r>
        <w:rPr>
          <w:rFonts w:ascii="Times New Roman" w:cs="Times New Roman" w:eastAsia="Times New Roman" w:hAnsi="Times New Roman"/>
          <w:sz w:val="18"/>
          <w:szCs w:val="18"/>
          <w:color w:val="auto"/>
        </w:rPr>
        <w:t>The mark “AnaptysBio” is our common law trademark. All other service marks, trademarks and trade names appearing in this prospectus are the property of their respective owners.</w:t>
      </w: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left="200" w:right="200" w:firstLine="441"/>
        <w:spacing w:after="0" w:line="266"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82" w:lineRule="exact"/>
        <w:rPr>
          <w:sz w:val="20"/>
          <w:szCs w:val="20"/>
          <w:color w:val="auto"/>
        </w:rPr>
      </w:pPr>
    </w:p>
    <w:p>
      <w:pPr>
        <w:ind w:left="840" w:right="200" w:hanging="211"/>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or the Sarbanes-Oxley Act;</w:t>
      </w:r>
    </w:p>
    <w:p>
      <w:pPr>
        <w:spacing w:after="0" w:line="67" w:lineRule="exact"/>
        <w:rPr>
          <w:rFonts w:ascii="Times New Roman" w:cs="Times New Roman" w:eastAsia="Times New Roman" w:hAnsi="Times New Roman"/>
          <w:sz w:val="18"/>
          <w:szCs w:val="18"/>
          <w:color w:val="auto"/>
        </w:rPr>
      </w:pPr>
    </w:p>
    <w:p>
      <w:pPr>
        <w:ind w:left="840" w:hanging="211"/>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30" w:lineRule="exact"/>
        <w:rPr>
          <w:rFonts w:ascii="Times New Roman" w:cs="Times New Roman" w:eastAsia="Times New Roman" w:hAnsi="Times New Roman"/>
          <w:sz w:val="18"/>
          <w:szCs w:val="18"/>
          <w:color w:val="auto"/>
        </w:rPr>
      </w:pPr>
    </w:p>
    <w:p>
      <w:pPr>
        <w:ind w:left="840" w:right="160" w:hanging="211"/>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2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24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2019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01930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right="80" w:firstLine="441"/>
        <w:spacing w:after="0" w:line="261" w:lineRule="auto"/>
        <w:rPr>
          <w:sz w:val="20"/>
          <w:szCs w:val="20"/>
          <w:color w:val="auto"/>
        </w:rPr>
      </w:pPr>
      <w:r>
        <w:rPr>
          <w:rFonts w:ascii="Times New Roman" w:cs="Times New Roman" w:eastAsia="Times New Roman" w:hAnsi="Times New Roman"/>
          <w:sz w:val="18"/>
          <w:szCs w:val="18"/>
          <w:color w:val="auto"/>
        </w:rPr>
        <w:t>We may use these provisions until the last day of our fiscal year following the fifth anniversary of the closing of our initial public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80" w:lineRule="exact"/>
        <w:rPr>
          <w:sz w:val="20"/>
          <w:szCs w:val="20"/>
          <w:color w:val="auto"/>
        </w:rPr>
      </w:pPr>
    </w:p>
    <w:p>
      <w:pPr>
        <w:ind w:left="200" w:right="20" w:firstLine="441"/>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the documents incorporated herein by reference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0"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28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240" w:top="455"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5689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68960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offered by us</w:t>
            </w:r>
          </w:p>
        </w:tc>
        <w:tc>
          <w:tcPr>
            <w:tcW w:w="44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7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 to be offered by us</w:t>
            </w:r>
          </w:p>
        </w:tc>
        <w:tc>
          <w:tcPr>
            <w:tcW w:w="44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to be outstanding immediately</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after this offering</w:t>
            </w:r>
          </w:p>
        </w:tc>
        <w:tc>
          <w:tcPr>
            <w:tcW w:w="44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w:t>
            </w:r>
          </w:p>
        </w:tc>
        <w:tc>
          <w:tcPr>
            <w:tcW w:w="5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shares if the underwriters exercise their option to purchase additional</w:t>
            </w:r>
          </w:p>
        </w:tc>
      </w:tr>
      <w:tr>
        <w:trPr>
          <w:trHeight w:val="234"/>
        </w:trPr>
        <w:tc>
          <w:tcPr>
            <w:tcW w:w="41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in full).</w:t>
            </w:r>
          </w:p>
        </w:tc>
        <w:tc>
          <w:tcPr>
            <w:tcW w:w="3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(or</w:t>
            </w:r>
          </w:p>
        </w:tc>
      </w:tr>
      <w:tr>
        <w:trPr>
          <w:trHeight w:val="216"/>
        </w:trPr>
        <w:tc>
          <w:tcPr>
            <w:tcW w:w="410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approximately $</w:t>
            </w:r>
          </w:p>
        </w:tc>
        <w:tc>
          <w:tcPr>
            <w:tcW w:w="5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million if the underwriters exercise their option to purchase additional</w:t>
            </w:r>
          </w:p>
        </w:tc>
      </w:tr>
      <w:tr>
        <w:trPr>
          <w:trHeight w:val="216"/>
        </w:trPr>
        <w:tc>
          <w:tcPr>
            <w:tcW w:w="4100" w:type="dxa"/>
            <w:vAlign w:val="bottom"/>
          </w:tcPr>
          <w:p>
            <w:pPr>
              <w:spacing w:after="0"/>
              <w:rPr>
                <w:sz w:val="18"/>
                <w:szCs w:val="18"/>
                <w:color w:val="auto"/>
              </w:rPr>
            </w:pPr>
          </w:p>
        </w:tc>
        <w:tc>
          <w:tcPr>
            <w:tcW w:w="4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shares in full), based upon the assumed public offering price of $</w:t>
            </w: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 share, the last</w:t>
            </w:r>
          </w:p>
        </w:tc>
      </w:tr>
      <w:tr>
        <w:trPr>
          <w:trHeight w:val="216"/>
        </w:trPr>
        <w:tc>
          <w:tcPr>
            <w:tcW w:w="4100" w:type="dxa"/>
            <w:vAlign w:val="bottom"/>
          </w:tcPr>
          <w:p>
            <w:pPr>
              <w:spacing w:after="0"/>
              <w:rPr>
                <w:sz w:val="18"/>
                <w:szCs w:val="18"/>
                <w:color w:val="auto"/>
              </w:rPr>
            </w:pP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reported sale price of our common stock on The NASDAQ Global Select Market</w:t>
            </w:r>
          </w:p>
        </w:tc>
        <w:tc>
          <w:tcPr>
            <w:tcW w:w="94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w:t>
            </w:r>
          </w:p>
        </w:tc>
        <w:tc>
          <w:tcPr>
            <w:tcW w:w="64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2017, after deducting the estimated underwriting discounts and commissions</w:t>
            </w:r>
          </w:p>
        </w:tc>
      </w:tr>
      <w:tr>
        <w:trPr>
          <w:trHeight w:val="234"/>
        </w:trPr>
        <w:tc>
          <w:tcPr>
            <w:tcW w:w="4100" w:type="dxa"/>
            <w:vAlign w:val="bottom"/>
          </w:tcPr>
          <w:p>
            <w:pPr>
              <w:spacing w:after="0"/>
              <w:rPr>
                <w:sz w:val="20"/>
                <w:szCs w:val="20"/>
                <w:color w:val="auto"/>
              </w:rPr>
            </w:pPr>
          </w:p>
        </w:tc>
        <w:tc>
          <w:tcPr>
            <w:tcW w:w="4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estimated offering expenses payable by us.</w:t>
            </w: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1"/>
        </w:trPr>
        <w:tc>
          <w:tcPr>
            <w:tcW w:w="4100" w:type="dxa"/>
            <w:vAlign w:val="bottom"/>
          </w:tcPr>
          <w:p>
            <w:pPr>
              <w:spacing w:after="0"/>
              <w:rPr>
                <w:sz w:val="24"/>
                <w:szCs w:val="24"/>
                <w:color w:val="auto"/>
              </w:rPr>
            </w:pPr>
          </w:p>
        </w:tc>
        <w:tc>
          <w:tcPr>
            <w:tcW w:w="68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We intend to use the net proceeds that we receive in this offering to fund research and</w:t>
            </w:r>
          </w:p>
        </w:tc>
      </w:tr>
      <w:tr>
        <w:trPr>
          <w:trHeight w:val="216"/>
        </w:trPr>
        <w:tc>
          <w:tcPr>
            <w:tcW w:w="4100" w:type="dxa"/>
            <w:vAlign w:val="bottom"/>
          </w:tcPr>
          <w:p>
            <w:pPr>
              <w:spacing w:after="0"/>
              <w:rPr>
                <w:sz w:val="18"/>
                <w:szCs w:val="18"/>
                <w:color w:val="auto"/>
              </w:rPr>
            </w:pPr>
          </w:p>
        </w:tc>
        <w:tc>
          <w:tcPr>
            <w:tcW w:w="68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development activities for our clinical development programs, our ongoing preclinical,</w:t>
            </w:r>
          </w:p>
        </w:tc>
      </w:tr>
      <w:tr>
        <w:trPr>
          <w:trHeight w:val="216"/>
        </w:trPr>
        <w:tc>
          <w:tcPr>
            <w:tcW w:w="4100" w:type="dxa"/>
            <w:vAlign w:val="bottom"/>
          </w:tcPr>
          <w:p>
            <w:pPr>
              <w:spacing w:after="0"/>
              <w:rPr>
                <w:sz w:val="18"/>
                <w:szCs w:val="18"/>
                <w:color w:val="auto"/>
              </w:rPr>
            </w:pPr>
          </w:p>
        </w:tc>
        <w:tc>
          <w:tcPr>
            <w:tcW w:w="68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discovery and research programs, and for working capital and other general corporate</w:t>
            </w:r>
          </w:p>
        </w:tc>
      </w:tr>
      <w:tr>
        <w:trPr>
          <w:trHeight w:val="216"/>
        </w:trPr>
        <w:tc>
          <w:tcPr>
            <w:tcW w:w="4100" w:type="dxa"/>
            <w:vAlign w:val="bottom"/>
          </w:tcPr>
          <w:p>
            <w:pPr>
              <w:spacing w:after="0"/>
              <w:rPr>
                <w:sz w:val="18"/>
                <w:szCs w:val="18"/>
                <w:color w:val="auto"/>
              </w:rPr>
            </w:pPr>
          </w:p>
        </w:tc>
        <w:tc>
          <w:tcPr>
            <w:tcW w:w="68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purposes. We may use a portion of the proceeds to acquire other complementary businesses or</w:t>
            </w:r>
          </w:p>
        </w:tc>
      </w:tr>
      <w:tr>
        <w:trPr>
          <w:trHeight w:val="216"/>
        </w:trPr>
        <w:tc>
          <w:tcPr>
            <w:tcW w:w="4100" w:type="dxa"/>
            <w:vAlign w:val="bottom"/>
          </w:tcPr>
          <w:p>
            <w:pPr>
              <w:spacing w:after="0"/>
              <w:rPr>
                <w:sz w:val="18"/>
                <w:szCs w:val="18"/>
                <w:color w:val="auto"/>
              </w:rPr>
            </w:pPr>
          </w:p>
        </w:tc>
        <w:tc>
          <w:tcPr>
            <w:tcW w:w="68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technologies, although we have no present commitments or agreements to do so. See “Use of</w:t>
            </w:r>
          </w:p>
        </w:tc>
      </w:tr>
      <w:tr>
        <w:trPr>
          <w:trHeight w:val="234"/>
        </w:trPr>
        <w:tc>
          <w:tcPr>
            <w:tcW w:w="4100" w:type="dxa"/>
            <w:vAlign w:val="bottom"/>
          </w:tcPr>
          <w:p>
            <w:pPr>
              <w:spacing w:after="0"/>
              <w:rPr>
                <w:sz w:val="20"/>
                <w:szCs w:val="20"/>
                <w:color w:val="auto"/>
              </w:rPr>
            </w:pPr>
          </w:p>
        </w:tc>
        <w:tc>
          <w:tcPr>
            <w:tcW w:w="68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Proceeds” for a more complete description of the intended use of proceeds from this offering.</w:t>
            </w:r>
          </w:p>
        </w:tc>
      </w:tr>
      <w:tr>
        <w:trPr>
          <w:trHeight w:val="44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8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for a discussion of factors to</w:t>
            </w:r>
          </w:p>
        </w:tc>
      </w:tr>
      <w:tr>
        <w:trPr>
          <w:trHeight w:val="234"/>
        </w:trPr>
        <w:tc>
          <w:tcPr>
            <w:tcW w:w="4100" w:type="dxa"/>
            <w:vAlign w:val="bottom"/>
          </w:tcPr>
          <w:p>
            <w:pPr>
              <w:spacing w:after="0"/>
              <w:rPr>
                <w:sz w:val="20"/>
                <w:szCs w:val="20"/>
                <w:color w:val="auto"/>
              </w:rPr>
            </w:pPr>
          </w:p>
        </w:tc>
        <w:tc>
          <w:tcPr>
            <w:tcW w:w="5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consider carefully before deciding to invest in shares of our common stock.</w:t>
            </w:r>
          </w:p>
        </w:tc>
        <w:tc>
          <w:tcPr>
            <w:tcW w:w="940" w:type="dxa"/>
            <w:vAlign w:val="bottom"/>
          </w:tcPr>
          <w:p>
            <w:pPr>
              <w:spacing w:after="0"/>
              <w:rPr>
                <w:sz w:val="20"/>
                <w:szCs w:val="20"/>
                <w:color w:val="auto"/>
              </w:rPr>
            </w:pPr>
          </w:p>
        </w:tc>
      </w:tr>
      <w:tr>
        <w:trPr>
          <w:trHeight w:val="45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“ANAB”</w:t>
            </w:r>
          </w:p>
        </w:tc>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11" w:lineRule="exact"/>
        <w:rPr>
          <w:sz w:val="20"/>
          <w:szCs w:val="20"/>
          <w:color w:val="auto"/>
        </w:rPr>
      </w:pPr>
    </w:p>
    <w:p>
      <w:pPr>
        <w:ind w:left="200" w:firstLine="441"/>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20,289,907 shares of our common stock outstanding as of June 30, 2017, and excludes:</w:t>
      </w:r>
    </w:p>
    <w:p>
      <w:pPr>
        <w:spacing w:after="0" w:line="67" w:lineRule="exact"/>
        <w:rPr>
          <w:sz w:val="20"/>
          <w:szCs w:val="20"/>
          <w:color w:val="auto"/>
        </w:rPr>
      </w:pPr>
    </w:p>
    <w:p>
      <w:pPr>
        <w:ind w:left="840" w:right="340" w:hanging="211"/>
        <w:spacing w:after="0" w:line="28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2,643,180 shares of common stock issuable upon the exercise of options outstanding as of June 30, 2017, with a weighted-average exercise price of $10.62 per share;</w:t>
      </w:r>
    </w:p>
    <w:p>
      <w:pPr>
        <w:spacing w:after="0" w:line="67" w:lineRule="exact"/>
        <w:rPr>
          <w:rFonts w:ascii="Times New Roman" w:cs="Times New Roman" w:eastAsia="Times New Roman" w:hAnsi="Times New Roman"/>
          <w:sz w:val="18"/>
          <w:szCs w:val="18"/>
          <w:color w:val="auto"/>
        </w:rPr>
      </w:pPr>
    </w:p>
    <w:p>
      <w:pPr>
        <w:ind w:left="840" w:right="280" w:hanging="211"/>
        <w:spacing w:after="0" w:line="28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55,715 shares of common stock issuable upon the exercise of options granted after June 30, 2017, with a weighted-average exercise price of $21.61 per share;</w:t>
      </w:r>
    </w:p>
    <w:p>
      <w:pPr>
        <w:spacing w:after="0" w:line="67" w:lineRule="exact"/>
        <w:rPr>
          <w:rFonts w:ascii="Times New Roman" w:cs="Times New Roman" w:eastAsia="Times New Roman" w:hAnsi="Times New Roman"/>
          <w:sz w:val="18"/>
          <w:szCs w:val="18"/>
          <w:color w:val="auto"/>
        </w:rPr>
      </w:pPr>
    </w:p>
    <w:p>
      <w:pPr>
        <w:ind w:left="840" w:right="280" w:hanging="211"/>
        <w:spacing w:after="0" w:line="28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198,009 shares of our common stock issuable upon exercise of warrants outstanding as of June 30, 2017, with an exercise price of $4.55 per share; and</w:t>
      </w: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1470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147066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840" w:hanging="211"/>
        <w:spacing w:after="0" w:line="25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1,462,014 shares of common stock reserved for future issuance under our stock-based compensation plans as of June 30, 2017,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note 8 of the notes to our unaudited consolidated financial statements included in our Quarterly Report on Form 10-Q for the period ended June 30, 2017.</w:t>
      </w:r>
    </w:p>
    <w:p>
      <w:pPr>
        <w:spacing w:after="0" w:line="188" w:lineRule="exact"/>
        <w:rPr>
          <w:sz w:val="20"/>
          <w:szCs w:val="20"/>
          <w:color w:val="auto"/>
        </w:rPr>
      </w:pPr>
    </w:p>
    <w:p>
      <w:pPr>
        <w:ind w:left="200" w:right="300" w:firstLine="441"/>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no exercise of outstanding options or warrants and no exercise of the underwriters’ option to purchase additional shares.</w:t>
      </w:r>
    </w:p>
    <w:p>
      <w:pPr>
        <w:spacing w:after="0" w:line="2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24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5706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200" w:right="200" w:firstLine="441"/>
        <w:spacing w:after="0" w:line="254" w:lineRule="auto"/>
        <w:rPr>
          <w:sz w:val="20"/>
          <w:szCs w:val="20"/>
          <w:color w:val="auto"/>
        </w:rPr>
      </w:pPr>
      <w:r>
        <w:rPr>
          <w:rFonts w:ascii="Times New Roman" w:cs="Times New Roman" w:eastAsia="Times New Roman" w:hAnsi="Times New Roman"/>
          <w:sz w:val="18"/>
          <w:szCs w:val="18"/>
          <w:color w:val="auto"/>
        </w:rPr>
        <w:t>The summary consolidated statements of operations data presented below for the years ended December 31, 2014, 2015 and 2016 are derived from our audited financial statements incorporated by reference into this prospectus. The selected consolidated statements of operations data for the six months ended June 30, 2016 and 2017 and the summary consolidated balance sheet data as of June 30, 2017 have been derived from our unaudited consolidated financial statements incorporated by reference into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following summary consolidated financial data should be read with “Management’s Discussion and Analysis of Financial Condition and Results of Operations” and our financial statements and related notes incorporated by reference into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incorporated by reference into this prospectus.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2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4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15,838</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17,571</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16,684</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10,716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15,419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20,893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19,709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(3,322)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(3,025)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(12,543)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Other income (expense), net</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fair value of liability for preferred stock warrants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34"/>
        </w:trPr>
        <w:tc>
          <w:tcPr>
            <w:tcW w:w="5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(1,338)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(1,944)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(1,234)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1100"/>
              <w:spacing w:after="0" w:line="205"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3,532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1"/>
              </w:rPr>
              <w:t>(5,266)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1"/>
              </w:rPr>
              <w:t>(4,259)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1,434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7"/>
              </w:rPr>
              <w:t>(14,119)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240" w:type="dxa"/>
            <w:vAlign w:val="bottom"/>
          </w:tcPr>
          <w:p>
            <w:pPr>
              <w:ind w:left="740"/>
              <w:spacing w:after="0" w:line="205" w:lineRule="exact"/>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3,532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1"/>
              </w:rPr>
              <w:t>(5,405)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1"/>
              </w:rPr>
              <w:t>(4,259)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1,434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7"/>
              </w:rPr>
              <w:t>(14,119)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attributed to participating securities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attributed to common stockholders</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(5,405)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(14,119)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available for sale securities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(14,178</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Net income (loss) per common share:(1)</w:t>
            </w: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 and diluted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5240" w:type="dxa"/>
            <w:vAlign w:val="bottom"/>
          </w:tcPr>
          <w:p>
            <w:pPr>
              <w:spacing w:after="0"/>
              <w:rPr>
                <w:sz w:val="24"/>
                <w:szCs w:val="24"/>
                <w:color w:val="auto"/>
              </w:rPr>
            </w:pPr>
          </w:p>
        </w:tc>
        <w:tc>
          <w:tcPr>
            <w:tcW w:w="15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0430" cy="4446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444627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Borders>
              <w:bottom w:val="single" w:sz="8" w:color="auto"/>
            </w:tcBorders>
            <w:gridSpan w:val="3"/>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40" w:type="dxa"/>
            <w:vAlign w:val="bottom"/>
            <w:gridSpan w:val="2"/>
          </w:tcPr>
          <w:p>
            <w:pPr>
              <w:jc w:val="center"/>
              <w:ind w:left="2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30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580" w:type="dxa"/>
            <w:vAlign w:val="bottom"/>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184"/>
        </w:trPr>
        <w:tc>
          <w:tcPr>
            <w:tcW w:w="6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outstanding:(1)</w:t>
            </w: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56"/>
        </w:trPr>
        <w:tc>
          <w:tcPr>
            <w:tcW w:w="68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17,797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17,797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20" w:right="360" w:hanging="424"/>
        <w:spacing w:after="0" w:line="266"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to our audited consolidated financial statements incorporated by reference in this prospectus for an explanation of the method used to calculate basic and diluted net income (loss) per common share and the weighted-average number of shares used in the computation of the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00" w:type="dxa"/>
            <w:vAlign w:val="bottom"/>
            <w:tcBorders>
              <w:top w:val="single" w:sz="8" w:color="auto"/>
            </w:tcBorders>
          </w:tcPr>
          <w:p>
            <w:pPr>
              <w:jc w:val="center"/>
              <w:ind w:left="305"/>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520" w:type="dxa"/>
            <w:vAlign w:val="bottom"/>
            <w:gridSpan w:val="2"/>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Adjusted(1)(2)</w:t>
            </w: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372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$106,359</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130,409</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10,987</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109,175</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2860" w:type="dxa"/>
            <w:vAlign w:val="bottom"/>
            <w:tcBorders>
              <w:bottom w:val="single" w:sz="8" w:color="auto"/>
            </w:tcBorders>
            <w:gridSpan w:val="2"/>
          </w:tcPr>
          <w:p>
            <w:pPr>
              <w:spacing w:after="0"/>
              <w:rPr>
                <w:sz w:val="11"/>
                <w:szCs w:val="11"/>
                <w:color w:val="auto"/>
              </w:rPr>
            </w:pPr>
          </w:p>
        </w:tc>
        <w:tc>
          <w:tcPr>
            <w:tcW w:w="2200" w:type="dxa"/>
            <w:vAlign w:val="bottom"/>
            <w:gridSpan w:val="3"/>
          </w:tcPr>
          <w:p>
            <w:pPr>
              <w:spacing w:after="0"/>
              <w:rPr>
                <w:sz w:val="11"/>
                <w:szCs w:val="11"/>
                <w:color w:val="auto"/>
              </w:rPr>
            </w:pPr>
          </w:p>
        </w:tc>
        <w:tc>
          <w:tcPr>
            <w:tcW w:w="616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526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(1)   The as adjusted balance sheet data give effect to the sale of</w:t>
            </w:r>
          </w:p>
        </w:tc>
        <w:tc>
          <w:tcPr>
            <w:tcW w:w="61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shares of common stock by us in this offering, based on an assumed public</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offering price of $</w:t>
            </w:r>
          </w:p>
        </w:tc>
        <w:tc>
          <w:tcPr>
            <w:tcW w:w="7720" w:type="dxa"/>
            <w:vAlign w:val="bottom"/>
            <w:gridSpan w:val="7"/>
          </w:tcPr>
          <w:p>
            <w:pPr>
              <w:jc w:val="right"/>
              <w:ind w:right="168"/>
              <w:spacing w:after="0"/>
              <w:rPr>
                <w:sz w:val="20"/>
                <w:szCs w:val="20"/>
                <w:color w:val="auto"/>
              </w:rPr>
            </w:pPr>
            <w:r>
              <w:rPr>
                <w:rFonts w:ascii="Times New Roman" w:cs="Times New Roman" w:eastAsia="Times New Roman" w:hAnsi="Times New Roman"/>
                <w:sz w:val="18"/>
                <w:szCs w:val="18"/>
                <w:color w:val="auto"/>
              </w:rPr>
              <w:t>per share, the last reported sale price of our common stock on The NASDAQ Global Select Market on</w:t>
            </w:r>
          </w:p>
        </w:tc>
        <w:tc>
          <w:tcPr>
            <w:tcW w:w="1300" w:type="dxa"/>
            <w:vAlign w:val="bottom"/>
          </w:tcPr>
          <w:p>
            <w:pPr>
              <w:jc w:val="right"/>
              <w:ind w:right="205"/>
              <w:spacing w:after="0"/>
              <w:rPr>
                <w:sz w:val="20"/>
                <w:szCs w:val="20"/>
                <w:color w:val="auto"/>
              </w:rPr>
            </w:pPr>
            <w:r>
              <w:rPr>
                <w:rFonts w:ascii="Times New Roman" w:cs="Times New Roman" w:eastAsia="Times New Roman" w:hAnsi="Times New Roman"/>
                <w:sz w:val="18"/>
                <w:szCs w:val="18"/>
                <w:color w:val="auto"/>
              </w:rPr>
              <w:t>, 2017,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70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after deducting the estimated underwriting discounts and commissions and estimated offering expenses payable by us.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(2)   Each $1.00 increase (decrease) in the assumed public offering price of $</w:t>
            </w:r>
          </w:p>
        </w:tc>
        <w:tc>
          <w:tcPr>
            <w:tcW w:w="5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per share, the last reported sale price of our common stock on The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7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NASDAQ Global Select Market on</w:t>
            </w:r>
          </w:p>
        </w:tc>
        <w:tc>
          <w:tcPr>
            <w:tcW w:w="750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2017, would increase (decrease) each of our as adjusted cash, cash equivalents, short-term</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88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investments, total assets and total stockholders’ equity by approximately $</w:t>
            </w:r>
          </w:p>
        </w:tc>
        <w:tc>
          <w:tcPr>
            <w:tcW w:w="53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million, assuming that the number of shares offered by us remains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22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the same and after deducting the estimated underwriting discounts and commissions. Similarly, each increase (decrease) of one million shares in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122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the number of shares offered by us would increase (decrease) each of our as adjusted cash, cash equivalents, short-term investments, total assets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and total stockholders’ equity by approximately $</w:t>
            </w:r>
          </w:p>
        </w:tc>
        <w:tc>
          <w:tcPr>
            <w:tcW w:w="70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million, assuming the assumed public offering price remains the same and after deducting</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06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the estimated underwriting discounts and commissions.</w:t>
            </w:r>
          </w:p>
        </w:tc>
        <w:tc>
          <w:tcPr>
            <w:tcW w:w="8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described in Part II, Item 1A of our Quarterly Report on Form 10-Q for the period ended June 30, 2017 and Part I, Item 1A of our Annual Report on Form 10-K for the year ended December 31, 2016, together with all of the other information contained in or incorporated by reference into this prospectus. We cannot assure you that any of the events discussed herein or therein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Our management will have broad discretion over the use of the proceeds we receive in this offering and might not apply the proceeds in ways that increase the value of your investment.</w:t>
      </w:r>
    </w:p>
    <w:p>
      <w:pPr>
        <w:spacing w:after="0" w:line="51" w:lineRule="exact"/>
        <w:rPr>
          <w:sz w:val="20"/>
          <w:szCs w:val="20"/>
          <w:color w:val="auto"/>
        </w:rPr>
      </w:pPr>
    </w:p>
    <w:p>
      <w:pPr>
        <w:ind w:right="200" w:firstLine="456"/>
        <w:spacing w:after="0" w:line="254" w:lineRule="auto"/>
        <w:rPr>
          <w:sz w:val="20"/>
          <w:szCs w:val="20"/>
          <w:color w:val="auto"/>
        </w:rPr>
      </w:pPr>
      <w:r>
        <w:rPr>
          <w:rFonts w:ascii="Times New Roman" w:cs="Times New Roman" w:eastAsia="Times New Roman" w:hAnsi="Times New Roman"/>
          <w:sz w:val="18"/>
          <w:szCs w:val="18"/>
          <w:color w:val="auto"/>
        </w:rPr>
        <w:t>Our management will have broad discretion to use the net proceeds from this offering, including for any of the purposes described in the section entitled “Use of Proceeds,” and you will be relying on the judgment of our management regarding the application of these proceeds. You will not have the opportunity to influence our decisions on how to use the proceeds, and we may not apply the net proceeds of this offering in ways that increase the value of your investment.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intend to invest the net proceeds from this offering in marketable securities that may include investment-grade interest-bearing securities, money market accounts, certificates of deposit, commercial paper and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suffer immediate and substantial dilution in the net tangible book value of our common stock you purchase in this offering. Assuming a public</w:t>
      </w:r>
    </w:p>
    <w:p>
      <w:pPr>
        <w:spacing w:after="0" w:line="27" w:lineRule="exact"/>
        <w:rPr>
          <w:sz w:val="20"/>
          <w:szCs w:val="20"/>
          <w:color w:val="auto"/>
        </w:rPr>
      </w:pPr>
    </w:p>
    <w:p>
      <w:pPr>
        <w:spacing w:after="0"/>
        <w:tabs>
          <w:tab w:leader="none" w:pos="1660" w:val="left"/>
          <w:tab w:leader="none" w:pos="9800" w:val="left"/>
        </w:tabs>
        <w:rPr>
          <w:sz w:val="20"/>
          <w:szCs w:val="20"/>
          <w:color w:val="auto"/>
        </w:rPr>
      </w:pPr>
      <w:r>
        <w:rPr>
          <w:rFonts w:ascii="Times New Roman" w:cs="Times New Roman" w:eastAsia="Times New Roman" w:hAnsi="Times New Roman"/>
          <w:sz w:val="18"/>
          <w:szCs w:val="18"/>
          <w:color w:val="auto"/>
        </w:rPr>
        <w:t>offering price of $</w:t>
      </w:r>
      <w:r>
        <w:rPr>
          <w:sz w:val="20"/>
          <w:szCs w:val="20"/>
          <w:color w:val="auto"/>
        </w:rPr>
        <w:tab/>
      </w:r>
      <w:r>
        <w:rPr>
          <w:rFonts w:ascii="Times New Roman" w:cs="Times New Roman" w:eastAsia="Times New Roman" w:hAnsi="Times New Roman"/>
          <w:sz w:val="18"/>
          <w:szCs w:val="18"/>
          <w:color w:val="auto"/>
        </w:rPr>
        <w:t>per share, the last reported sale price of our common stock on The NASDAQ Global Select Market on</w:t>
      </w:r>
      <w:r>
        <w:rPr>
          <w:sz w:val="20"/>
          <w:szCs w:val="20"/>
          <w:color w:val="auto"/>
        </w:rPr>
        <w:tab/>
      </w:r>
      <w:r>
        <w:rPr>
          <w:rFonts w:ascii="Times New Roman" w:cs="Times New Roman" w:eastAsia="Times New Roman" w:hAnsi="Times New Roman"/>
          <w:sz w:val="17"/>
          <w:szCs w:val="17"/>
          <w:color w:val="auto"/>
        </w:rPr>
        <w:t>, 2017, purchasers of</w:t>
      </w:r>
    </w:p>
    <w:p>
      <w:pPr>
        <w:spacing w:after="0" w:line="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common stock in this offering will experience immediate dilution of $ per share in net tangible book value of our common stock. In the past, we issued options, warrants and other securities to acquire common stock at prices below the public offering price. To the extent these outstanding securities are ultimately exercised, or we issue equity or convertible debt securities in the future at a price less than the public offering price, investors purchasing common stock in this offering will sustain further dilution. See “Dilution” for a more detailed description of the dilution to new investors in the offering.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0"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prospectus and the documents incorporated by reference into this prospectus include, among other things, statements about:</w:t>
      </w:r>
    </w:p>
    <w:p>
      <w:pPr>
        <w:spacing w:after="0" w:line="67" w:lineRule="exact"/>
        <w:rPr>
          <w:sz w:val="20"/>
          <w:szCs w:val="20"/>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candidate development activities and ongoing and planned clinical trials;</w:t>
      </w:r>
    </w:p>
    <w:p>
      <w:pPr>
        <w:spacing w:after="0" w:line="130" w:lineRule="exact"/>
        <w:rPr>
          <w:rFonts w:ascii="Times New Roman" w:cs="Times New Roman" w:eastAsia="Times New Roman" w:hAnsi="Times New Roman"/>
          <w:sz w:val="18"/>
          <w:szCs w:val="18"/>
          <w:color w:val="auto"/>
        </w:rPr>
      </w:pPr>
    </w:p>
    <w:p>
      <w:pPr>
        <w:ind w:left="660" w:right="400" w:hanging="206"/>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antibodies, including our lead product candidates ANB020 for patients with severe allergic and atopic diseases and ANB019 for patients with GPP and PPP;</w:t>
      </w:r>
    </w:p>
    <w:p>
      <w:pPr>
        <w:spacing w:after="0" w:line="67" w:lineRule="exact"/>
        <w:rPr>
          <w:rFonts w:ascii="Times New Roman" w:cs="Times New Roman" w:eastAsia="Times New Roman" w:hAnsi="Times New Roman"/>
          <w:sz w:val="18"/>
          <w:szCs w:val="18"/>
          <w:color w:val="auto"/>
        </w:rPr>
      </w:pPr>
    </w:p>
    <w:p>
      <w:pPr>
        <w:ind w:left="660" w:right="360" w:hanging="206"/>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clinical data generated in any study we are performing or plan to perform in a non-U.S. jurisdiction will be subsequently accepted by the FDA and its foreign regulatory authorities outside of the jurisdiction where the study was being performed;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our collaborators to develop and commercialize our partnered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and advantages of our product candidates and approaches versus those of our competitors;</w:t>
      </w:r>
    </w:p>
    <w:p>
      <w:pPr>
        <w:spacing w:after="0" w:line="130" w:lineRule="exact"/>
        <w:rPr>
          <w:rFonts w:ascii="Times New Roman" w:cs="Times New Roman" w:eastAsia="Times New Roman" w:hAnsi="Times New Roman"/>
          <w:sz w:val="18"/>
          <w:szCs w:val="18"/>
          <w:color w:val="auto"/>
        </w:rPr>
      </w:pPr>
    </w:p>
    <w:p>
      <w:pPr>
        <w:ind w:left="660" w:right="40" w:hanging="206"/>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67"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ANB020 and ANB019 and our other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approved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any approved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the United Kingdom, Australia and other foreign countries;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net proceeds from this offering;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20"/>
          </w:cols>
          <w:pgMar w:left="240" w:top="455"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660" w:right="560" w:hanging="206"/>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with significant commercial potential that are consistent with our commercial objectives;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or incorporated by reference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into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or incorporated by reference into this prospectus concerning our industry and the markets in which we operate, including our general expectations and market position, market opportunity, and market size, is based on information from various sources and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or incorporated by reference into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in the documents incorporated by reference into this prospectus. These and other factors could cause results to differ materially from those expressed in the estimates made by the independent parties and by us.</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40" w:top="455"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3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511"/>
        </w:trPr>
        <w:tc>
          <w:tcPr>
            <w:tcW w:w="1360" w:type="dxa"/>
            <w:vAlign w:val="bottom"/>
            <w:tcBorders>
              <w:top w:val="single" w:sz="8" w:color="0000EE"/>
            </w:tcBorders>
          </w:tcPr>
          <w:p>
            <w:pPr>
              <w:spacing w:after="0"/>
              <w:rPr>
                <w:sz w:val="24"/>
                <w:szCs w:val="24"/>
                <w:color w:val="auto"/>
              </w:rPr>
            </w:pPr>
          </w:p>
        </w:tc>
        <w:tc>
          <w:tcPr>
            <w:tcW w:w="648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Confidential Treatment Requested by AnaptysBio, Inc.</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8"/>
        </w:trPr>
        <w:tc>
          <w:tcPr>
            <w:tcW w:w="13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6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Pursuant to 17 C.F.R. Section 200.83</w:t>
            </w: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USE OF PROCEEDS</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4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from our sale of</w:t>
            </w:r>
          </w:p>
        </w:tc>
        <w:tc>
          <w:tcPr>
            <w:tcW w:w="64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w w:val="99"/>
              </w:rPr>
              <w:t>shares of common stock in this offering at an assumed public offering price of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w:t>
            </w:r>
          </w:p>
        </w:tc>
      </w:tr>
      <w:tr>
        <w:trPr>
          <w:trHeight w:val="216"/>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 the last reported sale price of our common stock on The NASDAQ Global Select Market on</w:t>
            </w:r>
          </w:p>
        </w:tc>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2017, after deducting the estimated</w:t>
            </w:r>
          </w:p>
        </w:tc>
        <w:tc>
          <w:tcPr>
            <w:tcW w:w="560" w:type="dxa"/>
            <w:vAlign w:val="bottom"/>
          </w:tcPr>
          <w:p>
            <w:pPr>
              <w:spacing w:after="0"/>
              <w:rPr>
                <w:sz w:val="18"/>
                <w:szCs w:val="18"/>
                <w:color w:val="auto"/>
              </w:rPr>
            </w:pPr>
          </w:p>
        </w:tc>
      </w:tr>
      <w:tr>
        <w:trPr>
          <w:trHeight w:val="216"/>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 will be approximately $</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or $</w:t>
            </w: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million if the</w:t>
            </w:r>
          </w:p>
        </w:tc>
      </w:tr>
      <w:tr>
        <w:trPr>
          <w:trHeight w:val="234"/>
        </w:trPr>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 shares in full.</w:t>
            </w: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1066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public offering price would increase (decrease) the net proceeds to us from this offering by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million,</w:t>
            </w:r>
          </w:p>
        </w:tc>
      </w:tr>
    </w:tbl>
    <w:p>
      <w:pPr>
        <w:jc w:val="both"/>
        <w:ind w:right="220"/>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the number of shares offered by us, remains the same, and after deducting the estimated underwriting discounts and commissions. Similarly, each increase or decrease of one million in the number of shares of common stock offered by us would increase (decrease) the net proceeds that we receive from</w:t>
      </w:r>
    </w:p>
    <w:p>
      <w:pPr>
        <w:ind w:right="20"/>
        <w:spacing w:after="0" w:line="261" w:lineRule="auto"/>
        <w:rPr>
          <w:sz w:val="20"/>
          <w:szCs w:val="20"/>
          <w:color w:val="auto"/>
        </w:rPr>
      </w:pPr>
      <w:r>
        <w:rPr>
          <w:rFonts w:ascii="Times New Roman" w:cs="Times New Roman" w:eastAsia="Times New Roman" w:hAnsi="Times New Roman"/>
          <w:sz w:val="18"/>
          <w:szCs w:val="18"/>
          <w:color w:val="auto"/>
        </w:rPr>
        <w:t>this offering by $ million, assuming that the assumed public offering price remains the same and after deducting the estimated underwriting discounts and commissions and estimated offering expenses payable by us.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we receive from this offering, together with our existing cash, cash equivalents and investments, to fund research and development activities for our clinical development programs, including, but not limited to, our ongoing and planned clinical trials for ANB020 and ANB019, including related manufacturing costs, and our ongoing preclinical, discovery and research programs, and for working capital and other general corporate purposes.</w:t>
      </w:r>
    </w:p>
    <w:p>
      <w:pPr>
        <w:spacing w:after="0" w:line="18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Based on our planned use of the net proceeds, we estimate such funds, together with our existing cash, cash equivalents and investments, will be sufficient for us to fund our operating expenses and capital expenditure requirements through at least the next 24 months.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expected use of the net proceeds from this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 to do so.</w:t>
      </w:r>
    </w:p>
    <w:p>
      <w:pPr>
        <w:spacing w:after="0" w:line="180"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amounts and timing of our clinical expenditures and the extent of clinical development may vary significantly depending on numerous factors, including the status, results and timing of our current and planned preclinical studies and clinical trials,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80"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Pending their use as described above, we intend to invest the net proceeds from this offering in short term and long-term, investment-grade interest-bearing securities such as money market accounts, certificates of deposit, commercial paper and guaranteed obligations of the U.S. government.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46"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PRICE OF OUR COMMON STOCK</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“ANAB” since January 25, 2017. Prior to that date, there was no public trading market for our common stock. The following table sets forth for the periods indicated the high and low sale prices per share of our common stock as reported on The NASDAQ Global Select Market for the periods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Fiscal Year 2017</w:t>
            </w:r>
          </w:p>
        </w:tc>
        <w:tc>
          <w:tcPr>
            <w:tcW w:w="342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178"/>
        </w:trPr>
        <w:tc>
          <w:tcPr>
            <w:tcW w:w="656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(beginning January 25, 2017)</w:t>
            </w:r>
          </w:p>
        </w:tc>
        <w:tc>
          <w:tcPr>
            <w:tcW w:w="412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color w:val="auto"/>
              </w:rPr>
              <w:t>$29.96</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12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color w:val="auto"/>
              </w:rPr>
              <w:t>$28.40</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(through September 8, 2017)</w:t>
            </w:r>
          </w:p>
        </w:tc>
        <w:tc>
          <w:tcPr>
            <w:tcW w:w="4120" w:type="dxa"/>
            <w:vAlign w:val="bottom"/>
            <w:gridSpan w:val="3"/>
          </w:tcPr>
          <w:p>
            <w:pPr>
              <w:jc w:val="center"/>
              <w:ind w:left="3130"/>
              <w:spacing w:after="0"/>
              <w:rPr>
                <w:sz w:val="20"/>
                <w:szCs w:val="20"/>
                <w:color w:val="auto"/>
              </w:rPr>
            </w:pPr>
            <w:r>
              <w:rPr>
                <w:rFonts w:ascii="Times New Roman" w:cs="Times New Roman" w:eastAsia="Times New Roman" w:hAnsi="Times New Roman"/>
                <w:sz w:val="18"/>
                <w:szCs w:val="18"/>
                <w:color w:val="auto"/>
              </w:rPr>
              <w:t>$32.10</w:t>
            </w:r>
          </w:p>
        </w:tc>
        <w:tc>
          <w:tcPr>
            <w:tcW w:w="6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On September 8, 2017, the last reported sale price of our common stock on The NASDAQ Global Select Market was $31.84 per share. As of June 30, 2017, we had 95 registered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short-term investments and capitalization as of June 30, 2017 on:</w:t>
      </w:r>
    </w:p>
    <w:p>
      <w:pPr>
        <w:spacing w:after="0" w:line="131" w:lineRule="exact"/>
        <w:rPr>
          <w:sz w:val="20"/>
          <w:szCs w:val="20"/>
          <w:color w:val="auto"/>
        </w:rPr>
      </w:pPr>
    </w:p>
    <w:p>
      <w:pPr>
        <w:ind w:left="46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an actual basis; and</w:t>
      </w:r>
    </w:p>
    <w:p>
      <w:pPr>
        <w:spacing w:after="0" w:line="131" w:lineRule="exact"/>
        <w:rPr>
          <w:sz w:val="20"/>
          <w:szCs w:val="20"/>
          <w:color w:val="auto"/>
        </w:rPr>
      </w:pPr>
    </w:p>
    <w:p>
      <w:pPr>
        <w:ind w:left="660" w:right="20" w:hanging="19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w:t>
        <w:tab/>
        <w:t>an as adjusted basis, giving effect to the sale of shares of common stock by us in this offering, based on an assumed public offering price of $ per share, the last reported sale price of our common stock on The NASDAQ Global Select Market on , 2017, after deducting the estimated underwriting discounts and commissions and estimated offering expenses payable by us.</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You should read this table together with “Management’s Discussion and Analysis of Financial Condition and Results of Operations” and our audited and unaudited consolidated financial statements and related notes incorporated by reference into this prospectus.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0" w:type="dxa"/>
            <w:vAlign w:val="bottom"/>
          </w:tcPr>
          <w:p>
            <w:pPr>
              <w:spacing w:after="0"/>
              <w:rPr>
                <w:sz w:val="1"/>
                <w:szCs w:val="1"/>
                <w:color w:val="auto"/>
              </w:rPr>
            </w:pPr>
          </w:p>
        </w:tc>
      </w:tr>
      <w:tr>
        <w:trPr>
          <w:trHeight w:val="173"/>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par value data)</w:t>
            </w:r>
          </w:p>
        </w:tc>
        <w:tc>
          <w:tcPr>
            <w:tcW w:w="5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63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3320" w:type="dxa"/>
            <w:vAlign w:val="bottom"/>
            <w:gridSpan w:val="2"/>
            <w:vMerge w:val="continue"/>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Adjusted(1)</w:t>
            </w:r>
          </w:p>
        </w:tc>
        <w:tc>
          <w:tcPr>
            <w:tcW w:w="0" w:type="dxa"/>
            <w:vAlign w:val="bottom"/>
          </w:tcPr>
          <w:p>
            <w:pPr>
              <w:spacing w:after="0"/>
              <w:rPr>
                <w:sz w:val="1"/>
                <w:szCs w:val="1"/>
                <w:color w:val="auto"/>
              </w:rPr>
            </w:pPr>
          </w:p>
        </w:tc>
      </w:tr>
      <w:tr>
        <w:trPr>
          <w:trHeight w:val="210"/>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106,359</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20" w:type="dxa"/>
            <w:vAlign w:val="bottom"/>
            <w:gridSpan w:val="2"/>
            <w:vMerge w:val="continue"/>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10,987</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52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or outstanding, actual and as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adjusted</w:t>
            </w: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20,289,907 shares issued and outstanding, actual;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500,000,000 shares authorized,</w:t>
            </w:r>
          </w:p>
        </w:tc>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as adjusted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178,297</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5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(69,083)</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8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109,175</w:t>
            </w: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Total capitalization</w:t>
            </w:r>
          </w:p>
        </w:tc>
        <w:tc>
          <w:tcPr>
            <w:tcW w:w="58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120,330</w:t>
            </w:r>
          </w:p>
        </w:tc>
        <w:tc>
          <w:tcPr>
            <w:tcW w:w="52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60" w:hanging="452"/>
        <w:spacing w:after="0" w:line="220" w:lineRule="auto"/>
        <w:tabs>
          <w:tab w:leader="none" w:pos="460" w:val="left"/>
        </w:tabs>
        <w:numPr>
          <w:ilvl w:val="0"/>
          <w:numId w:val="18"/>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Each $1.00 increase (decrease) in the assumed offering price of $per share, the last reported sale price of our common stock on The NASDAQ</w:t>
      </w:r>
    </w:p>
    <w:p>
      <w:pPr>
        <w:spacing w:after="0" w:line="196" w:lineRule="exact"/>
        <w:rPr>
          <w:sz w:val="20"/>
          <w:szCs w:val="20"/>
          <w:color w:val="auto"/>
        </w:rPr>
      </w:pPr>
    </w:p>
    <w:p>
      <w:pPr>
        <w:ind w:left="460" w:right="420"/>
        <w:spacing w:after="0" w:line="261" w:lineRule="auto"/>
        <w:rPr>
          <w:sz w:val="20"/>
          <w:szCs w:val="20"/>
          <w:color w:val="auto"/>
        </w:rPr>
      </w:pPr>
      <w:r>
        <w:rPr>
          <w:rFonts w:ascii="Times New Roman" w:cs="Times New Roman" w:eastAsia="Times New Roman" w:hAnsi="Times New Roman"/>
          <w:sz w:val="18"/>
          <w:szCs w:val="18"/>
          <w:color w:val="auto"/>
        </w:rPr>
        <w:t>Global Select Market on , 2017, would increase (decrease) each of our as adjusted cash, cash equivalents and short-term investments, additional paid-in capital, total stockholders’ equity and total capitalization by approximately $ million, assuming that the number of shares</w:t>
      </w:r>
    </w:p>
    <w:p>
      <w:pPr>
        <w:ind w:left="460" w:right="440"/>
        <w:spacing w:after="0" w:line="374" w:lineRule="auto"/>
        <w:rPr>
          <w:sz w:val="20"/>
          <w:szCs w:val="20"/>
          <w:color w:val="auto"/>
        </w:rPr>
      </w:pPr>
      <w:r>
        <w:rPr>
          <w:rFonts w:ascii="Times New Roman" w:cs="Times New Roman" w:eastAsia="Times New Roman" w:hAnsi="Times New Roman"/>
          <w:sz w:val="18"/>
          <w:szCs w:val="18"/>
          <w:color w:val="auto"/>
        </w:rPr>
        <w:t>offered by us remains the same and after deducting estimated underwriting discounts and commissions. Similarly, each increase (decrease) of one million shares in the number of shares offered by us would increase (decrease) each of our as adjusted cash, cash equivalents and short-term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0" w:right="500"/>
        <w:spacing w:after="0" w:line="282" w:lineRule="auto"/>
        <w:rPr>
          <w:sz w:val="20"/>
          <w:szCs w:val="20"/>
          <w:color w:val="auto"/>
        </w:rPr>
      </w:pPr>
      <w:r>
        <w:rPr>
          <w:rFonts w:ascii="Times New Roman" w:cs="Times New Roman" w:eastAsia="Times New Roman" w:hAnsi="Times New Roman"/>
          <w:sz w:val="18"/>
          <w:szCs w:val="18"/>
          <w:color w:val="auto"/>
        </w:rPr>
        <w:t>investments, additional paid-in capital, total stockholders’ equity and total capitalization by approximately $ million, assuming the assumed offering price remains the same and after deducting the estimated underwriting discounts and commissions.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20,289,907 shares of our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and excludes:</w:t>
      </w:r>
    </w:p>
    <w:p>
      <w:pPr>
        <w:spacing w:after="0" w:line="112" w:lineRule="exact"/>
        <w:rPr>
          <w:sz w:val="20"/>
          <w:szCs w:val="20"/>
          <w:color w:val="auto"/>
        </w:rPr>
      </w:pPr>
    </w:p>
    <w:p>
      <w:pPr>
        <w:ind w:left="660" w:right="80" w:hanging="206"/>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2,643,180 shares of common stock issuable upon the exercise of options outstanding as of June 30, 2017, with a weighted-average exercise price of $10.62 per share;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660" w:right="40" w:hanging="206"/>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55,715 shares of common stock issuable upon the exercise of options granted after June 30, 2017, with a weighted-average exercise price of $21.61 per share;</w:t>
      </w:r>
    </w:p>
    <w:p>
      <w:pPr>
        <w:spacing w:after="0" w:line="67" w:lineRule="exact"/>
        <w:rPr>
          <w:rFonts w:ascii="Times New Roman" w:cs="Times New Roman" w:eastAsia="Times New Roman" w:hAnsi="Times New Roman"/>
          <w:sz w:val="18"/>
          <w:szCs w:val="18"/>
          <w:color w:val="auto"/>
        </w:rPr>
      </w:pPr>
    </w:p>
    <w:p>
      <w:pPr>
        <w:ind w:left="660" w:hanging="206"/>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198,009 shares of our common stock issuable upon exercise of warrants for shares of common stock that were outstanding as of June 30, 2017, with an exercise price of $4.55 per share; and</w:t>
      </w:r>
    </w:p>
    <w:p>
      <w:pPr>
        <w:spacing w:after="0" w:line="67" w:lineRule="exact"/>
        <w:rPr>
          <w:rFonts w:ascii="Times New Roman" w:cs="Times New Roman" w:eastAsia="Times New Roman" w:hAnsi="Times New Roman"/>
          <w:sz w:val="18"/>
          <w:szCs w:val="18"/>
          <w:color w:val="auto"/>
        </w:rPr>
      </w:pPr>
    </w:p>
    <w:p>
      <w:pPr>
        <w:ind w:left="660" w:right="60" w:hanging="206"/>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1,462,014 shares of common stock reserved for future issuance under our stock-based compensation plans,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the section “Executive Compensation—Employee Benefit and Stock Plans” of our Quarterly Report on Form 10-Q for the period ended June 30, 2017 and our Annual Report on Form 10-K for the year ended December 31, 2016.</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40" w:top="455" w:right="3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to the extent of the difference between the amount per share paid by purchasers of shares of common stock in this offering and the as adjusted net tangible book value per share of common stock immediately after this offering.</w:t>
      </w:r>
    </w:p>
    <w:p>
      <w:pPr>
        <w:spacing w:after="0" w:line="162"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our net tangible book value was approximately $109.2 million, or $5.38 per share of common stock. Our net tangible book value per share represents the amount of our total tangible assets reduced by the amount of our total liabilities and divided by the total number of shares of our common stock outstanding as of June 30,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After giving effect to our sale in this offering of</w:t>
            </w:r>
          </w:p>
        </w:tc>
        <w:tc>
          <w:tcPr>
            <w:tcW w:w="4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shares of our common stock at an assumed offering price of $</w:t>
            </w:r>
          </w:p>
        </w:tc>
        <w:tc>
          <w:tcPr>
            <w:tcW w:w="2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per share, the last reported</w:t>
            </w:r>
          </w:p>
        </w:tc>
      </w:tr>
      <w:tr>
        <w:trPr>
          <w:trHeight w:val="216"/>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 price of our common stock on The NASDAQ Global Select Market on</w:t>
            </w:r>
          </w:p>
        </w:tc>
        <w:tc>
          <w:tcPr>
            <w:tcW w:w="53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2017, and after deducting the estimated underwriting discounts and</w:t>
            </w:r>
          </w:p>
        </w:tc>
      </w:tr>
      <w:tr>
        <w:trPr>
          <w:trHeight w:val="216"/>
        </w:trPr>
        <w:tc>
          <w:tcPr>
            <w:tcW w:w="10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 our net tangible book value as of June 30, 2017 would have been approximately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or $</w:t>
            </w:r>
          </w:p>
        </w:tc>
        <w:tc>
          <w:tcPr>
            <w:tcW w:w="7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per share of common stock. This represents an immediate increase in net tangible book value of $</w:t>
            </w:r>
          </w:p>
        </w:tc>
        <w:tc>
          <w:tcPr>
            <w:tcW w:w="34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per share to our existing stockholders and an</w:t>
            </w:r>
          </w:p>
        </w:tc>
      </w:tr>
      <w:tr>
        <w:trPr>
          <w:trHeight w:val="234"/>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immediate dilution of $</w:t>
            </w:r>
          </w:p>
        </w:tc>
        <w:tc>
          <w:tcPr>
            <w:tcW w:w="60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per share to investors purchasing shares in this offering, as follows:</w:t>
            </w: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1"/>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1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tangible book value per share as of June 30, 2017</w:t>
            </w:r>
          </w:p>
        </w:tc>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w:t>
            </w:r>
          </w:p>
        </w:tc>
        <w:tc>
          <w:tcPr>
            <w:tcW w:w="1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3"/>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1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1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A $1.00 increase (decrease) in the assumed public offering price of $ per share, the last reported sale price of our common stock on The NASDAQ Global Select Market on , 2017, would increase (decrease) our net tangible book value, as adjusted to give effect to this offering, by $ per share and the dilution in as adjusted net tangible book value per share to new investors in this offering by $ per share, assuming the number of shares</w:t>
      </w:r>
    </w:p>
    <w:p>
      <w:pPr>
        <w:spacing w:after="0" w:line="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offered by us, as set forth on the cover page of this prospectus, remains the same, and after deducting the estimated underwriting discounts and commissions and estimated offering expenses payable by us. Similarly, each increase of one million shares in the number of shares offered by us in this offering would</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increase our as adjusted net tangible book value per share, and decrease the dilution per share to investors in this offering, by $ per share. Each decrease of one million shares in the number of shares offered by us would decrease our as adjusted net tangible book value per share, and increase the dilution per</w:t>
      </w:r>
    </w:p>
    <w:p>
      <w:pPr>
        <w:spacing w:after="0" w:line="1"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color w:val="auto"/>
        </w:rPr>
        <w:t>share to investors in this offering, by $</w:t>
      </w:r>
      <w:r>
        <w:rPr>
          <w:sz w:val="20"/>
          <w:szCs w:val="20"/>
          <w:color w:val="auto"/>
        </w:rPr>
        <w:tab/>
      </w:r>
      <w:r>
        <w:rPr>
          <w:rFonts w:ascii="Times New Roman" w:cs="Times New Roman" w:eastAsia="Times New Roman" w:hAnsi="Times New Roman"/>
          <w:sz w:val="17"/>
          <w:szCs w:val="17"/>
          <w:color w:val="auto"/>
        </w:rPr>
        <w:t>per share.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underwriters exercise their option in full to purchase additional shares, the net tangible book value per share of our common stock after giving</w:t>
      </w:r>
    </w:p>
    <w:p>
      <w:pPr>
        <w:spacing w:after="0" w:line="27" w:lineRule="exact"/>
        <w:rPr>
          <w:sz w:val="20"/>
          <w:szCs w:val="20"/>
          <w:color w:val="auto"/>
        </w:rPr>
      </w:pPr>
    </w:p>
    <w:p>
      <w:pPr>
        <w:spacing w:after="0"/>
        <w:tabs>
          <w:tab w:leader="none" w:pos="2760" w:val="left"/>
          <w:tab w:leader="none" w:pos="10480" w:val="left"/>
        </w:tabs>
        <w:rPr>
          <w:sz w:val="20"/>
          <w:szCs w:val="20"/>
          <w:color w:val="auto"/>
        </w:rPr>
      </w:pPr>
      <w:r>
        <w:rPr>
          <w:rFonts w:ascii="Times New Roman" w:cs="Times New Roman" w:eastAsia="Times New Roman" w:hAnsi="Times New Roman"/>
          <w:sz w:val="18"/>
          <w:szCs w:val="18"/>
          <w:color w:val="auto"/>
        </w:rPr>
        <w:t>effect to this offering would be $</w:t>
      </w:r>
      <w:r>
        <w:rPr>
          <w:sz w:val="20"/>
          <w:szCs w:val="20"/>
          <w:color w:val="auto"/>
        </w:rPr>
        <w:tab/>
      </w:r>
      <w:r>
        <w:rPr>
          <w:rFonts w:ascii="Times New Roman" w:cs="Times New Roman" w:eastAsia="Times New Roman" w:hAnsi="Times New Roman"/>
          <w:sz w:val="18"/>
          <w:szCs w:val="18"/>
          <w:color w:val="auto"/>
        </w:rPr>
        <w:t>per share, and the dilution in net tangible book value per share to investors in this offering would be $</w:t>
      </w:r>
      <w:r>
        <w:rPr>
          <w:sz w:val="20"/>
          <w:szCs w:val="20"/>
          <w:color w:val="auto"/>
        </w:rPr>
        <w:tab/>
      </w:r>
      <w:r>
        <w:rPr>
          <w:rFonts w:ascii="Times New Roman" w:cs="Times New Roman" w:eastAsia="Times New Roman" w:hAnsi="Times New Roman"/>
          <w:sz w:val="17"/>
          <w:szCs w:val="17"/>
          <w:color w:val="auto"/>
        </w:rPr>
        <w:t>per share.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20,289,907 shares of our common stock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2017, and excludes:</w:t>
      </w:r>
    </w:p>
    <w:p>
      <w:pPr>
        <w:spacing w:after="0" w:line="112" w:lineRule="exact"/>
        <w:rPr>
          <w:sz w:val="20"/>
          <w:szCs w:val="20"/>
          <w:color w:val="auto"/>
        </w:rPr>
      </w:pPr>
    </w:p>
    <w:p>
      <w:pPr>
        <w:ind w:left="660" w:right="100" w:hanging="206"/>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2,643,180 shares of common stock issuable upon the exercise of options outstanding as of June 30, 2017, with a weighted-average exercise price of $10.62 per share;</w:t>
      </w:r>
    </w:p>
    <w:p>
      <w:pPr>
        <w:spacing w:after="0" w:line="67" w:lineRule="exact"/>
        <w:rPr>
          <w:rFonts w:ascii="Times New Roman" w:cs="Times New Roman" w:eastAsia="Times New Roman" w:hAnsi="Times New Roman"/>
          <w:sz w:val="18"/>
          <w:szCs w:val="18"/>
          <w:color w:val="auto"/>
        </w:rPr>
      </w:pPr>
    </w:p>
    <w:p>
      <w:pPr>
        <w:ind w:left="660" w:right="100" w:hanging="206"/>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55,715 shares of common stock issuable upon the exercise of options granted after June 30, 2017, with a weighted-average exercise price of $21.61 per share;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660" w:right="40" w:hanging="206"/>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198,009 shares of our common stock issuable upon exercise of warrants for shares of common stock that were outstanding as of June 30, 2017, with an exercise price of $4.55 per share; and</w:t>
      </w:r>
    </w:p>
    <w:p>
      <w:pPr>
        <w:spacing w:after="0" w:line="67" w:lineRule="exact"/>
        <w:rPr>
          <w:rFonts w:ascii="Times New Roman" w:cs="Times New Roman" w:eastAsia="Times New Roman" w:hAnsi="Times New Roman"/>
          <w:sz w:val="18"/>
          <w:szCs w:val="18"/>
          <w:color w:val="auto"/>
        </w:rPr>
      </w:pPr>
    </w:p>
    <w:p>
      <w:pPr>
        <w:ind w:left="660" w:right="100" w:hanging="206"/>
        <w:spacing w:after="0" w:line="25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1,462,014 shares of common stock reserved for future issuance under our stock-based compensation plans,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the section “Executive Compensation—Employee Benefit and Stock Plans” of our Quarterly Report on Form 10-Q for the period ended June 30, 2017 and our Annual Report on Form 10-K for the year ended December 31, 2016.</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options or warrants outstanding as of June 30, 2017 have been or may be exercised, or we issue new options or warrants,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describe below transactions and series of similar transactions since January 1, 2014 to which we were a party or will be a party, in which:</w:t>
      </w:r>
    </w:p>
    <w:p>
      <w:pPr>
        <w:spacing w:after="0" w:line="131" w:lineRule="exact"/>
        <w:rPr>
          <w:sz w:val="20"/>
          <w:szCs w:val="20"/>
          <w:color w:val="auto"/>
        </w:rPr>
      </w:pPr>
    </w:p>
    <w:p>
      <w:pPr>
        <w:ind w:left="660" w:hanging="206"/>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660" w:right="380" w:hanging="206"/>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 in our Annual Report on Form 10-K for the year ended December 31, 2016.</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Series C-1 Preferred Stock Financing</w:t>
      </w:r>
    </w:p>
    <w:p>
      <w:pPr>
        <w:spacing w:after="0" w:line="22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April 2014, we issued an aggregate of 474,001 shares of our Series C-1 convertible preferred stock at a purchase price of $4.55 per share, in exchange for the cancellation of secured convertible promissory notes originally issued in July 2013, which as of April 2014 had an aggregate principal and unpaid interest of $2.2 million.</w:t>
      </w:r>
    </w:p>
    <w:p>
      <w:pPr>
        <w:spacing w:after="0" w:line="17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18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Series C-1</w:t>
            </w:r>
          </w:p>
        </w:tc>
        <w:tc>
          <w:tcPr>
            <w:tcW w:w="120" w:type="dxa"/>
            <w:vAlign w:val="bottom"/>
          </w:tcPr>
          <w:p>
            <w:pPr>
              <w:spacing w:after="0"/>
              <w:rPr>
                <w:sz w:val="12"/>
                <w:szCs w:val="12"/>
                <w:color w:val="auto"/>
              </w:rPr>
            </w:pPr>
          </w:p>
        </w:tc>
        <w:tc>
          <w:tcPr>
            <w:tcW w:w="6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9480" w:type="dxa"/>
            <w:vAlign w:val="bottom"/>
            <w:gridSpan w:val="2"/>
            <w:vMerge w:val="continue"/>
          </w:tcPr>
          <w:p>
            <w:pPr>
              <w:spacing w:after="0"/>
              <w:rPr>
                <w:sz w:val="15"/>
                <w:szCs w:val="15"/>
                <w:color w:val="auto"/>
              </w:rPr>
            </w:pPr>
          </w:p>
        </w:tc>
        <w:tc>
          <w:tcPr>
            <w:tcW w:w="11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2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5"/>
        </w:trPr>
        <w:tc>
          <w:tcPr>
            <w:tcW w:w="1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Entities affiliated</w:t>
            </w:r>
          </w:p>
        </w:tc>
        <w:tc>
          <w:tcPr>
            <w:tcW w:w="81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with Frazier Healthcare(1)</w:t>
            </w:r>
          </w:p>
        </w:tc>
        <w:tc>
          <w:tcPr>
            <w:tcW w:w="7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195,751</w:t>
            </w:r>
          </w:p>
        </w:tc>
        <w:tc>
          <w:tcPr>
            <w:tcW w:w="380" w:type="dxa"/>
            <w:vAlign w:val="bottom"/>
          </w:tcPr>
          <w:p>
            <w:pPr>
              <w:spacing w:after="0"/>
              <w:rPr>
                <w:sz w:val="16"/>
                <w:szCs w:val="16"/>
                <w:color w:val="auto"/>
              </w:rPr>
            </w:pPr>
          </w:p>
        </w:tc>
        <w:tc>
          <w:tcPr>
            <w:tcW w:w="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Novo A/S(2)</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195,751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Alloy Ventures 2005, L.P.</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77,320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351,810</w:t>
            </w:r>
          </w:p>
        </w:tc>
        <w:tc>
          <w:tcPr>
            <w:tcW w:w="0" w:type="dxa"/>
            <w:vAlign w:val="bottom"/>
          </w:tcPr>
          <w:p>
            <w:pPr>
              <w:spacing w:after="0"/>
              <w:rPr>
                <w:sz w:val="1"/>
                <w:szCs w:val="1"/>
                <w:color w:val="auto"/>
              </w:rPr>
            </w:pPr>
          </w:p>
        </w:tc>
      </w:tr>
      <w:tr>
        <w:trPr>
          <w:trHeight w:val="234"/>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Hamza Suria(3)</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1" w:lineRule="exact"/>
        <w:rPr>
          <w:sz w:val="20"/>
          <w:szCs w:val="20"/>
          <w:color w:val="auto"/>
        </w:rPr>
      </w:pPr>
    </w:p>
    <w:p>
      <w:pPr>
        <w:ind w:left="460" w:right="180" w:hanging="452"/>
        <w:spacing w:after="0" w:line="261"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440" w:hanging="452"/>
        <w:spacing w:after="0" w:line="250"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Aynechi, a former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Suria is our President and Chief Executive Officer and is a member of our Board of Directors.</w:t>
      </w:r>
    </w:p>
    <w:p>
      <w:pPr>
        <w:spacing w:after="0" w:line="207"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Each share of our Series C-1 convertible preferred stock converted automatically into one share of our common stock upon the closing of our initial public offering. The purchasers of our Series C-1 convertible preferred stock are entitled to specified registration rights, as described under “Description of Capital Stock—Registration Rights.”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Series D Preferred Stock Financing</w:t>
      </w:r>
    </w:p>
    <w:p>
      <w:pPr>
        <w:spacing w:after="0" w:line="229"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In July 2015, we sold an aggregate of 5,490,973 shares of our Series D convertible preferred stock at a purchase price of $7.42 per share, for an aggregate cash purchase price of $40.8 million.</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9240" w:type="dxa"/>
            <w:vAlign w:val="bottom"/>
            <w:gridSpan w:val="2"/>
            <w:vMerge w:val="continue"/>
          </w:tcPr>
          <w:p>
            <w:pPr>
              <w:spacing w:after="0"/>
              <w:rPr>
                <w:sz w:val="15"/>
                <w:szCs w:val="15"/>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5"/>
        </w:trPr>
        <w:tc>
          <w:tcPr>
            <w:tcW w:w="13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Entities affiliated</w:t>
            </w:r>
          </w:p>
        </w:tc>
        <w:tc>
          <w:tcPr>
            <w:tcW w:w="79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with Biotechnology Value Fund, L.P</w:t>
            </w:r>
          </w:p>
        </w:tc>
        <w:tc>
          <w:tcPr>
            <w:tcW w:w="8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1,010,600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7,503,111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HBM Healthcare Investments (Cayman) Ltd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Frazier Healthcare(1)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Novo A/S(2)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673,454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 Lydon, Ph.D., FRS(3)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67,345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G. Gallagher, Pharm.D.(4)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E. Hoffman(5)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Hamza Suria(6)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r>
        <w:trPr>
          <w:trHeight w:val="234"/>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Londei, M.D.(7)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1" w:lineRule="exact"/>
        <w:rPr>
          <w:sz w:val="20"/>
          <w:szCs w:val="20"/>
          <w:color w:val="auto"/>
        </w:rPr>
      </w:pPr>
    </w:p>
    <w:p>
      <w:pPr>
        <w:ind w:left="460" w:right="120" w:hanging="452"/>
        <w:spacing w:after="0" w:line="257"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spacing w:after="0" w:line="1" w:lineRule="exact"/>
        <w:rPr>
          <w:rFonts w:ascii="Times New Roman" w:cs="Times New Roman" w:eastAsia="Times New Roman" w:hAnsi="Times New Roman"/>
          <w:sz w:val="18"/>
          <w:szCs w:val="18"/>
          <w:color w:val="auto"/>
        </w:rPr>
      </w:pPr>
    </w:p>
    <w:p>
      <w:pPr>
        <w:ind w:left="460" w:right="420" w:hanging="452"/>
        <w:spacing w:after="0" w:line="250"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Aynechi, a former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Lydon is a member of our Board of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Gallagher is a member of our Board of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Hoffman is our former Chief Financial Officer.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Suria is our President and Chief Executive Officer and is a member of our Board of Directors.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Londei is our Chief Medical Officer.</w:t>
      </w:r>
    </w:p>
    <w:p>
      <w:pPr>
        <w:spacing w:after="0" w:line="207"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Each share of our Series D convertible preferred stock converted automatically into one share of our common stock upon the closing of our initial public offering. The purchasers of our Series D convertible preferred stock are entitled to specified registration rights, as described below under “Description of Capital Stock—Registration Rights.”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Participation in our Initial Public Offering</w:t>
      </w:r>
    </w:p>
    <w:p>
      <w:pPr>
        <w:spacing w:after="0" w:line="22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Certain of our principal stockholders and their affiliated entities, including stockholders affiliated with certain of our directors, purchased an aggregate of 1,316,666 shares of our common stock in our initial public offering on January 31, 2017 at the initial public offering price of $15.00 per share. The following table summarizes common stock purchased by members of our board of directors and entities who held more than 5% of our outstanding capital stock at the time of the purchase:</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455"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8740" w:type="dxa"/>
            <w:vAlign w:val="bottom"/>
          </w:tcPr>
          <w:p>
            <w:pPr>
              <w:spacing w:after="0"/>
              <w:rPr>
                <w:sz w:val="13"/>
                <w:szCs w:val="13"/>
                <w:color w:val="auto"/>
              </w:rPr>
            </w:pP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740" w:type="dxa"/>
            <w:vAlign w:val="bottom"/>
            <w:vMerge w:val="restart"/>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88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5"/>
        </w:trPr>
        <w:tc>
          <w:tcPr>
            <w:tcW w:w="91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Entities affiliated with Biotechnology Value Fund(1)</w:t>
            </w:r>
          </w:p>
        </w:tc>
        <w:tc>
          <w:tcPr>
            <w:tcW w:w="8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850,000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12,750,000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Frazier Healthcare(2)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Novo A/S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 Lydon, Ph.D.,FRS(3)</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16,666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1,316,666</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19,749,990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886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46" w:lineRule="exact"/>
        <w:rPr>
          <w:sz w:val="20"/>
          <w:szCs w:val="20"/>
          <w:color w:val="auto"/>
        </w:rPr>
      </w:pPr>
    </w:p>
    <w:p>
      <w:pPr>
        <w:ind w:left="460" w:right="360" w:hanging="45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414,373 shares purchased by Biotechnology Value Fund, L.P., 269,019 shares purchased by Biotechnology Value Fund II, L.P., 74,064 shares purchased by Biotechnology Value Trading Fund OS, L.P. and 92,544 shares purchased by MSI BVF SPV LLC.</w:t>
      </w:r>
    </w:p>
    <w:p>
      <w:pPr>
        <w:ind w:left="460" w:right="6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311,291 shares purchased by Frazier Healthcare VII, L.P and 88,709 shares purchased by Frazier Healthcare VII-A, L.P. Dr. Topper, a member of our Board of Directors, is a General Partner of Frazier Healthcare and may be deemed to have voting and investment power with respect to these shares.</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Lydon is a member of our Board of Directors.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22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For a description of these registration rights, see “Description of Capital Stock—Registration Rights.”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455"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at August 31, 2017, and as adjusted to reflect the sale of common stock in this offering, for:</w:t>
      </w:r>
    </w:p>
    <w:p>
      <w:pPr>
        <w:spacing w:after="0" w:line="67" w:lineRule="exact"/>
        <w:rPr>
          <w:sz w:val="20"/>
          <w:szCs w:val="20"/>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Applicable percentage ownership is based on 20,469,570 shares of common stock outstanding as of August 31, 2017. For purposes of the table below,</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assumed that shares of common stock will be issued by us in this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31, 2017.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48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3"/>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8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18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149"/>
        </w:trPr>
        <w:tc>
          <w:tcPr>
            <w:tcW w:w="7040" w:type="dxa"/>
            <w:vAlign w:val="bottom"/>
            <w:gridSpan w:val="2"/>
            <w:vMerge w:val="continue"/>
          </w:tcPr>
          <w:p>
            <w:pPr>
              <w:spacing w:after="0"/>
              <w:rPr>
                <w:sz w:val="12"/>
                <w:szCs w:val="12"/>
                <w:color w:val="auto"/>
              </w:rPr>
            </w:pPr>
          </w:p>
        </w:tc>
        <w:tc>
          <w:tcPr>
            <w:tcW w:w="1320" w:type="dxa"/>
            <w:vAlign w:val="bottom"/>
            <w:tcBorders>
              <w:top w:val="single" w:sz="8" w:color="auto"/>
            </w:tcBorders>
            <w:gridSpan w:val="2"/>
          </w:tcPr>
          <w:p>
            <w:pPr>
              <w:jc w:val="right"/>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680" w:type="dxa"/>
            <w:vAlign w:val="bottom"/>
          </w:tcPr>
          <w:p>
            <w:pPr>
              <w:spacing w:after="0"/>
              <w:rPr>
                <w:sz w:val="12"/>
                <w:szCs w:val="12"/>
                <w:color w:val="auto"/>
              </w:rPr>
            </w:pPr>
          </w:p>
        </w:tc>
        <w:tc>
          <w:tcPr>
            <w:tcW w:w="112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5% Stockholders</w:t>
            </w:r>
            <w:r>
              <w:rPr>
                <w:rFonts w:ascii="Times New Roman" w:cs="Times New Roman" w:eastAsia="Times New Roman" w:hAnsi="Times New Roman"/>
                <w:sz w:val="18"/>
                <w:szCs w:val="18"/>
                <w:color w:val="auto"/>
              </w:rPr>
              <w:t>:</w:t>
            </w:r>
          </w:p>
        </w:tc>
        <w:tc>
          <w:tcPr>
            <w:tcW w:w="54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Frazier Healthcare</w:t>
            </w:r>
            <w:r>
              <w:rPr>
                <w:rFonts w:ascii="Times New Roman" w:cs="Times New Roman" w:eastAsia="Times New Roman" w:hAnsi="Times New Roman"/>
                <w:sz w:val="15"/>
                <w:szCs w:val="15"/>
                <w:color w:val="auto"/>
              </w:rPr>
              <w:t>(1)</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3,688,447</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18.0%</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Novo Holdings A/S</w:t>
            </w:r>
            <w:r>
              <w:rPr>
                <w:rFonts w:ascii="Times New Roman" w:cs="Times New Roman" w:eastAsia="Times New Roman" w:hAnsi="Times New Roman"/>
                <w:sz w:val="15"/>
                <w:szCs w:val="15"/>
                <w:color w:val="auto"/>
              </w:rPr>
              <w:t>(2)</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1,936,604</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Alloy Ventures 2005, L.P.</w:t>
            </w:r>
            <w:r>
              <w:rPr>
                <w:rFonts w:ascii="Times New Roman" w:cs="Times New Roman" w:eastAsia="Times New Roman" w:hAnsi="Times New Roman"/>
                <w:sz w:val="15"/>
                <w:szCs w:val="15"/>
                <w:color w:val="auto"/>
              </w:rPr>
              <w:t>(3)</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1,282,485</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Biotechnology Value Fund, L.P.</w:t>
            </w:r>
            <w:r>
              <w:rPr>
                <w:rFonts w:ascii="Times New Roman" w:cs="Times New Roman" w:eastAsia="Times New Roman" w:hAnsi="Times New Roman"/>
                <w:sz w:val="15"/>
                <w:szCs w:val="15"/>
                <w:color w:val="auto"/>
              </w:rPr>
              <w:t>(4)</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1,904,600</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9.3</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Hamza Suria</w:t>
            </w:r>
            <w:r>
              <w:rPr>
                <w:rFonts w:ascii="Times New Roman" w:cs="Times New Roman" w:eastAsia="Times New Roman" w:hAnsi="Times New Roman"/>
                <w:sz w:val="15"/>
                <w:szCs w:val="15"/>
                <w:color w:val="auto"/>
              </w:rPr>
              <w:t>(5)</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562,330</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Marco Londei, M.D.</w:t>
            </w:r>
            <w:r>
              <w:rPr>
                <w:rFonts w:ascii="Times New Roman" w:cs="Times New Roman" w:eastAsia="Times New Roman" w:hAnsi="Times New Roman"/>
                <w:sz w:val="15"/>
                <w:szCs w:val="15"/>
                <w:color w:val="auto"/>
              </w:rPr>
              <w:t>(6)</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212,938</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Moyle Ph.D.</w:t>
            </w:r>
            <w:r>
              <w:rPr>
                <w:rFonts w:ascii="Times New Roman" w:cs="Times New Roman" w:eastAsia="Times New Roman" w:hAnsi="Times New Roman"/>
                <w:sz w:val="15"/>
                <w:szCs w:val="15"/>
                <w:color w:val="auto"/>
              </w:rPr>
              <w:t>(7)</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49,411</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G. Gallagher, Pharm.D.</w:t>
            </w:r>
            <w:r>
              <w:rPr>
                <w:rFonts w:ascii="Times New Roman" w:cs="Times New Roman" w:eastAsia="Times New Roman" w:hAnsi="Times New Roman"/>
                <w:sz w:val="15"/>
                <w:szCs w:val="15"/>
                <w:color w:val="auto"/>
              </w:rPr>
              <w:t>(8)</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162,018</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B. Lydon, Ph.D., FRS</w:t>
            </w:r>
            <w:r>
              <w:rPr>
                <w:rFonts w:ascii="Times New Roman" w:cs="Times New Roman" w:eastAsia="Times New Roman" w:hAnsi="Times New Roman"/>
                <w:sz w:val="15"/>
                <w:szCs w:val="15"/>
                <w:color w:val="auto"/>
              </w:rPr>
              <w:t>(9)</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335,118</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Hollings Renton</w:t>
            </w:r>
            <w:r>
              <w:rPr>
                <w:rFonts w:ascii="Times New Roman" w:cs="Times New Roman" w:eastAsia="Times New Roman" w:hAnsi="Times New Roman"/>
                <w:sz w:val="15"/>
                <w:szCs w:val="15"/>
                <w:color w:val="auto"/>
              </w:rPr>
              <w:t>(10)</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51,156</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Schmid</w:t>
            </w:r>
            <w:r>
              <w:rPr>
                <w:rFonts w:ascii="Times New Roman" w:cs="Times New Roman" w:eastAsia="Times New Roman" w:hAnsi="Times New Roman"/>
                <w:sz w:val="15"/>
                <w:szCs w:val="15"/>
                <w:color w:val="auto"/>
              </w:rPr>
              <w:t>(11)</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42,337</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A. Schoeneck</w:t>
            </w:r>
            <w:r>
              <w:rPr>
                <w:rFonts w:ascii="Times New Roman" w:cs="Times New Roman" w:eastAsia="Times New Roman" w:hAnsi="Times New Roman"/>
                <w:sz w:val="15"/>
                <w:szCs w:val="15"/>
                <w:color w:val="auto"/>
              </w:rPr>
              <w:t>(12)</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42,337</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N. Topper, M.D., Ph.D.</w:t>
            </w:r>
            <w:r>
              <w:rPr>
                <w:rFonts w:ascii="Times New Roman" w:cs="Times New Roman" w:eastAsia="Times New Roman" w:hAnsi="Times New Roman"/>
                <w:sz w:val="15"/>
                <w:szCs w:val="15"/>
                <w:color w:val="auto"/>
              </w:rPr>
              <w:t>(1)</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3,688,447</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18.0</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Anthony Ware, M.D.</w:t>
            </w:r>
            <w:r>
              <w:rPr>
                <w:rFonts w:ascii="Times New Roman" w:cs="Times New Roman" w:eastAsia="Times New Roman" w:hAnsi="Times New Roman"/>
                <w:sz w:val="15"/>
                <w:szCs w:val="15"/>
                <w:color w:val="auto"/>
              </w:rPr>
              <w:t>(13)</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1,588</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(ten persons)</w:t>
            </w:r>
            <w:r>
              <w:rPr>
                <w:rFonts w:ascii="Times New Roman" w:cs="Times New Roman" w:eastAsia="Times New Roman" w:hAnsi="Times New Roman"/>
                <w:sz w:val="15"/>
                <w:szCs w:val="15"/>
                <w:color w:val="auto"/>
              </w:rPr>
              <w:t>(14)</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5,147,680</w:t>
            </w: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23.9</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55" w:right="2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460" w:right="160" w:hanging="452"/>
        <w:spacing w:after="0" w:line="253"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13-D filed by Frazier Healthcare V, L.P. on February 10, 2017. Consists of (a) 2,345,612 shares of common stock held directly by Frazier Healthcare V, L.P., (b) 1,045,031 shares of common stock held directly by Frazier Healthcare VII, L.P., (c) 297,804 shares of common stock held directly by Frazier Healthcare VII-A,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Form 4 filed by Novo Holdings A/S on August 21, 2017. Consists of (a) 1,936,604 shares of common stock held directly by Novo Holdings A/S. The board of directors of Novo A/S, which is currently comprised of Sten Scheibye, Gôran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The address of Novo A/S is Tuborg Havnevej 19, 2900 Hellerup, Denmark.</w:t>
      </w:r>
    </w:p>
    <w:p>
      <w:pPr>
        <w:spacing w:after="0" w:line="2" w:lineRule="exact"/>
        <w:rPr>
          <w:rFonts w:ascii="Times New Roman" w:cs="Times New Roman" w:eastAsia="Times New Roman" w:hAnsi="Times New Roman"/>
          <w:sz w:val="18"/>
          <w:szCs w:val="18"/>
          <w:color w:val="auto"/>
        </w:rPr>
      </w:pPr>
    </w:p>
    <w:p>
      <w:pPr>
        <w:ind w:left="460" w:right="180" w:hanging="452"/>
        <w:spacing w:after="0" w:line="265"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1,282,485 shares of common stock held directly by Alloy Ventures 2005, L.P. The general partner of Alloy Ventures 2005, L.P. is Alloy Ventures 2005, LLC. The managing members of Alloy Ventures 2005, LLC are Craig Taylor, Doug Kelly John Shoch, Dan Rubin and Tony Di Bona.</w:t>
      </w:r>
    </w:p>
    <w:p>
      <w:pPr>
        <w:ind w:left="460" w:right="20" w:hanging="452"/>
        <w:spacing w:after="0" w:line="250"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13-G filed by Biotechnology Value Fund L.P. on January 26, 2017. Consists of (a) 907,116 shares of common stock held directly by Biotechnology Value Fund, L.P., (b) 551,019 shares of common stock directly by Biotechnology Value Fund II, L.P., (c) 74,064 shares of common stock held directly by Trading Fund OS and (d) 372,401 shares of common stock held directly in the Partners Managed Accounts.</w:t>
      </w:r>
    </w:p>
    <w:p>
      <w:pPr>
        <w:spacing w:after="0" w:line="1"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4,998 shares of common stock held directly by Mr. Suria and (b) 557,332 shares of common stock issuable to Mr. Suria upon the exercise of stock options that are exercisable within 60 days of August 31, 2017, of which 102,499 shares were unvested but were early exercisable, as of 60 days after August 31, 2017.</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2,020 shares of common stock held directly by Dr. Londei and (b) 210,918 shares of common stock issuable to Dr. Londei upon the exercise of stock options that are exercisable within 60 days of August 31, 2017, of which 40,241 shares were unvested but were early exercisable, as of 60 days after August 31, 2017.</w:t>
      </w:r>
    </w:p>
    <w:p>
      <w:pPr>
        <w:spacing w:after="0" w:line="1" w:lineRule="exact"/>
        <w:rPr>
          <w:rFonts w:ascii="Times New Roman" w:cs="Times New Roman" w:eastAsia="Times New Roman" w:hAnsi="Times New Roman"/>
          <w:sz w:val="18"/>
          <w:szCs w:val="18"/>
          <w:color w:val="auto"/>
        </w:rPr>
      </w:pPr>
    </w:p>
    <w:p>
      <w:pPr>
        <w:ind w:left="460" w:right="140" w:hanging="452"/>
        <w:spacing w:after="0" w:line="250"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Moyle resigned as our Chief Scientific Officer effective July 21, 2017. Consists of (a) 30,000 shares of common stock held directly by Mr. Moyle and (b) 19,411 shares of common stock issuable to Mr. Moyle upon the exercise of stock options that are exercisable within 60 days of August 31, 2017.</w:t>
      </w:r>
    </w:p>
    <w:p>
      <w:pPr>
        <w:spacing w:after="0" w:line="1"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64,296 shares of common stock held directly by Dr. Gallagher and (b) 97,722 shares of common stock issuable to Dr. Gallagher upon the exercise of stock options that are exercisable within 60 days of August 31, 2017.</w:t>
      </w:r>
    </w:p>
    <w:p>
      <w:pPr>
        <w:ind w:left="460" w:right="60" w:hanging="452"/>
        <w:spacing w:after="0" w:line="250"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287,623 shares of common stock held directly by Dr. Lydon, (b) 16,483 shares of common stock issuable upon the exercise of a warrant held directly by Dr. Lydon and (c) 31,012 shares of common stock issuable to Dr. Lydon upon the exercise of stock options that are exercisable within 60 days of August 31, 2017, of which 2,134 shares were unvested but were early exercisable, as of 60 days after August 31, 2017.</w:t>
      </w:r>
    </w:p>
    <w:p>
      <w:pPr>
        <w:spacing w:after="0" w:line="1"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51,156 shares of common stock issuable to Mr. Renton upon the exercise of stock options that are exercisable within 60 days of August 31, 2017, of which 11,652 shares were unvested but were early exercisable, as of 60 days after August 31, 2017.</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460" w:right="20" w:hanging="452"/>
        <w:spacing w:after="0" w:line="26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42,337 shares of common stock issuable to Mr. Schmid upon the exercise of stock options that are exercisable within 60 days of August 31, 2017, of which 12,275 shares were unvested but were early exercisable, as of 60 days after August 31, 2017.</w:t>
      </w:r>
    </w:p>
    <w:p>
      <w:pPr>
        <w:ind w:left="460" w:right="620" w:hanging="452"/>
        <w:spacing w:after="0" w:line="250"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42,337 shares of common stock issuable to Mr. Schoeneck upon the exercise of stock options that are exercisable within 60 days of August 31, 2017, of which 15,288 shares were unvested but were early exercisable, as of 60 days after August 31, 2017.</w:t>
      </w:r>
    </w:p>
    <w:p>
      <w:pPr>
        <w:ind w:left="460" w:right="280" w:hanging="452"/>
        <w:spacing w:after="0" w:line="250"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1,588 shares of common stock issuable to Mr. Ware upon the exercise of stock options that are exercisable within 60 days of August 31, 2017.</w:t>
      </w:r>
    </w:p>
    <w:p>
      <w:pPr>
        <w:ind w:left="460" w:right="240" w:hanging="452"/>
        <w:spacing w:after="0" w:line="277" w:lineRule="auto"/>
        <w:tabs>
          <w:tab w:leader="none" w:pos="4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beneficially owned by our executive officers and directors. Consists of (a) 4,077,384 shares of common stock, (b) 16,483 shares of common stock issuable upon the exercise of warrants and (b) 1,053,813 shares of common stock issuable upon the exercise of stock options that are exercisable within 60 days of August 31, 2017, of which 184,089 shares were unvested but early exercisable, as of 60 days after August 31, 2017.</w:t>
      </w:r>
    </w:p>
    <w:p>
      <w:pPr>
        <w:spacing w:after="0" w:line="16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above table does not include Dominic G. Piscitelli, who commenced his employment with us as our Chief Financial Officer in January 2017. As of August 31, 2017, Mr. Piscitelli was granted options to purchase 245,241 shares of our common stock, none of which are exercisable within 60 days of August 31, 2017.</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4"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As of June 30, 2017, there were 20,289,907 shares of our common stock issued, held by approximately 95 stockholders of record, and no shares of our preferred stock outstanding. Our board of directors is authorized, without stockholder approval, to issue additional shares of our capital stock.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 Preemptive or Similar Rights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 to Receive Liquidation Distributions</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2017, we had outstanding warrants to purchase an aggregate of 198,009 shares of our common stock, with an exercise price of $4.55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we had outstanding options to purchase an aggregate 2,643,180 shares of our common stock, with a weighted-average exercise price of $10.62. Subsequent to June 30, 2017, we granted stock options to purchase 55,715 shares of common stock, with a weighted-average exercise price of $21.61 per share.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Pursuant to the terms of our Amended and Restated Investor Rights Agreement, the holders of approximately 9,240,026 shares of our common stock are entitled to rights with respect to the registration of these shares under the Securities Act, as described below. We refer to these shares collectively as registrable securities.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Demand Registration Rights</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At any point, the holders of at least a majority of the then-outstanding registrable securities may make a written request to us for the 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S-3 Registration Rights</w:t>
      </w:r>
    </w:p>
    <w:p>
      <w:pPr>
        <w:spacing w:after="0" w:line="229"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Any holder of then-outstanding registrable securities can request that we register all or part of their shares on Form S-3 if we are eligible to file a registration statement on Form S-3 and if the aggregate price to the public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Piggyback Registration Rights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Expenses of Registration Rights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generally will pay all expenses, other than underwriting discounts and commissions.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Expiration of Registration Rights</w:t>
      </w:r>
    </w:p>
    <w:p>
      <w:pPr>
        <w:spacing w:after="0" w:line="22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registration rights described above will expire, with respect to any particular holder of these rights, on the earlier of the fifth anniversary of the closing of our initial public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229"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regulating corporate takeovers. In general, Section 203 prohibits a publicly-held Delaware corporation from engaging in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business combination with an interested stockholder for a period of three years following the date on which the person became an interested stockholder unless:</w:t>
      </w:r>
    </w:p>
    <w:p>
      <w:pPr>
        <w:spacing w:after="0" w:line="67" w:lineRule="exact"/>
        <w:rPr>
          <w:sz w:val="20"/>
          <w:szCs w:val="20"/>
          <w:color w:val="auto"/>
        </w:rPr>
      </w:pPr>
    </w:p>
    <w:p>
      <w:pPr>
        <w:ind w:left="660" w:right="520" w:hanging="206"/>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660" w:right="40" w:hanging="206"/>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5" w:lineRule="exact"/>
        <w:rPr>
          <w:rFonts w:ascii="Times New Roman" w:cs="Times New Roman" w:eastAsia="Times New Roman" w:hAnsi="Times New Roman"/>
          <w:sz w:val="18"/>
          <w:szCs w:val="18"/>
          <w:color w:val="auto"/>
        </w:rPr>
      </w:pPr>
    </w:p>
    <w:p>
      <w:pPr>
        <w:ind w:left="660" w:hanging="206"/>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and Restated Bylaw Provisions</w:t>
      </w:r>
    </w:p>
    <w:p>
      <w:pPr>
        <w:spacing w:after="0" w:line="22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65" w:lineRule="exact"/>
        <w:rPr>
          <w:sz w:val="20"/>
          <w:szCs w:val="20"/>
          <w:color w:val="auto"/>
        </w:rPr>
      </w:pPr>
    </w:p>
    <w:p>
      <w:pPr>
        <w:ind w:left="660" w:right="140" w:hanging="206"/>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restated certificate of incorporation and restated bylaws authorize only our board of directors to fill vacant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5" w:lineRule="exact"/>
        <w:rPr>
          <w:rFonts w:ascii="Times New Roman" w:cs="Times New Roman" w:eastAsia="Times New Roman" w:hAnsi="Times New Roman"/>
          <w:sz w:val="18"/>
          <w:szCs w:val="18"/>
          <w:color w:val="auto"/>
        </w:rPr>
      </w:pPr>
    </w:p>
    <w:p>
      <w:pPr>
        <w:ind w:left="660" w:right="20" w:hanging="206"/>
        <w:spacing w:after="0" w:line="26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restated certificate of incorporation and restated bylaws provide that our board is classified into three classes of directors,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78" w:lineRule="exact"/>
        <w:rPr>
          <w:rFonts w:ascii="Times New Roman" w:cs="Times New Roman" w:eastAsia="Times New Roman" w:hAnsi="Times New Roman"/>
          <w:sz w:val="18"/>
          <w:szCs w:val="18"/>
          <w:color w:val="auto"/>
        </w:rPr>
      </w:pPr>
    </w:p>
    <w:p>
      <w:pPr>
        <w:ind w:left="660" w:right="20" w:hanging="206"/>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Meetings of Stockholders. </w:t>
      </w:r>
      <w:r>
        <w:rPr>
          <w:rFonts w:ascii="Times New Roman" w:cs="Times New Roman" w:eastAsia="Times New Roman" w:hAnsi="Times New Roman"/>
          <w:sz w:val="18"/>
          <w:szCs w:val="18"/>
          <w:color w:val="auto"/>
        </w:rPr>
        <w:t>Our restated certificate of incorporation provides that our stockholders may not take 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680" w:right="200"/>
        <w:spacing w:after="0" w:line="266" w:lineRule="auto"/>
        <w:rPr>
          <w:sz w:val="20"/>
          <w:szCs w:val="20"/>
          <w:color w:val="auto"/>
        </w:rPr>
      </w:pPr>
      <w:r>
        <w:rPr>
          <w:rFonts w:ascii="Times New Roman" w:cs="Times New Roman" w:eastAsia="Times New Roman" w:hAnsi="Times New Roman"/>
          <w:sz w:val="18"/>
          <w:szCs w:val="18"/>
          <w:color w:val="auto"/>
        </w:rPr>
        <w:t>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0" w:lineRule="exact"/>
        <w:rPr>
          <w:sz w:val="20"/>
          <w:szCs w:val="20"/>
          <w:color w:val="auto"/>
        </w:rPr>
      </w:pPr>
    </w:p>
    <w:p>
      <w:pPr>
        <w:ind w:left="660" w:right="120" w:hanging="206"/>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restated bylaws provide advance notice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8" w:lineRule="exact"/>
        <w:rPr>
          <w:rFonts w:ascii="Times New Roman" w:cs="Times New Roman" w:eastAsia="Times New Roman" w:hAnsi="Times New Roman"/>
          <w:sz w:val="18"/>
          <w:szCs w:val="18"/>
          <w:color w:val="auto"/>
        </w:rPr>
      </w:pPr>
    </w:p>
    <w:p>
      <w:pPr>
        <w:jc w:val="both"/>
        <w:ind w:left="660" w:right="400" w:hanging="206"/>
        <w:spacing w:after="0" w:line="26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the right to cumulate votes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directors unless a corporation’s certificate of incorporation provides otherwise. Our restated certificate of incorporation and restated bylaws do not provide for cumulative voting.</w:t>
      </w:r>
    </w:p>
    <w:p>
      <w:pPr>
        <w:spacing w:after="0" w:line="78" w:lineRule="exact"/>
        <w:rPr>
          <w:rFonts w:ascii="Times New Roman" w:cs="Times New Roman" w:eastAsia="Times New Roman" w:hAnsi="Times New Roman"/>
          <w:sz w:val="18"/>
          <w:szCs w:val="18"/>
          <w:color w:val="auto"/>
        </w:rPr>
      </w:pPr>
    </w:p>
    <w:p>
      <w:pPr>
        <w:ind w:left="660" w:right="300" w:hanging="206"/>
        <w:spacing w:after="0" w:line="28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Our restated certificate of incorporation provides that stockholders may remove directors only for cause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by the affirmative vote of the holders of at least two-thirds of our outstanding common stock.</w:t>
      </w:r>
    </w:p>
    <w:p>
      <w:pPr>
        <w:spacing w:after="0" w:line="63" w:lineRule="exact"/>
        <w:rPr>
          <w:rFonts w:ascii="Times New Roman" w:cs="Times New Roman" w:eastAsia="Times New Roman" w:hAnsi="Times New Roman"/>
          <w:sz w:val="18"/>
          <w:szCs w:val="18"/>
          <w:color w:val="auto"/>
        </w:rPr>
      </w:pPr>
    </w:p>
    <w:p>
      <w:pPr>
        <w:ind w:left="660" w:right="220" w:hanging="206"/>
        <w:spacing w:after="0" w:line="28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Any amendment of the above provisions in our restated certificate of incorporation would require approval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at least two-thirds of our outstanding common stock.</w:t>
      </w:r>
    </w:p>
    <w:p>
      <w:pPr>
        <w:spacing w:after="0" w:line="63" w:lineRule="exact"/>
        <w:rPr>
          <w:rFonts w:ascii="Times New Roman" w:cs="Times New Roman" w:eastAsia="Times New Roman" w:hAnsi="Times New Roman"/>
          <w:sz w:val="18"/>
          <w:szCs w:val="18"/>
          <w:color w:val="auto"/>
        </w:rPr>
      </w:pPr>
    </w:p>
    <w:p>
      <w:pPr>
        <w:ind w:left="660" w:hanging="206"/>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5" w:lineRule="exact"/>
        <w:rPr>
          <w:rFonts w:ascii="Times New Roman" w:cs="Times New Roman" w:eastAsia="Times New Roman" w:hAnsi="Times New Roman"/>
          <w:sz w:val="18"/>
          <w:szCs w:val="18"/>
          <w:color w:val="auto"/>
        </w:rPr>
      </w:pPr>
    </w:p>
    <w:p>
      <w:pPr>
        <w:ind w:left="660" w:hanging="206"/>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restated certificate of incorporation provides that the Court of Chancery of the State of Delaware will be the exclusive forum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and Trust Company, LLC. The transfer agent’s address is 6201 15th Avenue, Brooklyn, New York 11219, and its telephone number is (800) 937-5449.</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455" w:right="2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considerations relating to the acquisition, ownership and disposition of our common stock acquired in this offering by “non-U.S. holders” (as defined below).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2" w:lineRule="exact"/>
        <w:rPr>
          <w:sz w:val="20"/>
          <w:szCs w:val="20"/>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treated as partnerships or pass-through entities for U.S. federal tax purposes (or investors in such entities);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or the Medicare contribution tax on net investment income;</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tax-qualified retirement plans;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as compensation for services;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(except to the extent specifically set forth below);</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or other risk reduction transaction;</w:t>
      </w:r>
    </w:p>
    <w:p>
      <w:pPr>
        <w:spacing w:after="0" w:line="130" w:lineRule="exact"/>
        <w:rPr>
          <w:rFonts w:ascii="Times New Roman" w:cs="Times New Roman" w:eastAsia="Times New Roman" w:hAnsi="Times New Roman"/>
          <w:sz w:val="18"/>
          <w:szCs w:val="18"/>
          <w:color w:val="auto"/>
        </w:rPr>
      </w:pPr>
    </w:p>
    <w:p>
      <w:pPr>
        <w:ind w:left="660" w:right="160" w:hanging="206"/>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for investment purposes); or</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this summary, a “non-U.S. holder” is any beneficial owner of our common stock, other than a partnership, that is not:</w:t>
      </w:r>
    </w:p>
    <w:p>
      <w:pPr>
        <w:spacing w:after="0" w:line="131" w:lineRule="exact"/>
        <w:rPr>
          <w:sz w:val="20"/>
          <w:szCs w:val="20"/>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therein or the District of Columbia;</w:t>
      </w:r>
    </w:p>
    <w:p>
      <w:pPr>
        <w:spacing w:after="0" w:line="67"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income tax regardless of source.</w:t>
      </w:r>
    </w:p>
    <w:p>
      <w:pPr>
        <w:spacing w:after="0" w:line="225" w:lineRule="exact"/>
        <w:rPr>
          <w:sz w:val="20"/>
          <w:szCs w:val="20"/>
          <w:color w:val="auto"/>
        </w:rPr>
      </w:pPr>
    </w:p>
    <w:p>
      <w:pPr>
        <w:jc w:val="both"/>
        <w:ind w:right="20" w:firstLine="456"/>
        <w:spacing w:after="0" w:line="270" w:lineRule="auto"/>
        <w:rPr>
          <w:sz w:val="20"/>
          <w:szCs w:val="20"/>
          <w:color w:val="auto"/>
        </w:rPr>
      </w:pPr>
      <w:r>
        <w:rPr>
          <w:rFonts w:ascii="Times New Roman" w:cs="Times New Roman" w:eastAsia="Times New Roman" w:hAnsi="Times New Roman"/>
          <w:sz w:val="17"/>
          <w:szCs w:val="17"/>
          <w:color w:val="auto"/>
        </w:rPr>
        <w:t>If you are a non-U.S. citizen who is an individual,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subject to U.S. federal income tax as if they were U.S. citizens.</w:t>
      </w:r>
    </w:p>
    <w:p>
      <w:pPr>
        <w:spacing w:after="0" w:line="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Such an individual is urged to consult his or her own tax advisor regarding the U.S. federal income tax consequences of the ownership or disposition of our common stock.</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18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See also the section below titled “—Foreign Account Tax Compliance Act” for additional withholding rules that may apply to dividends paid to certain foreign financial institutions or non-financial foreign entities.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Sale of Common Stock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discussions below regarding Backup Withholding and Information Reporting and the Foreign Account Tax Compliance Act,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will generally not be subject to U.S. federal income tax on any gains realized on the sale, exchange or other disposition of our common stock unless:</w:t>
      </w:r>
    </w:p>
    <w:p>
      <w:pPr>
        <w:spacing w:after="0" w:line="112" w:lineRule="exact"/>
        <w:rPr>
          <w:sz w:val="20"/>
          <w:szCs w:val="20"/>
          <w:color w:val="auto"/>
        </w:rPr>
      </w:pPr>
    </w:p>
    <w:p>
      <w:pPr>
        <w:jc w:val="both"/>
        <w:ind w:left="660" w:right="140" w:hanging="206"/>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81" w:lineRule="exact"/>
        <w:rPr>
          <w:rFonts w:ascii="Times New Roman" w:cs="Times New Roman" w:eastAsia="Times New Roman" w:hAnsi="Times New Roman"/>
          <w:sz w:val="18"/>
          <w:szCs w:val="18"/>
          <w:color w:val="auto"/>
        </w:rPr>
      </w:pPr>
    </w:p>
    <w:p>
      <w:pPr>
        <w:ind w:left="660" w:right="60" w:hanging="206"/>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85"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treat the gain as effectively connected with a U.S. trade or business.</w:t>
      </w:r>
    </w:p>
    <w:p>
      <w:pPr>
        <w:spacing w:after="0" w:line="225"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gain realized by a Non U.S. Holder on a disposition of our common stock will not be subject to U.S. federal income tax so long as (1) the Non U.S. Holder owned, directly, indirectly or constructively, no more than five percent of our common stock at all times within the shorter of (i) the five year period preceding the disposition or (ii) the holder’s holding period and (2) our common stock is regularly traded on an established securities market.</w:t>
      </w:r>
    </w:p>
    <w:p>
      <w:pPr>
        <w:spacing w:after="0" w:line="18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(i) is effectively connected with a U.S. trade or business conducted by a non-U.S. holder and (ii) if required by an applicable income tax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2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67" w:lineRule="exact"/>
        <w:rPr>
          <w:sz w:val="20"/>
          <w:szCs w:val="20"/>
          <w:color w:val="auto"/>
        </w:rPr>
      </w:pPr>
    </w:p>
    <w:p>
      <w:pPr>
        <w:ind w:left="660" w:hanging="20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person (including a foreign branch or office of such person);</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for U.S. federal income tax purposes;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person 50% or more of whose gross income from certain periods is effectively connected with a U.S. trade or business; or</w:t>
      </w:r>
    </w:p>
    <w:p>
      <w:pPr>
        <w:spacing w:after="0" w:line="130" w:lineRule="exact"/>
        <w:rPr>
          <w:rFonts w:ascii="Times New Roman" w:cs="Times New Roman" w:eastAsia="Times New Roman" w:hAnsi="Times New Roman"/>
          <w:sz w:val="18"/>
          <w:szCs w:val="18"/>
          <w:color w:val="auto"/>
        </w:rPr>
      </w:pPr>
    </w:p>
    <w:p>
      <w:pPr>
        <w:ind w:left="660" w:right="140" w:hanging="206"/>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9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784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3100" w:type="dxa"/>
            <w:vAlign w:val="bottom"/>
          </w:tcPr>
          <w:p>
            <w:pPr>
              <w:spacing w:after="0"/>
              <w:rPr>
                <w:sz w:val="17"/>
                <w:szCs w:val="17"/>
                <w:color w:val="auto"/>
              </w:rPr>
            </w:pPr>
          </w:p>
        </w:tc>
      </w:tr>
      <w:tr>
        <w:trPr>
          <w:trHeight w:val="511"/>
        </w:trPr>
        <w:tc>
          <w:tcPr>
            <w:tcW w:w="1360" w:type="dxa"/>
            <w:vAlign w:val="bottom"/>
            <w:tcBorders>
              <w:top w:val="single" w:sz="8" w:color="0000EE"/>
            </w:tcBorders>
          </w:tcPr>
          <w:p>
            <w:pPr>
              <w:spacing w:after="0"/>
              <w:rPr>
                <w:sz w:val="24"/>
                <w:szCs w:val="24"/>
                <w:color w:val="auto"/>
              </w:rPr>
            </w:pPr>
          </w:p>
        </w:tc>
        <w:tc>
          <w:tcPr>
            <w:tcW w:w="648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Confidential Treatment Requested by AnaptysBio, Inc.</w:t>
            </w:r>
          </w:p>
        </w:tc>
        <w:tc>
          <w:tcPr>
            <w:tcW w:w="3100" w:type="dxa"/>
            <w:vAlign w:val="bottom"/>
          </w:tcPr>
          <w:p>
            <w:pPr>
              <w:spacing w:after="0"/>
              <w:rPr>
                <w:sz w:val="24"/>
                <w:szCs w:val="24"/>
                <w:color w:val="auto"/>
              </w:rPr>
            </w:pPr>
          </w:p>
        </w:tc>
      </w:tr>
      <w:tr>
        <w:trPr>
          <w:trHeight w:val="238"/>
        </w:trPr>
        <w:tc>
          <w:tcPr>
            <w:tcW w:w="1360" w:type="dxa"/>
            <w:vAlign w:val="bottom"/>
          </w:tcPr>
          <w:p>
            <w:pPr>
              <w:spacing w:after="0"/>
              <w:rPr>
                <w:sz w:val="20"/>
                <w:szCs w:val="20"/>
                <w:color w:val="auto"/>
              </w:rPr>
            </w:pPr>
          </w:p>
        </w:tc>
        <w:tc>
          <w:tcPr>
            <w:tcW w:w="648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Pursuant to 17 C.F.R. Section 200.83</w:t>
            </w:r>
          </w:p>
        </w:tc>
        <w:tc>
          <w:tcPr>
            <w:tcW w:w="310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648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UNDERWRITING</w:t>
            </w:r>
          </w:p>
        </w:tc>
        <w:tc>
          <w:tcPr>
            <w:tcW w:w="3100" w:type="dxa"/>
            <w:vAlign w:val="bottom"/>
          </w:tcPr>
          <w:p>
            <w:pPr>
              <w:spacing w:after="0"/>
              <w:rPr>
                <w:sz w:val="24"/>
                <w:szCs w:val="24"/>
                <w:color w:val="auto"/>
              </w:rPr>
            </w:pPr>
          </w:p>
        </w:tc>
      </w:tr>
      <w:tr>
        <w:trPr>
          <w:trHeight w:val="432"/>
        </w:trPr>
        <w:tc>
          <w:tcPr>
            <w:tcW w:w="7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w w:val="99"/>
              </w:rPr>
              <w:t>, we have agreed to sell to the underwriters</w:t>
            </w:r>
          </w:p>
        </w:tc>
      </w:tr>
    </w:tbl>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named below, for whom Credit Suisse Securities (USA) LLC, Jefferies LLC and Stifel, Nicolaus &amp; Company, Incorporated are acting as representatives, the following respective numbers of shares of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0"/>
        </w:trPr>
        <w:tc>
          <w:tcPr>
            <w:tcW w:w="10720" w:type="dxa"/>
            <w:vAlign w:val="bottom"/>
            <w:gridSpan w:val="2"/>
            <w:vMerge w:val="continue"/>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72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Credit Suisse Securities (USA) LLC</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 other than those shares covered by the option to purchase additional shares described below. The underwriting agreement also provides that if an underwriter defaults the purchase commitments of non-defaulting underwriters may be increased or the offering may be terminated.</w:t>
      </w:r>
    </w:p>
    <w:p>
      <w:pPr>
        <w:sectPr>
          <w:pgSz w:w="11900" w:h="16838" w:orient="portrait"/>
          <w:cols w:equalWidth="0" w:num="1">
            <w:col w:w="11420"/>
          </w:cols>
          <w:pgMar w:left="240" w:top="446" w:right="239" w:bottom="1440" w:gutter="0" w:footer="0" w:header="0"/>
        </w:sectPr>
      </w:pP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underwriting discounts and commissions.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shares at the public offering price less the</w:t>
      </w:r>
    </w:p>
    <w:p>
      <w:pPr>
        <w:spacing w:after="0" w:line="441" w:lineRule="exact"/>
        <w:rPr>
          <w:sz w:val="20"/>
          <w:szCs w:val="20"/>
          <w:color w:val="auto"/>
        </w:rPr>
      </w:pPr>
    </w:p>
    <w:p>
      <w:pPr>
        <w:sectPr>
          <w:pgSz w:w="11900" w:h="16838" w:orient="portrait"/>
          <w:cols w:equalWidth="0" w:num="2">
            <w:col w:w="6880" w:space="580"/>
            <w:col w:w="3960"/>
          </w:cols>
          <w:pgMar w:left="240" w:top="446"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The underwriters propose to offer the shares of common stock initially at the public offering price on the cover page of this prospectus and to selling</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group members at that price less a selling concession of $ per share. The underwriters and selling group members may allow a discount of $ per share on sales to other broker/dealers. After the public offering the underwriters may change the public offering price and concession and discount to broker/dealers.</w:t>
      </w:r>
    </w:p>
    <w:p>
      <w:pPr>
        <w:spacing w:after="0" w:line="3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compensation we will pay: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60" w:type="dxa"/>
            <w:vAlign w:val="bottom"/>
          </w:tcPr>
          <w:p>
            <w:pPr>
              <w:spacing w:after="0"/>
              <w:rPr>
                <w:sz w:val="15"/>
                <w:szCs w:val="15"/>
                <w:color w:val="auto"/>
              </w:rPr>
            </w:pPr>
          </w:p>
        </w:tc>
        <w:tc>
          <w:tcPr>
            <w:tcW w:w="1040" w:type="dxa"/>
            <w:vAlign w:val="bottom"/>
            <w:gridSpan w:val="2"/>
          </w:tcPr>
          <w:p>
            <w:pPr>
              <w:jc w:val="right"/>
              <w:ind w:right="62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4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73"/>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78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28"/>
        </w:trPr>
        <w:tc>
          <w:tcPr>
            <w:tcW w:w="67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Borders>
              <w:top w:val="single" w:sz="8" w:color="auto"/>
            </w:tcBorders>
          </w:tcPr>
          <w:p>
            <w:pPr>
              <w:jc w:val="right"/>
              <w:ind w:right="48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50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50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ind w:right="486"/>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14"/>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 estimate that our out of pocket expenses for this offering will be approximately $</w:t>
            </w:r>
          </w:p>
        </w:tc>
        <w:tc>
          <w:tcPr>
            <w:tcW w:w="46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We have also agreed to reimburse the underwriters for up to</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$35,000 for their FINRA counsel fee. In accordance with FINRA Rule 5110, this reimbursed fee is deemed underwriting compensation for this offering.</w:t>
      </w:r>
    </w:p>
    <w:p>
      <w:pPr>
        <w:spacing w:after="0" w:line="207"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We and our executive officers and directors (other than Dr. Lydon) have agreed with the underwriters that, for a period of 90 days after the date of this prospectus, and Dr. Lydon and entities affiliated with Frazier Healthcare have agreed with the underwriters that, for a period of 60 days after the date of this prospectus,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46"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w:t>
      </w:r>
    </w:p>
    <w:p>
      <w:pPr>
        <w:spacing w:after="0" w:line="18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restrictions on our executive officers and directors and their affiliates above do not apply to the following, subject to certain limitations set forth in the lock-up agreements:</w:t>
      </w:r>
    </w:p>
    <w:p>
      <w:pPr>
        <w:spacing w:after="0" w:line="67" w:lineRule="exact"/>
        <w:rPr>
          <w:sz w:val="20"/>
          <w:szCs w:val="20"/>
          <w:color w:val="auto"/>
        </w:rPr>
      </w:pPr>
    </w:p>
    <w:p>
      <w:pPr>
        <w:ind w:left="660" w:hanging="20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as a bona fide gift;</w:t>
      </w:r>
    </w:p>
    <w:p>
      <w:pPr>
        <w:spacing w:after="0" w:line="130"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securities to any trust for the direct or indirect benefit of the lock-up signatory or any member of the immediate family of the lock-up signatory;</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to affiliates;</w:t>
      </w:r>
    </w:p>
    <w:p>
      <w:pPr>
        <w:spacing w:after="0" w:line="130" w:lineRule="exact"/>
        <w:rPr>
          <w:rFonts w:ascii="Times New Roman" w:cs="Times New Roman" w:eastAsia="Times New Roman" w:hAnsi="Times New Roman"/>
          <w:sz w:val="18"/>
          <w:szCs w:val="18"/>
          <w:color w:val="auto"/>
        </w:rPr>
      </w:pPr>
    </w:p>
    <w:p>
      <w:pPr>
        <w:ind w:left="660" w:right="26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by will, other testamentary document or intestate succession to the legal representative, heir, beneficiary or a member of the immediate family of the lock-up signatory;</w:t>
      </w:r>
    </w:p>
    <w:p>
      <w:pPr>
        <w:spacing w:after="0" w:line="67" w:lineRule="exact"/>
        <w:rPr>
          <w:rFonts w:ascii="Times New Roman" w:cs="Times New Roman" w:eastAsia="Times New Roman" w:hAnsi="Times New Roman"/>
          <w:sz w:val="18"/>
          <w:szCs w:val="18"/>
          <w:color w:val="auto"/>
        </w:rPr>
      </w:pPr>
    </w:p>
    <w:p>
      <w:pPr>
        <w:ind w:left="660" w:right="12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any trading plan established pursuant to Rule 10b5-1 under the Exchange Act;</w:t>
      </w:r>
    </w:p>
    <w:p>
      <w:pPr>
        <w:spacing w:after="0" w:line="130" w:lineRule="exact"/>
        <w:rPr>
          <w:rFonts w:ascii="Times New Roman" w:cs="Times New Roman" w:eastAsia="Times New Roman" w:hAnsi="Times New Roman"/>
          <w:sz w:val="18"/>
          <w:szCs w:val="18"/>
          <w:color w:val="auto"/>
        </w:rPr>
      </w:pPr>
    </w:p>
    <w:p>
      <w:pPr>
        <w:ind w:left="660" w:right="8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options, warrants or other rights to acquire shares of common stock in accordance with their terms pursuant to an employee benefit plan, option, warrant or other right;</w:t>
      </w:r>
    </w:p>
    <w:p>
      <w:pPr>
        <w:spacing w:after="0" w:line="67" w:lineRule="exact"/>
        <w:rPr>
          <w:rFonts w:ascii="Times New Roman" w:cs="Times New Roman" w:eastAsia="Times New Roman" w:hAnsi="Times New Roman"/>
          <w:sz w:val="18"/>
          <w:szCs w:val="18"/>
          <w:color w:val="auto"/>
        </w:rPr>
      </w:pPr>
    </w:p>
    <w:p>
      <w:pPr>
        <w:ind w:left="660" w:right="34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court order or settlement agreement related to the distribution of assets in connection with the dissolution of a marriage or civil union;</w:t>
      </w:r>
    </w:p>
    <w:p>
      <w:pPr>
        <w:spacing w:after="0" w:line="67"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certain stockholders of shares purchased in this offering; or</w:t>
      </w:r>
    </w:p>
    <w:p>
      <w:pPr>
        <w:spacing w:after="0" w:line="130" w:lineRule="exact"/>
        <w:rPr>
          <w:rFonts w:ascii="Times New Roman" w:cs="Times New Roman" w:eastAsia="Times New Roman" w:hAnsi="Times New Roman"/>
          <w:sz w:val="18"/>
          <w:szCs w:val="18"/>
          <w:color w:val="auto"/>
        </w:rPr>
      </w:pPr>
    </w:p>
    <w:p>
      <w:pPr>
        <w:jc w:val="both"/>
        <w:ind w:left="660" w:right="100" w:hanging="206"/>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7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liabilities under the Securities Act, or contribute to payments that the underwriters may be required to make in that respect.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“ANAB.”</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and passive market making in accordance with Regulation M under the Securities Exchange Act of 1934, as amended, or the Exchange Act.</w:t>
      </w:r>
    </w:p>
    <w:p>
      <w:pPr>
        <w:spacing w:after="0" w:line="67" w:lineRule="exact"/>
        <w:rPr>
          <w:sz w:val="20"/>
          <w:szCs w:val="20"/>
          <w:color w:val="auto"/>
        </w:rPr>
      </w:pPr>
    </w:p>
    <w:p>
      <w:pPr>
        <w:ind w:left="660" w:hanging="206"/>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5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660" w:right="40" w:hanging="206"/>
        <w:spacing w:after="0" w:line="25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additional shares that they have the option to purchase. In a naked short position, the number of shares involved is greater than the number of additional shares that they have the option to purchase. The underwriters may close out any covered short position by either exercising their option to purchase additional shares and/or purchasing shares in the open market.</w:t>
      </w:r>
    </w:p>
    <w:p>
      <w:pPr>
        <w:spacing w:after="0" w:line="93" w:lineRule="exact"/>
        <w:rPr>
          <w:rFonts w:ascii="Times New Roman" w:cs="Times New Roman" w:eastAsia="Times New Roman" w:hAnsi="Times New Roman"/>
          <w:sz w:val="18"/>
          <w:szCs w:val="18"/>
          <w:color w:val="auto"/>
        </w:rPr>
      </w:pPr>
    </w:p>
    <w:p>
      <w:pPr>
        <w:ind w:left="660" w:right="20" w:hanging="206"/>
        <w:spacing w:after="0" w:line="255"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additional shares through their option.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660" w:right="440" w:hanging="206"/>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67" w:lineRule="exact"/>
        <w:rPr>
          <w:rFonts w:ascii="Times New Roman" w:cs="Times New Roman" w:eastAsia="Times New Roman" w:hAnsi="Times New Roman"/>
          <w:sz w:val="18"/>
          <w:szCs w:val="18"/>
          <w:color w:val="auto"/>
        </w:rPr>
      </w:pPr>
    </w:p>
    <w:p>
      <w:pPr>
        <w:ind w:left="660" w:right="160" w:hanging="206"/>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8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document is not intended to constitute an offer or solicitation to purchase or invest in the securities described herein. The securities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securities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securities may be publicly distributed or otherwise made publicly available in Switzerland.</w:t>
      </w:r>
    </w:p>
    <w:p>
      <w:pPr>
        <w:spacing w:after="0" w:line="188" w:lineRule="exact"/>
        <w:rPr>
          <w:sz w:val="20"/>
          <w:szCs w:val="20"/>
          <w:color w:val="auto"/>
        </w:rPr>
      </w:pPr>
    </w:p>
    <w:p>
      <w:pPr>
        <w:ind w:right="120" w:firstLine="456"/>
        <w:spacing w:after="0" w:line="289" w:lineRule="auto"/>
        <w:rPr>
          <w:sz w:val="20"/>
          <w:szCs w:val="20"/>
          <w:color w:val="auto"/>
        </w:rPr>
      </w:pPr>
      <w:r>
        <w:rPr>
          <w:rFonts w:ascii="Times New Roman" w:cs="Times New Roman" w:eastAsia="Times New Roman" w:hAnsi="Times New Roman"/>
          <w:sz w:val="17"/>
          <w:szCs w:val="17"/>
          <w:color w:val="auto"/>
        </w:rPr>
        <w:t>Neither this document nor any other offering or marketing material relating to the offering, nor the Company nor the securities have been or will be filed with or approved by any Swiss regulatory authority. The securities are not subject to the supervision by any Swiss regulatory authority, e.g., the Swiss Financial Markets Supervisory Authority FINMA (FINMA), and investors in the securities will not benefit from protection or supervision by such authority.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securities which are the subject of the offering contemplated by this prospectus to the public in that Relevant Member State other than:</w:t>
      </w:r>
    </w:p>
    <w:p>
      <w:pPr>
        <w:spacing w:after="0" w:line="86"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900" w:right="140" w:hanging="446"/>
        <w:spacing w:after="0" w:line="266"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900" w:right="60" w:hanging="446"/>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securities shall require us or any underwriter to publish a prospectus pursuant to Article 3 of the Prospectus Directive.</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900" w:right="40" w:hanging="446"/>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 of the FSMA does not apply to us; and</w:t>
      </w:r>
    </w:p>
    <w:p>
      <w:pPr>
        <w:spacing w:after="0" w:line="81"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Canadian Residents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7"/>
          <w:szCs w:val="17"/>
          <w:color w:val="auto"/>
        </w:rPr>
        <w:t>The distribution of shares of common stock offered hereby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offered hereby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w:t>
      </w:r>
    </w:p>
    <w:p>
      <w:pPr>
        <w:spacing w:after="0" w:line="2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Canadian Purchasers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By purchasing shares of common stock offered hereby in Canada and accepting delivery of a purchase confirmation, a purchaser is representing to us and the dealer from whom the purchase confirmation is received that:</w:t>
      </w:r>
    </w:p>
    <w:p>
      <w:pPr>
        <w:spacing w:after="0" w:line="67" w:lineRule="exact"/>
        <w:rPr>
          <w:sz w:val="20"/>
          <w:szCs w:val="20"/>
          <w:color w:val="auto"/>
        </w:rPr>
      </w:pPr>
    </w:p>
    <w:p>
      <w:pPr>
        <w:ind w:left="660" w:right="160" w:hanging="206"/>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shares without the benefit of a prospectus qualified under those securities laws as it is an “accredited investor” as defined under National Instrument 45-106—</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660" w:right="320" w:hanging="206"/>
        <w:spacing w:after="0" w:line="284"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w:t>
      </w:r>
      <w:r>
        <w:rPr>
          <w:rFonts w:ascii="Times New Roman" w:cs="Times New Roman" w:eastAsia="Times New Roman" w:hAnsi="Times New Roman"/>
          <w:sz w:val="18"/>
          <w:szCs w:val="18"/>
          <w:i w:val="1"/>
          <w:iCs w:val="1"/>
          <w:color w:val="auto"/>
        </w:rPr>
        <w:t>Registration Requirements, Exemptions and Ongoing Registrant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underwriters are relying on the exemption set out in section 3A.3 or 3A.4, if applicable, of National Instrument 33-105—</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from having to provide certain conflict of interest disclosure in this document.</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Statutory Rights of Action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Legal Rights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Canadian purchasers of shares of common stock offered hereby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securities described in this prospectus has been submitted to the clearance procedures of the Autorité des Marchés Financiers or of the competent authority of another member state of the European Economic Area and notified to the Autorité des Marchés Financiers. The securities have not been offered or sold and will not be offered or sold, directly or indirectly, to the public in France. Neither this prospectus nor any other offering material relating to the securities has been or will be:</w:t>
      </w:r>
    </w:p>
    <w:p>
      <w:pPr>
        <w:spacing w:after="0" w:line="86" w:lineRule="exact"/>
        <w:rPr>
          <w:sz w:val="20"/>
          <w:szCs w:val="20"/>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jc w:val="both"/>
        <w:ind w:left="660" w:right="120" w:hanging="206"/>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81"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securities to the public in France.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ind w:left="660" w:right="320" w:hanging="206"/>
        <w:spacing w:after="0" w:line="267"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xml:space="preserve">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 articles L.411-2, D.411-1, D.411-2, D.734-1, D.744-1, D.754-1 and D.764-1 of the French Code monétaire et financier;</w:t>
      </w:r>
    </w:p>
    <w:p>
      <w:pPr>
        <w:spacing w:after="0" w:line="8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660" w:right="40" w:hanging="206"/>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w:t>
      </w:r>
      <w:r>
        <w:rPr>
          <w:rFonts w:ascii="Times New Roman" w:cs="Times New Roman" w:eastAsia="Times New Roman" w:hAnsi="Times New Roman"/>
          <w:sz w:val="18"/>
          <w:szCs w:val="18"/>
          <w:i w:val="1"/>
          <w:iCs w:val="1"/>
          <w:color w:val="auto"/>
        </w:rPr>
        <w:t>Règlement Général</w:t>
      </w:r>
      <w:r>
        <w:rPr>
          <w:rFonts w:ascii="Times New Roman" w:cs="Times New Roman" w:eastAsia="Times New Roman" w:hAnsi="Times New Roman"/>
          <w:sz w:val="18"/>
          <w:szCs w:val="18"/>
          <w:color w:val="auto"/>
        </w:rPr>
        <w:t>) of the Autorité des Marchés Financiers, does not constitute a public offer (</w:t>
      </w:r>
      <w:r>
        <w:rPr>
          <w:rFonts w:ascii="Times New Roman" w:cs="Times New Roman" w:eastAsia="Times New Roman" w:hAnsi="Times New Roman"/>
          <w:sz w:val="18"/>
          <w:szCs w:val="18"/>
          <w:i w:val="1"/>
          <w:iCs w:val="1"/>
          <w:color w:val="auto"/>
        </w:rPr>
        <w:t>appel public à l’épargne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securities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Republic of Italy</w:t>
      </w:r>
    </w:p>
    <w:p>
      <w:pPr>
        <w:spacing w:after="0" w:line="119"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color w:val="auto"/>
        </w:rPr>
        <w:t xml:space="preserve">The offering of securities has not been registered with the </w:t>
      </w:r>
      <w:r>
        <w:rPr>
          <w:rFonts w:ascii="Times New Roman" w:cs="Times New Roman" w:eastAsia="Times New Roman" w:hAnsi="Times New Roman"/>
          <w:sz w:val="18"/>
          <w:szCs w:val="18"/>
          <w:i w:val="1"/>
          <w:iCs w:val="1"/>
          <w:color w:val="auto"/>
        </w:rPr>
        <w:t>Commissione Nazionale per le Società e la Borsa</w:t>
      </w:r>
      <w:r>
        <w:rPr>
          <w:rFonts w:ascii="Times New Roman" w:cs="Times New Roman" w:eastAsia="Times New Roman" w:hAnsi="Times New Roman"/>
          <w:sz w:val="18"/>
          <w:szCs w:val="18"/>
          <w:color w:val="auto"/>
        </w:rPr>
        <w:t xml:space="preserve"> (“CONSOB”) pursuant to Italian securities legislation and, accordingly, no securities may be offered, sold or delivered, nor copies of this prospectus supplement, the accompanying prospectus or any other documents relating to the securities may not be distributed in Italy except:</w:t>
      </w:r>
    </w:p>
    <w:p>
      <w:pPr>
        <w:spacing w:after="0" w:line="67" w:lineRule="exact"/>
        <w:rPr>
          <w:sz w:val="20"/>
          <w:szCs w:val="20"/>
          <w:color w:val="auto"/>
        </w:rPr>
      </w:pPr>
    </w:p>
    <w:p>
      <w:pPr>
        <w:ind w:firstLine="464"/>
        <w:spacing w:after="0" w:line="266" w:lineRule="auto"/>
        <w:tabs>
          <w:tab w:leader="none" w:pos="7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as referred to in Article 100 of Legislative Decree No. 58 of 24 February 1998, as amended (the “Decree No. 58”) and defined in Article 26, paragraph 1, letter d) of CONSOB Regulation No. 16190 of 29 October 2007, as amended (“Regulation No. 16190”) pursuant to Article 34-ter, paragraph 1, letter. b) of CONSOB Regulation No. 11971 of 14 May 1999, as amended (“Regulation No. 11971”); or</w:t>
      </w:r>
    </w:p>
    <w:p>
      <w:pPr>
        <w:spacing w:after="0" w:line="176" w:lineRule="exact"/>
        <w:rPr>
          <w:rFonts w:ascii="Times New Roman" w:cs="Times New Roman" w:eastAsia="Times New Roman" w:hAnsi="Times New Roman"/>
          <w:sz w:val="18"/>
          <w:szCs w:val="18"/>
          <w:color w:val="auto"/>
        </w:rPr>
      </w:pPr>
    </w:p>
    <w:p>
      <w:pPr>
        <w:ind w:right="320" w:firstLine="464"/>
        <w:spacing w:after="0" w:line="282" w:lineRule="auto"/>
        <w:tabs>
          <w:tab w:leader="none" w:pos="7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where an express exemption from compliance with the offer restrictions applies, as provided under Decree No. 58 or Regulation No. 11971.</w:t>
      </w:r>
    </w:p>
    <w:p>
      <w:pPr>
        <w:spacing w:after="0" w:line="162"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Any offer, sale or delivery of the securities or distribution of copies of this prospectus supplement, the accompanying prospectus or any other documents relating to the securities in the Republic of Italy must be:</w:t>
      </w:r>
    </w:p>
    <w:p>
      <w:pPr>
        <w:spacing w:after="0" w:line="54" w:lineRule="exact"/>
        <w:rPr>
          <w:sz w:val="20"/>
          <w:szCs w:val="20"/>
          <w:color w:val="auto"/>
        </w:rPr>
      </w:pPr>
    </w:p>
    <w:p>
      <w:pPr>
        <w:ind w:right="100" w:firstLine="464"/>
        <w:spacing w:after="0" w:line="266" w:lineRule="auto"/>
        <w:tabs>
          <w:tab w:leader="none" w:pos="7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the Republic of Italy in accordance with Legislative Decree No. 385 of 1 September 1993, as amended (the “Banking Law”), Decree No. 58 and Regulation No. 16190 and any other applicable laws and regulations;</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Law, and the implementing guidelines of the Bank of Italy, as amended; and</w:t>
      </w:r>
    </w:p>
    <w:p>
      <w:pPr>
        <w:spacing w:after="0" w:line="225" w:lineRule="exact"/>
        <w:rPr>
          <w:rFonts w:ascii="Times New Roman" w:cs="Times New Roman" w:eastAsia="Times New Roman" w:hAnsi="Times New Roman"/>
          <w:sz w:val="18"/>
          <w:szCs w:val="18"/>
          <w:color w:val="auto"/>
        </w:rPr>
      </w:pPr>
    </w:p>
    <w:p>
      <w:pPr>
        <w:ind w:right="80" w:firstLine="464"/>
        <w:spacing w:after="0" w:line="282" w:lineRule="auto"/>
        <w:tabs>
          <w:tab w:leader="none" w:pos="7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notification requirement or limitation which may be imposed, from time to time, by CONSOB or the Bank of Italy or other competent authority.</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Please note that, in accordance with Article 100-bis of Decree No. 58, where no exemption from the rules on public offerings applies, the subsequent distribution of the securities on the secondary market in Italy must be made in compliance with the public offer and the prospectus requirement rules provided under Decree No. 58 and Regulation No. 11971.</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Furthermore, securities which are initially offered and placed in Italy or abroad to qualified investors only but in the following year are regularly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sistematicamente</w:t>
      </w:r>
      <w:r>
        <w:rPr>
          <w:rFonts w:ascii="Times New Roman" w:cs="Times New Roman" w:eastAsia="Times New Roman" w:hAnsi="Times New Roman"/>
          <w:sz w:val="18"/>
          <w:szCs w:val="18"/>
          <w:color w:val="auto"/>
        </w:rPr>
        <w:t>”) distributed on the secondary market in Italy to non-qualified investors become subject to the public offer and the prospectus requirement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provided under Decree No. 58 and Regulation No. 11971. Failure to comply with such rules may result in the sale of the securities being declared null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void and in the liability of the intermediary transferring the securities for any damages suffered by such non-qualified investors.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Germany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does not constitute a Prospectus Directive-compliant prospectus in accordance with the German Securities Prospectus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Wertpapierprospektgesetz</w:t>
      </w:r>
      <w:r>
        <w:rPr>
          <w:rFonts w:ascii="Times New Roman" w:cs="Times New Roman" w:eastAsia="Times New Roman" w:hAnsi="Times New Roman"/>
          <w:sz w:val="17"/>
          <w:szCs w:val="17"/>
          <w:color w:val="auto"/>
        </w:rPr>
        <w:t>) and does therefore not allow any public offering in the Federal Republic of Germany (“Germany”) or any other Relevant Member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pursuant to § 17 and § 18 of the German Securities Prospectus Act. No action has been or will be taken in Germany that would permit a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securities, or distribution of a prospectus or any other offering material relating to the securities. In particular, no securities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Wertpapierprospekt</w:t>
      </w:r>
      <w:r>
        <w:rPr>
          <w:rFonts w:ascii="Times New Roman" w:cs="Times New Roman" w:eastAsia="Times New Roman" w:hAnsi="Times New Roman"/>
          <w:sz w:val="18"/>
          <w:szCs w:val="18"/>
          <w:color w:val="auto"/>
        </w:rPr>
        <w:t>) within the meaning of the German Securities Prospectus Act or any other applicable laws of Germany, has been or will be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Germany, nor has this prospectus been filed with or approved by the German Federal Financial Supervisory Authority (</w:t>
      </w:r>
      <w:r>
        <w:rPr>
          <w:rFonts w:ascii="Times New Roman" w:cs="Times New Roman" w:eastAsia="Times New Roman" w:hAnsi="Times New Roman"/>
          <w:sz w:val="18"/>
          <w:szCs w:val="18"/>
          <w:i w:val="1"/>
          <w:iCs w:val="1"/>
          <w:color w:val="auto"/>
        </w:rPr>
        <w:t>Bundesanstalt für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Finanzdienstleistungsaufsicht</w:t>
      </w:r>
      <w:r>
        <w:rPr>
          <w:rFonts w:ascii="Times New Roman" w:cs="Times New Roman" w:eastAsia="Times New Roman" w:hAnsi="Times New Roman"/>
          <w:sz w:val="18"/>
          <w:szCs w:val="18"/>
          <w:color w:val="auto"/>
        </w:rPr>
        <w:t>) for publication within Germany.</w:t>
      </w:r>
    </w:p>
    <w:p>
      <w:pPr>
        <w:spacing w:after="0" w:line="207"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Each manager will represent, agree and undertake, (i) that it has not offered, sold or delivered and will not offer, sell or deliver the securities within Germany other than in accordance with the German Securities Prospectus Act (</w:t>
      </w:r>
      <w:r>
        <w:rPr>
          <w:rFonts w:ascii="Times New Roman" w:cs="Times New Roman" w:eastAsia="Times New Roman" w:hAnsi="Times New Roman"/>
          <w:sz w:val="18"/>
          <w:szCs w:val="18"/>
          <w:i w:val="1"/>
          <w:iCs w:val="1"/>
          <w:color w:val="auto"/>
        </w:rPr>
        <w:t>Wertpapierprospektgesetz</w:t>
      </w:r>
      <w:r>
        <w:rPr>
          <w:rFonts w:ascii="Times New Roman" w:cs="Times New Roman" w:eastAsia="Times New Roman" w:hAnsi="Times New Roman"/>
          <w:sz w:val="18"/>
          <w:szCs w:val="18"/>
          <w:color w:val="auto"/>
        </w:rPr>
        <w:t>) and any other applicable laws in Germany governing the issue, sale and offering of securities, and (ii) that it will distribute in Germany any offering material relating to the securities only under circumstances that will result in compliance with the applicable rules and regulations of Germany.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securities have not been, and are not being, publicly offered, sold, promoted or advertised in the United Arab Emirates (“U.A.E.”) other than in compliance with the laws of the U.A.E. Prospective investors in the Dubai International Financial Centre should have regard to the specific notice to prospective investors in the Dubai International Financial Centre set out above.</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does not constitute a public offer of securities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Dubai Financial Services Authority, or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Offered Securities Rules of the Dubai Financial Services Authority. This document is intended for distribution only to persons of a type specified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notes which are the subject of the offering contemplated by this offering memorandum may be illiquid and/or subject to restrictions on their resale. Prospective purchasers of the notes offered should conduct their own due diligence on the notes. If you do not understand the contents of this document you should consult an authorized financial advisor.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Kingdom of Saudi Arabia</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may not be distributed in the Kingdom of Saudi Arabia except to such persons as are permitted under the Offers of Securities Regulations issued by the Capital Market Authority of Saudi Arabia (the “Capital Market Authority”). The Capital Market Authority does not make any representations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a prospective purchaser does not understand the contents of this prospectus he or she should consult an authorised financial adviser. By accepting this prospectus and other information relating to the offering of the securities in the Kingdom of Saudi Arabia, each recipient represents that he is a “sophisticated investor”, as set out in the prospectus.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South Africa</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the securities are not offered, and the offer of our securities shall not be transferred, sold, renounced or delivered, in South Africa or to a person with an address in South Africa, unless one or other of the following exemptions applies:</w:t>
      </w:r>
    </w:p>
    <w:p>
      <w:pPr>
        <w:spacing w:after="0" w:line="67" w:lineRule="exact"/>
        <w:rPr>
          <w:sz w:val="20"/>
          <w:szCs w:val="20"/>
          <w:color w:val="auto"/>
        </w:rPr>
      </w:pPr>
    </w:p>
    <w:p>
      <w:pPr>
        <w:ind w:left="900" w:right="280" w:hanging="446"/>
        <w:spacing w:after="0" w:line="258"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authorized services provider or financial institution, acting as agent in the capacity of an authorized portfolio manager for a pension fund (duly registered in South Africa), or as manager for a collective investment scheme(registered in South Africa); or</w:t>
      </w:r>
    </w:p>
    <w:p>
      <w:pPr>
        <w:spacing w:after="0" w:line="8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contemplated acquisition cost of the securities, for any single addressee acting as principal is equal to or greater than R1,000,000.</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This document does not, nor is it intended to, constitute an “offer to the public” (as that term is defined in the South African Companies Act, 2008 (the “SA Companies Act”) and does not, nor is it intended to, constitute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 A South African resident person or company or any non-South African company which is a subsidiary of a South African company is not permitted to acquire the securities unless such person has obtained exchange control approval to do so.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86" w:lineRule="exact"/>
        <w:rPr>
          <w:sz w:val="20"/>
          <w:szCs w:val="20"/>
          <w:color w:val="auto"/>
        </w:rPr>
      </w:pPr>
    </w:p>
    <w:p>
      <w:pPr>
        <w:ind w:left="900" w:right="240" w:hanging="446"/>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900" w:hanging="446"/>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480" w:right="80" w:hanging="567"/>
        <w:spacing w:after="0" w:line="282" w:lineRule="auto"/>
        <w:tabs>
          <w:tab w:leader="none" w:pos="14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1480" w:hanging="567"/>
        <w:spacing w:after="0"/>
        <w:tabs>
          <w:tab w:leader="none" w:pos="1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480" w:right="680" w:hanging="567"/>
        <w:spacing w:after="0" w:line="282" w:lineRule="auto"/>
        <w:tabs>
          <w:tab w:leader="none" w:pos="1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Residents of Malaysia</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securities may not be offered for subscription or purchase and no invitation to subscribe for or purchase such Certificates in Malaysia may be made, directly or indirectly, and this prospectus or any document or other materials in connection therewith may not be distributed in Malaysia other than to persons falling within the categories specified under Schedule 6 or Section 229(l)(b), Schedule 7 or Section 230(l)(b) and Schedule 8 or Section 257(3) of the Capital Market and Services Act, 2007 of Malaysia. The Securities Commission of Malaysia shall not be liable for any non-disclosure on the part of the Issuer and assumes no responsibility for the correctness of any statements made or opinions or reports expressed in this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China</w:t>
      </w:r>
    </w:p>
    <w:p>
      <w:pPr>
        <w:spacing w:after="0" w:line="121" w:lineRule="exact"/>
        <w:rPr>
          <w:sz w:val="20"/>
          <w:szCs w:val="20"/>
          <w:color w:val="auto"/>
        </w:rPr>
      </w:pPr>
    </w:p>
    <w:p>
      <w:pPr>
        <w:ind w:right="40" w:firstLine="456"/>
        <w:spacing w:after="0" w:line="313" w:lineRule="auto"/>
        <w:rPr>
          <w:sz w:val="20"/>
          <w:szCs w:val="20"/>
          <w:color w:val="auto"/>
        </w:rPr>
      </w:pPr>
      <w:r>
        <w:rPr>
          <w:rFonts w:ascii="Times New Roman" w:cs="Times New Roman" w:eastAsia="Times New Roman" w:hAnsi="Times New Roman"/>
          <w:sz w:val="17"/>
          <w:szCs w:val="17"/>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3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Korea</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does not constitute an invitation or offer to the public in the Cayman Islands of the securities, whether by way of sale or subscription.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have not offered or sold, and will not offer or sell, directly or indirectly, any securities in the Cayman Islands.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Bermuda</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British Virgin Islands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76" w:lineRule="exact"/>
        <w:rPr>
          <w:sz w:val="20"/>
          <w:szCs w:val="20"/>
          <w:color w:val="auto"/>
        </w:rPr>
      </w:pPr>
    </w:p>
    <w:p>
      <w:pPr>
        <w:ind w:right="40" w:firstLine="456"/>
        <w:spacing w:after="0" w:line="269" w:lineRule="auto"/>
        <w:rPr>
          <w:sz w:val="20"/>
          <w:szCs w:val="20"/>
          <w:color w:val="auto"/>
        </w:rPr>
      </w:pPr>
      <w:r>
        <w:rPr>
          <w:rFonts w:ascii="Times New Roman" w:cs="Times New Roman" w:eastAsia="Times New Roman" w:hAnsi="Times New Roman"/>
          <w:sz w:val="17"/>
          <w:szCs w:val="17"/>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3" w:lineRule="exact"/>
        <w:rPr>
          <w:sz w:val="20"/>
          <w:szCs w:val="20"/>
          <w:color w:val="auto"/>
        </w:rPr>
      </w:pPr>
    </w:p>
    <w:p>
      <w:pPr>
        <w:ind w:right="360" w:firstLine="8"/>
        <w:spacing w:after="0" w:line="261"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has signed a declaration that he, whether individually or jointly with his spouse, has net worth in excess of US$1,000,000 and that he consents to being treated as a professional investor.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Fenwick &amp; West LLP, 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AnaptysBio, Inc. as of December 31, 2015 and 2016, and for each of the years in the three-year period ended December 31, 2016, have been incorporated by reference herein and in the registration statement in reliance upon the report of KPMG LLP, an independent registered public accounting firm, appearing elsewhere herein, and upon the authority of said firm as experts in accounting and auditing.</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8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www.anaptysbio.com.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240" w:top="455" w:right="3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information or documents listed below that we have filed with the SEC (Commission File No. 001-37985).</w:t>
      </w:r>
    </w:p>
    <w:p>
      <w:pPr>
        <w:spacing w:after="0" w:line="67" w:lineRule="exact"/>
        <w:rPr>
          <w:sz w:val="20"/>
          <w:szCs w:val="20"/>
          <w:color w:val="auto"/>
        </w:rPr>
      </w:pPr>
    </w:p>
    <w:p>
      <w:pPr>
        <w:ind w:left="660" w:hanging="20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2016, filed with the SEC on March 8, 2017;</w:t>
      </w:r>
    </w:p>
    <w:p>
      <w:pPr>
        <w:spacing w:after="0" w:line="130" w:lineRule="exact"/>
        <w:rPr>
          <w:rFonts w:ascii="Times New Roman" w:cs="Times New Roman" w:eastAsia="Times New Roman" w:hAnsi="Times New Roman"/>
          <w:sz w:val="18"/>
          <w:szCs w:val="18"/>
          <w:color w:val="auto"/>
        </w:rPr>
      </w:pPr>
    </w:p>
    <w:p>
      <w:pPr>
        <w:ind w:left="660" w:right="100" w:hanging="206"/>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2017 and June 30, 2017, filed with the SEC on May 12, 2017 and August 10, 2017, respectively;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March 2, 2017, July 27, 2017 and August 24, 2017.</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including exhibits to these documents. You should direct any requests for documents to 10421 Pacific Center Court, Suite 200 San Diego, CA 92121, telephone (858)</w:t>
      </w:r>
    </w:p>
    <w:p>
      <w:pPr>
        <w:spacing w:after="0" w:line="254" w:lineRule="auto"/>
        <w:rPr>
          <w:sz w:val="20"/>
          <w:szCs w:val="20"/>
          <w:color w:val="auto"/>
        </w:rPr>
      </w:pPr>
      <w:r>
        <w:rPr>
          <w:rFonts w:ascii="Times New Roman" w:cs="Times New Roman" w:eastAsia="Times New Roman" w:hAnsi="Times New Roman"/>
          <w:sz w:val="18"/>
          <w:szCs w:val="18"/>
          <w:color w:val="auto"/>
        </w:rPr>
        <w:t>362-6295. Copies of the above reports may also be accessed from our website at www.anaptysbio.com. We do not incorporate the information from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8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740"/>
        <w:spacing w:after="0"/>
        <w:rPr>
          <w:sz w:val="20"/>
          <w:szCs w:val="20"/>
          <w:color w:val="auto"/>
        </w:rPr>
      </w:pPr>
      <w:r>
        <w:rPr>
          <w:rFonts w:ascii="Arial" w:cs="Arial" w:eastAsia="Arial" w:hAnsi="Arial"/>
          <w:sz w:val="29"/>
          <w:szCs w:val="29"/>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561340</wp:posOffset>
            </wp:positionV>
            <wp:extent cx="2118360" cy="557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00"/>
        <w:spacing w:after="0"/>
        <w:rPr>
          <w:sz w:val="20"/>
          <w:szCs w:val="20"/>
          <w:color w:val="auto"/>
        </w:rPr>
      </w:pPr>
      <w:r>
        <w:rPr>
          <w:rFonts w:ascii="Arial" w:cs="Arial" w:eastAsia="Arial" w:hAnsi="Arial"/>
          <w:sz w:val="36"/>
          <w:szCs w:val="36"/>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20"/>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629920</wp:posOffset>
            </wp:positionV>
            <wp:extent cx="1089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1979"/>
        <w:spacing w:after="0"/>
        <w:rPr>
          <w:sz w:val="20"/>
          <w:szCs w:val="20"/>
          <w:color w:val="auto"/>
        </w:rPr>
      </w:pPr>
      <w:r>
        <w:rPr>
          <w:rFonts w:ascii="Arial" w:cs="Arial" w:eastAsia="Arial" w:hAnsi="Arial"/>
          <w:sz w:val="36"/>
          <w:szCs w:val="3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259080</wp:posOffset>
            </wp:positionV>
            <wp:extent cx="1089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4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937895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981075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Paid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 be Paid</w:t>
            </w:r>
          </w:p>
        </w:tc>
        <w:tc>
          <w:tcPr>
            <w:tcW w:w="0" w:type="dxa"/>
            <w:vAlign w:val="bottom"/>
          </w:tcPr>
          <w:p>
            <w:pPr>
              <w:spacing w:after="0"/>
              <w:rPr>
                <w:sz w:val="1"/>
                <w:szCs w:val="1"/>
                <w:color w:val="auto"/>
              </w:rPr>
            </w:pPr>
          </w:p>
        </w:tc>
      </w:tr>
      <w:tr>
        <w:trPr>
          <w:trHeight w:val="191"/>
        </w:trPr>
        <w:tc>
          <w:tcPr>
            <w:tcW w:w="10720" w:type="dxa"/>
            <w:vAlign w:val="bottom"/>
            <w:gridSpan w:val="2"/>
            <w:vMerge w:val="continue"/>
          </w:tcPr>
          <w:p>
            <w:pPr>
              <w:spacing w:after="0"/>
              <w:rPr>
                <w:sz w:val="16"/>
                <w:szCs w:val="16"/>
                <w:color w:val="auto"/>
              </w:rPr>
            </w:pPr>
          </w:p>
        </w:tc>
        <w:tc>
          <w:tcPr>
            <w:tcW w:w="5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3"/>
        </w:trPr>
        <w:tc>
          <w:tcPr>
            <w:tcW w:w="10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provided by amendment.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2" w:lineRule="exact"/>
        <w:rPr>
          <w:sz w:val="20"/>
          <w:szCs w:val="20"/>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and stock purchases); or</w:t>
      </w:r>
    </w:p>
    <w:p>
      <w:pPr>
        <w:spacing w:after="0" w:line="130"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bylaws to be effective upon the closing of this offering, provide that:</w:t>
      </w:r>
    </w:p>
    <w:p>
      <w:pPr>
        <w:spacing w:after="0" w:line="131" w:lineRule="exact"/>
        <w:rPr>
          <w:sz w:val="20"/>
          <w:szCs w:val="20"/>
          <w:color w:val="auto"/>
        </w:rPr>
      </w:pPr>
    </w:p>
    <w:p>
      <w:pPr>
        <w:ind w:left="660" w:right="60" w:hanging="206"/>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Delaware General Corporation Law, subject to limited exceptions;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60"/>
          </w:cols>
          <w:pgMar w:left="240" w:top="455" w:right="2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left="660" w:hanging="206"/>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Delaware General Corporation Law;</w:t>
      </w:r>
    </w:p>
    <w:p>
      <w:pPr>
        <w:spacing w:after="0" w:line="130" w:lineRule="exact"/>
        <w:rPr>
          <w:rFonts w:ascii="Times New Roman" w:cs="Times New Roman" w:eastAsia="Times New Roman" w:hAnsi="Times New Roman"/>
          <w:sz w:val="18"/>
          <w:szCs w:val="18"/>
          <w:color w:val="auto"/>
        </w:rPr>
      </w:pPr>
    </w:p>
    <w:p>
      <w:pPr>
        <w:ind w:left="660" w:right="60" w:hanging="206"/>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67"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restated bylaws are not exclusive.</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currently carries liability insurance for its directors and officers.</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Reference is made to the following documents filed as exhibits to this Registration Statement regarding relevant indemnification provisions described above and elsewhere herein: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Document</w:t>
            </w:r>
          </w:p>
        </w:tc>
        <w:tc>
          <w:tcPr>
            <w:tcW w:w="972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Number</w:t>
            </w:r>
          </w:p>
        </w:tc>
      </w:tr>
      <w:tr>
        <w:trPr>
          <w:trHeight w:val="185"/>
        </w:trPr>
        <w:tc>
          <w:tcPr>
            <w:tcW w:w="108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50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6"/>
                <w:szCs w:val="16"/>
                <w:color w:val="auto"/>
              </w:rPr>
            </w:pP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Certificate of Incorporation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Bylaws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Amended and Restated Investors’ Rights Agreement dated July 13, 2015 among the Registrant and certain of its stockholders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Indemnity Agreement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lists set forth information regarding all securities sold or granted by us within the past three years that were not registered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and the consideration, if any, received by us for such securities:</w:t>
      </w:r>
    </w:p>
    <w:p>
      <w:pPr>
        <w:spacing w:after="0" w:line="3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Stock Option Grants</w:t>
      </w:r>
    </w:p>
    <w:p>
      <w:pPr>
        <w:spacing w:after="0" w:line="121" w:lineRule="exact"/>
        <w:rPr>
          <w:sz w:val="20"/>
          <w:szCs w:val="20"/>
          <w:color w:val="auto"/>
        </w:rPr>
      </w:pPr>
    </w:p>
    <w:p>
      <w:pPr>
        <w:ind w:right="120" w:firstLine="456"/>
        <w:spacing w:after="0" w:line="281" w:lineRule="auto"/>
        <w:rPr>
          <w:sz w:val="20"/>
          <w:szCs w:val="20"/>
          <w:color w:val="auto"/>
        </w:rPr>
      </w:pPr>
      <w:r>
        <w:rPr>
          <w:rFonts w:ascii="Times New Roman" w:cs="Times New Roman" w:eastAsia="Times New Roman" w:hAnsi="Times New Roman"/>
          <w:sz w:val="17"/>
          <w:szCs w:val="17"/>
          <w:color w:val="auto"/>
        </w:rPr>
        <w:t>Between August 31, 2014 until January 26, 2017, the Registrant granted options to purchase 1,760,974 shares of common stock under its 2006 Equity Incentive Plan to its directors, officers, employees, consultants, and other service providers with per share exercise prices ranging from $0.70 to $11.34. During this same period, the Registrant issued 174,139 shares of common stock upon exercise of stock options previously issued under the 2006 Equity Incentive Plan to its directors, officers, employees, consultants, and other service providers for cash consideration in the aggregate amount of $195,180.</w:t>
      </w:r>
    </w:p>
    <w:p>
      <w:pPr>
        <w:spacing w:after="0" w:line="16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stock options and the common stock issuable upon the exercise of such options as described in this section (a) of Item 15 were issued pursuant to written compensatory plans or arrangements with the Company’s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80"/>
          </w:cols>
          <w:pgMar w:left="240" w:top="455" w:right="2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Warrants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December 2014, the Registrant issued warrants to accredited investors to purchase an aggregate of 41,208 shares of the Registrant’s Series C convertible preferred stock. The preferred stock warrants have a per share exercise price of $4.55. The securities issued in this transaction were exempt from the registration requirements of the Securities Act in reliance upon Section 4(a)(2) under the Securities Act.</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December 2016, the Registrant issued warrants to accredited investors to purchase an aggregate of 82,416 shares of the Registrant’s Series C convertible preferred stock. The preferred stock warrants have a per share exercise price of $4.55. The securities issued in this transaction were exempt from the registration requirements of the Securities Act in reliance upon Section 4(a)(2) under the Securities Act.</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Since January 31, 2017, the Registrant has issued a total of 397,445 shares of common stock pursuant to the exercise of warrants, each with an exercise price of $4.55 per share. The securities issued in this transaction were exempt from the registration requirements of the Securities Act in reliance upon Section 4(a)(2) under the Securities Act.</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 Sales of Preferred Stock</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July 2015, the Registrant issued an aggregate of 5,490,973 shares of the Registrant’s Series D convertible preferred stock at a purchase price of $7.42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3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400" w:type="dxa"/>
            <w:vAlign w:val="bottom"/>
          </w:tcPr>
          <w:p>
            <w:pPr>
              <w:spacing w:after="0"/>
              <w:rPr>
                <w:sz w:val="15"/>
                <w:szCs w:val="15"/>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18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2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by Reference</w:t>
            </w:r>
          </w:p>
        </w:tc>
        <w:tc>
          <w:tcPr>
            <w:tcW w:w="90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4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6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1.1*</w:t>
            </w:r>
          </w:p>
        </w:tc>
        <w:tc>
          <w:tcPr>
            <w:tcW w:w="360" w:type="dxa"/>
            <w:vAlign w:val="bottom"/>
          </w:tcPr>
          <w:p>
            <w:pPr>
              <w:spacing w:after="0"/>
              <w:rPr>
                <w:sz w:val="20"/>
                <w:szCs w:val="20"/>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Underwriting</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Agreement, including Form</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Lock-Up Agreement.</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1"/>
                <w:szCs w:val="21"/>
                <w:color w:val="auto"/>
              </w:rPr>
            </w:pPr>
          </w:p>
        </w:tc>
        <w:tc>
          <w:tcPr>
            <w:tcW w:w="2300" w:type="dxa"/>
            <w:vAlign w:val="bottom"/>
            <w:gridSpan w:val="6"/>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Restated Certificate of</w:t>
              </w:r>
            </w:hyperlink>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10-Q</w:t>
            </w:r>
          </w:p>
        </w:tc>
        <w:tc>
          <w:tcPr>
            <w:tcW w:w="16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001-37985</w:t>
            </w:r>
          </w:p>
        </w:tc>
        <w:tc>
          <w:tcPr>
            <w:tcW w:w="480" w:type="dxa"/>
            <w:vAlign w:val="bottom"/>
          </w:tcPr>
          <w:p>
            <w:pPr>
              <w:spacing w:after="0"/>
              <w:rPr>
                <w:sz w:val="21"/>
                <w:szCs w:val="21"/>
                <w:color w:val="auto"/>
              </w:rPr>
            </w:pP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1"/>
                <w:szCs w:val="21"/>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May 12, 2017</w:t>
            </w: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Incorporation.</w:t>
              </w:r>
            </w:hyperlink>
          </w:p>
        </w:tc>
        <w:tc>
          <w:tcPr>
            <w:tcW w:w="580" w:type="dxa"/>
            <w:vAlign w:val="bottom"/>
            <w:tcBorders>
              <w:top w:val="single" w:sz="8" w:color="0000EE"/>
            </w:tcBorders>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2"/>
                <w:szCs w:val="22"/>
                <w:color w:val="auto"/>
              </w:rPr>
            </w:pPr>
          </w:p>
        </w:tc>
        <w:tc>
          <w:tcPr>
            <w:tcW w:w="2300" w:type="dxa"/>
            <w:vAlign w:val="bottom"/>
            <w:gridSpan w:val="6"/>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Restated Bylaws.</w:t>
              </w:r>
            </w:hyperlink>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S-1</w:t>
            </w:r>
          </w:p>
        </w:tc>
        <w:tc>
          <w:tcPr>
            <w:tcW w:w="2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333-206849</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2"/>
                <w:szCs w:val="22"/>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September 9, 2015</w:t>
            </w: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II-3</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80" w:type="dxa"/>
            <w:vAlign w:val="bottom"/>
            <w:gridSpan w:val="8"/>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18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2180" w:type="dxa"/>
            <w:vAlign w:val="bottom"/>
            <w:gridSpan w:val="8"/>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Common Stock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08">
              <w:r>
                <w:rPr>
                  <w:rFonts w:ascii="Times New Roman" w:cs="Times New Roman" w:eastAsia="Times New Roman" w:hAnsi="Times New Roman"/>
                  <w:sz w:val="18"/>
                  <w:szCs w:val="18"/>
                  <w:color w:val="0000EE"/>
                  <w:w w:val="96"/>
                </w:rPr>
                <w:t>Certificate.</w:t>
              </w:r>
            </w:hyperlink>
          </w:p>
        </w:tc>
        <w:tc>
          <w:tcPr>
            <w:tcW w:w="940" w:type="dxa"/>
            <w:vAlign w:val="bottom"/>
            <w:tcBorders>
              <w:top w:val="single" w:sz="8" w:color="0000EE"/>
            </w:tcBorders>
          </w:tcPr>
          <w:p>
            <w:pPr>
              <w:spacing w:after="0"/>
              <w:rPr>
                <w:sz w:val="17"/>
                <w:szCs w:val="17"/>
                <w:color w:val="auto"/>
              </w:rPr>
            </w:pPr>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2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Fourth Amended and Restated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Investors’ Rights Agreement,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8"/>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dated July 13, 2015, by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among the Registrant and</w:t>
              </w:r>
            </w:hyperlink>
          </w:p>
        </w:tc>
        <w:tc>
          <w:tcPr>
            <w:tcW w:w="180" w:type="dxa"/>
            <w:vAlign w:val="bottom"/>
            <w:tcBorders>
              <w:top w:val="single" w:sz="8" w:color="0000EE"/>
            </w:tcBorders>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certain of its stockholders.</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Opinion of Fenwick &amp; West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LLP.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ind w:left="-39"/>
        <w:spacing w:after="0" w:line="286" w:lineRule="auto"/>
        <w:rPr>
          <w:sz w:val="20"/>
          <w:szCs w:val="20"/>
          <w:color w:val="auto"/>
        </w:rPr>
      </w:pPr>
      <w:r>
        <w:rPr>
          <w:rFonts w:ascii="Times New Roman" w:cs="Times New Roman" w:eastAsia="Times New Roman" w:hAnsi="Times New Roman"/>
          <w:sz w:val="18"/>
          <w:szCs w:val="18"/>
          <w:b w:val="1"/>
          <w:bCs w:val="1"/>
          <w:color w:val="auto"/>
        </w:rPr>
        <w:t>Confidential Treatment Requested by AnaptysBio, Inc. 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-838835</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Incorporated</w:t>
            </w:r>
          </w:p>
        </w:tc>
      </w:tr>
      <w:tr>
        <w:trPr>
          <w:trHeight w:val="149"/>
        </w:trPr>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3"/>
          </w:tcPr>
          <w:p>
            <w:pPr>
              <w:jc w:val="center"/>
              <w:ind w:left="339"/>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r>
      <w:tr>
        <w:trPr>
          <w:trHeight w:val="187"/>
        </w:trPr>
        <w:tc>
          <w:tcPr>
            <w:tcW w:w="10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180" w:type="dxa"/>
            <w:vAlign w:val="bottom"/>
          </w:tcPr>
          <w:p>
            <w:pPr>
              <w:spacing w:after="0"/>
              <w:rPr>
                <w:sz w:val="16"/>
                <w:szCs w:val="16"/>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4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Exhibit No.</w:t>
            </w:r>
          </w:p>
        </w:tc>
      </w:tr>
      <w:tr>
        <w:trPr>
          <w:trHeight w:val="20"/>
        </w:trPr>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2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333-206849</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r>
      <w:tr>
        <w:trPr>
          <w:trHeight w:val="43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2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333-206849</w:t>
            </w: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u w:val="single" w:color="auto"/>
          <w:color w:val="auto"/>
        </w:rPr>
        <w:t>Filing Date</w:t>
      </w:r>
    </w:p>
    <w:p>
      <w:pPr>
        <w:spacing w:after="0" w:line="75" w:lineRule="exact"/>
        <w:rPr>
          <w:sz w:val="20"/>
          <w:szCs w:val="20"/>
          <w:color w:val="auto"/>
        </w:rPr>
      </w:pPr>
    </w:p>
    <w:p>
      <w:pPr>
        <w:ind w:right="440"/>
        <w:spacing w:after="0" w:line="532" w:lineRule="auto"/>
        <w:rPr>
          <w:sz w:val="20"/>
          <w:szCs w:val="20"/>
          <w:color w:val="auto"/>
        </w:rPr>
      </w:pPr>
      <w:r>
        <w:rPr>
          <w:rFonts w:ascii="Times New Roman" w:cs="Times New Roman" w:eastAsia="Times New Roman" w:hAnsi="Times New Roman"/>
          <w:sz w:val="18"/>
          <w:szCs w:val="18"/>
          <w:color w:val="auto"/>
        </w:rPr>
        <w:t>December 23, 2015 September 9,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Furnished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Herewith</w:t>
      </w:r>
    </w:p>
    <w:p>
      <w:pPr>
        <w:spacing w:after="0" w:line="2048" w:lineRule="exact"/>
        <w:rPr>
          <w:sz w:val="20"/>
          <w:szCs w:val="20"/>
          <w:color w:val="auto"/>
        </w:rPr>
      </w:pPr>
    </w:p>
    <w:p>
      <w:pPr>
        <w:sectPr>
          <w:pgSz w:w="11900" w:h="16838" w:orient="portrait"/>
          <w:cols w:equalWidth="0" w:num="4">
            <w:col w:w="2980" w:space="580"/>
            <w:col w:w="4260" w:space="160"/>
            <w:col w:w="1860" w:space="720"/>
            <w:col w:w="640"/>
          </w:cols>
          <w:pgMar w:left="240" w:top="455" w:right="459" w:bottom="1440" w:gutter="0" w:footer="0" w:header="0"/>
        </w:sectPr>
      </w:pPr>
    </w:p>
    <w:tbl>
      <w:tblPr>
        <w:tblLayout w:type="fixed"/>
        <w:tblInd w:w="120" w:type="dxa"/>
        <w:tblCellMar>
          <w:top w:w="0" w:type="dxa"/>
          <w:left w:w="0" w:type="dxa"/>
          <w:bottom w:w="0" w:type="dxa"/>
          <w:right w:w="0" w:type="dxa"/>
        </w:tblCellMar>
      </w:tblPr>
      <w:tr>
        <w:trPr>
          <w:trHeight w:val="176"/>
        </w:trPr>
        <w:tc>
          <w:tcPr>
            <w:tcW w:w="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320" w:type="dxa"/>
            <w:vAlign w:val="bottom"/>
            <w:gridSpan w:val="20"/>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Indemnity Agreement.</w:t>
              </w:r>
            </w:hyperlink>
          </w:p>
        </w:tc>
      </w:tr>
      <w:tr>
        <w:trPr>
          <w:trHeight w:val="26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4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2006</w:t>
              </w:r>
            </w:hyperlink>
          </w:p>
        </w:tc>
        <w:tc>
          <w:tcPr>
            <w:tcW w:w="80" w:type="dxa"/>
            <w:vAlign w:val="bottom"/>
            <w:gridSpan w:val="3"/>
          </w:tcPr>
          <w:p>
            <w:pPr>
              <w:spacing w:after="0"/>
              <w:rPr>
                <w:sz w:val="22"/>
                <w:szCs w:val="22"/>
                <w:color w:val="auto"/>
              </w:rPr>
            </w:pPr>
          </w:p>
        </w:tc>
      </w:tr>
      <w:tr>
        <w:trPr>
          <w:trHeight w:val="20"/>
        </w:trPr>
        <w:tc>
          <w:tcPr>
            <w:tcW w:w="6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Equity Incentive Plan and forms</w:t>
              </w:r>
            </w:hyperlink>
          </w:p>
        </w:tc>
      </w:tr>
      <w:tr>
        <w:trPr>
          <w:trHeight w:val="196"/>
        </w:trPr>
        <w:tc>
          <w:tcPr>
            <w:tcW w:w="68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of award agreements.</w:t>
              </w:r>
            </w:hyperlink>
          </w:p>
        </w:tc>
        <w:tc>
          <w:tcPr>
            <w:tcW w:w="780" w:type="dxa"/>
            <w:vAlign w:val="bottom"/>
            <w:gridSpan w:val="15"/>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2017 Equity Incentive Plan and</w:t>
              </w:r>
            </w:hyperlink>
          </w:p>
        </w:tc>
        <w:tc>
          <w:tcPr>
            <w:tcW w:w="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320" w:type="dxa"/>
            <w:vAlign w:val="bottom"/>
            <w:gridSpan w:val="20"/>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forms of award agreements.</w:t>
              </w:r>
            </w:hyperlink>
          </w:p>
        </w:tc>
      </w:tr>
      <w:tr>
        <w:trPr>
          <w:trHeight w:val="20"/>
        </w:trPr>
        <w:tc>
          <w:tcPr>
            <w:tcW w:w="6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2017 Employee Stock Purchase</w:t>
              </w:r>
            </w:hyperlink>
          </w:p>
        </w:tc>
        <w:tc>
          <w:tcPr>
            <w:tcW w:w="4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320" w:type="dxa"/>
            <w:vAlign w:val="bottom"/>
            <w:gridSpan w:val="20"/>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Plan and forms of award</w:t>
              </w:r>
            </w:hyperlink>
          </w:p>
        </w:tc>
      </w:tr>
      <w:tr>
        <w:trPr>
          <w:trHeight w:val="196"/>
        </w:trPr>
        <w:tc>
          <w:tcPr>
            <w:tcW w:w="680" w:type="dxa"/>
            <w:vAlign w:val="bottom"/>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14">
              <w:r>
                <w:rPr>
                  <w:rFonts w:ascii="Times New Roman" w:cs="Times New Roman" w:eastAsia="Times New Roman" w:hAnsi="Times New Roman"/>
                  <w:sz w:val="18"/>
                  <w:szCs w:val="18"/>
                  <w:color w:val="0000EE"/>
                  <w:w w:val="97"/>
                </w:rPr>
                <w:t>agreements.</w:t>
              </w:r>
            </w:hyperlink>
          </w:p>
        </w:tc>
        <w:tc>
          <w:tcPr>
            <w:tcW w:w="900" w:type="dxa"/>
            <w:vAlign w:val="bottom"/>
            <w:tcBorders>
              <w:top w:val="single" w:sz="8" w:color="0000EE"/>
            </w:tcBorders>
            <w:gridSpan w:val="6"/>
          </w:tcPr>
          <w:p>
            <w:pPr>
              <w:spacing w:after="0"/>
              <w:rPr>
                <w:sz w:val="17"/>
                <w:szCs w:val="17"/>
                <w:color w:val="auto"/>
              </w:rPr>
            </w:pPr>
          </w:p>
        </w:tc>
        <w:tc>
          <w:tcPr>
            <w:tcW w:w="560" w:type="dxa"/>
            <w:vAlign w:val="bottom"/>
            <w:gridSpan w:val="13"/>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Employment Agreement,</w:t>
              </w:r>
            </w:hyperlink>
          </w:p>
        </w:tc>
        <w:tc>
          <w:tcPr>
            <w:tcW w:w="500" w:type="dxa"/>
            <w:vAlign w:val="bottom"/>
            <w:gridSpan w:val="1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320" w:type="dxa"/>
            <w:vAlign w:val="bottom"/>
            <w:gridSpan w:val="20"/>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effective as of January 1, 2012,</w:t>
              </w:r>
            </w:hyperlink>
          </w:p>
        </w:tc>
      </w:tr>
      <w:tr>
        <w:trPr>
          <w:trHeight w:val="196"/>
        </w:trPr>
        <w:tc>
          <w:tcPr>
            <w:tcW w:w="6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by and between the Registrant</w:t>
              </w:r>
            </w:hyperlink>
          </w:p>
        </w:tc>
        <w:tc>
          <w:tcPr>
            <w:tcW w:w="40" w:type="dxa"/>
            <w:vAlign w:val="bottom"/>
            <w:tcBorders>
              <w:top w:val="single" w:sz="8" w:color="0000EE"/>
            </w:tcBorders>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and Hamza Suria, as amended.</w:t>
              </w:r>
            </w:hyperlink>
          </w:p>
        </w:tc>
        <w:tc>
          <w:tcPr>
            <w:tcW w:w="60" w:type="dxa"/>
            <w:vAlign w:val="bottom"/>
            <w:gridSpan w:val="2"/>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Employment Agreement,</w:t>
              </w:r>
            </w:hyperlink>
          </w:p>
        </w:tc>
        <w:tc>
          <w:tcPr>
            <w:tcW w:w="500" w:type="dxa"/>
            <w:vAlign w:val="bottom"/>
            <w:gridSpan w:val="1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320" w:type="dxa"/>
            <w:vAlign w:val="bottom"/>
            <w:gridSpan w:val="20"/>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effective as of March 22, 2016,</w:t>
              </w:r>
            </w:hyperlink>
          </w:p>
        </w:tc>
      </w:tr>
      <w:tr>
        <w:trPr>
          <w:trHeight w:val="196"/>
        </w:trPr>
        <w:tc>
          <w:tcPr>
            <w:tcW w:w="6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by and between the Registrant</w:t>
              </w:r>
            </w:hyperlink>
          </w:p>
        </w:tc>
        <w:tc>
          <w:tcPr>
            <w:tcW w:w="6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and Matthew Moyle.</w:t>
              </w:r>
            </w:hyperlink>
          </w:p>
        </w:tc>
        <w:tc>
          <w:tcPr>
            <w:tcW w:w="820" w:type="dxa"/>
            <w:vAlign w:val="bottom"/>
            <w:gridSpan w:val="17"/>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8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Employment Agreement,</w:t>
              </w:r>
            </w:hyperlink>
          </w:p>
        </w:tc>
        <w:tc>
          <w:tcPr>
            <w:tcW w:w="500" w:type="dxa"/>
            <w:vAlign w:val="bottom"/>
            <w:gridSpan w:val="1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320" w:type="dxa"/>
            <w:vAlign w:val="bottom"/>
            <w:gridSpan w:val="20"/>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effective as of October 20,</w:t>
              </w:r>
            </w:hyperlink>
          </w:p>
        </w:tc>
      </w:tr>
      <w:tr>
        <w:trPr>
          <w:trHeight w:val="196"/>
        </w:trPr>
        <w:tc>
          <w:tcPr>
            <w:tcW w:w="6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2014, by and between the</w:t>
              </w:r>
            </w:hyperlink>
          </w:p>
        </w:tc>
        <w:tc>
          <w:tcPr>
            <w:tcW w:w="60" w:type="dxa"/>
            <w:vAlign w:val="bottom"/>
            <w:tcBorders>
              <w:top w:val="single" w:sz="8" w:color="0000EE"/>
            </w:tcBorders>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1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Registrant and Marco Londei.</w:t>
              </w:r>
            </w:hyperlink>
          </w:p>
        </w:tc>
        <w:tc>
          <w:tcPr>
            <w:tcW w:w="160" w:type="dxa"/>
            <w:vAlign w:val="bottom"/>
            <w:gridSpan w:val="6"/>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Employment Agreement,</w:t>
            </w:r>
          </w:p>
        </w:tc>
        <w:tc>
          <w:tcPr>
            <w:tcW w:w="500" w:type="dxa"/>
            <w:vAlign w:val="bottom"/>
            <w:gridSpan w:val="1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effective as of January 9, 2017,</w:t>
            </w:r>
          </w:p>
        </w:tc>
      </w:tr>
      <w:tr>
        <w:trPr>
          <w:trHeight w:val="196"/>
        </w:trPr>
        <w:tc>
          <w:tcPr>
            <w:tcW w:w="6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by and between the Registrant</w:t>
            </w:r>
          </w:p>
        </w:tc>
        <w:tc>
          <w:tcPr>
            <w:tcW w:w="6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Dominic Piscitelli.</w:t>
            </w:r>
          </w:p>
        </w:tc>
      </w:tr>
      <w:tr>
        <w:trPr>
          <w:trHeight w:val="20"/>
        </w:trPr>
        <w:tc>
          <w:tcPr>
            <w:tcW w:w="6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320" w:type="dxa"/>
            <w:vAlign w:val="bottom"/>
            <w:gridSpan w:val="20"/>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Office Lease, dated April 19,</w:t>
              </w:r>
            </w:hyperlink>
          </w:p>
        </w:tc>
      </w:tr>
      <w:tr>
        <w:trPr>
          <w:trHeight w:val="196"/>
        </w:trPr>
        <w:tc>
          <w:tcPr>
            <w:tcW w:w="680" w:type="dxa"/>
            <w:vAlign w:val="bottom"/>
          </w:tcPr>
          <w:p>
            <w:pPr>
              <w:spacing w:after="0"/>
              <w:rPr>
                <w:sz w:val="17"/>
                <w:szCs w:val="17"/>
                <w:color w:val="auto"/>
              </w:rPr>
            </w:pPr>
          </w:p>
        </w:tc>
        <w:tc>
          <w:tcPr>
            <w:tcW w:w="20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2011, by and between the</w:t>
              </w:r>
            </w:hyperlink>
          </w:p>
        </w:tc>
        <w:tc>
          <w:tcPr>
            <w:tcW w:w="240" w:type="dxa"/>
            <w:vAlign w:val="bottom"/>
            <w:gridSpan w:val="8"/>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Registrant and Kilroy Realty,</w:t>
              </w:r>
            </w:hyperlink>
          </w:p>
        </w:tc>
        <w:tc>
          <w:tcPr>
            <w:tcW w:w="220" w:type="dxa"/>
            <w:vAlign w:val="bottom"/>
            <w:gridSpan w:val="7"/>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18">
              <w:r>
                <w:rPr>
                  <w:rFonts w:ascii="Times New Roman" w:cs="Times New Roman" w:eastAsia="Times New Roman" w:hAnsi="Times New Roman"/>
                  <w:sz w:val="18"/>
                  <w:szCs w:val="18"/>
                  <w:color w:val="0000EE"/>
                  <w:w w:val="96"/>
                </w:rPr>
                <w:t>L.P., as amended.</w:t>
              </w:r>
            </w:hyperlink>
          </w:p>
        </w:tc>
        <w:tc>
          <w:tcPr>
            <w:tcW w:w="1060" w:type="dxa"/>
            <w:vAlign w:val="bottom"/>
            <w:gridSpan w:val="18"/>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Antibody Generation</w:t>
              </w:r>
            </w:hyperlink>
          </w:p>
        </w:tc>
        <w:tc>
          <w:tcPr>
            <w:tcW w:w="800" w:type="dxa"/>
            <w:vAlign w:val="bottom"/>
            <w:gridSpan w:val="16"/>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Agreement, dated December</w:t>
              </w:r>
            </w:hyperlink>
          </w:p>
        </w:tc>
        <w:tc>
          <w:tcPr>
            <w:tcW w:w="220" w:type="dxa"/>
            <w:vAlign w:val="bottom"/>
            <w:gridSpan w:val="7"/>
          </w:tcPr>
          <w:p>
            <w:pPr>
              <w:spacing w:after="0"/>
              <w:rPr>
                <w:sz w:val="17"/>
                <w:szCs w:val="17"/>
                <w:color w:val="auto"/>
              </w:rPr>
            </w:pPr>
          </w:p>
        </w:tc>
      </w:tr>
    </w:tbl>
    <w:p>
      <w:pPr>
        <w:spacing w:after="0" w:line="9" w:lineRule="exact"/>
        <w:rPr>
          <w:sz w:val="20"/>
          <w:szCs w:val="20"/>
          <w:color w:val="auto"/>
        </w:rPr>
      </w:pPr>
    </w:p>
    <w:p>
      <w:pPr>
        <w:ind w:left="800" w:right="220"/>
        <w:spacing w:after="0" w:line="266" w:lineRule="auto"/>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22, 2011, by and between the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Registrant and Celgene</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Corporation, as modified.</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10.1</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September 9, 2015</w:t>
            </w:r>
          </w:p>
        </w:tc>
      </w:tr>
      <w:tr>
        <w:trPr>
          <w:trHeight w:val="26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10.2</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17, 2017</w:t>
            </w: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10.3</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17, 2017</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10.4</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17, 2017</w:t>
            </w: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10.5</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September 9, 2015</w:t>
            </w:r>
          </w:p>
        </w:tc>
      </w:tr>
      <w:tr>
        <w:trPr>
          <w:trHeight w:val="8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10.6</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December 28, 2016</w:t>
            </w:r>
          </w:p>
        </w:tc>
      </w:tr>
      <w:tr>
        <w:trPr>
          <w:trHeight w:val="8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10.8</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September 9, 2015</w:t>
            </w:r>
          </w:p>
        </w:tc>
      </w:tr>
    </w:tbl>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94"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10.8</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December 23, 2015</w:t>
            </w:r>
          </w:p>
        </w:tc>
      </w:tr>
      <w:tr>
        <w:trPr>
          <w:trHeight w:val="8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333-206849</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10.9</w:t>
            </w:r>
          </w:p>
        </w:tc>
        <w:tc>
          <w:tcPr>
            <w:tcW w:w="1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December 28, 2016</w:t>
            </w:r>
          </w:p>
        </w:tc>
      </w:tr>
    </w:tbl>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95" w:lineRule="exact"/>
        <w:rPr>
          <w:rFonts w:ascii="Times New Roman" w:cs="Times New Roman" w:eastAsia="Times New Roman" w:hAnsi="Times New Roman"/>
          <w:sz w:val="18"/>
          <w:szCs w:val="18"/>
          <w:u w:val="single" w:color="auto"/>
          <w:color w:val="0000EE"/>
        </w:rPr>
      </w:pPr>
    </w:p>
    <w:p>
      <w:pPr>
        <w:ind w:left="202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14"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3">
            <w:col w:w="3120" w:space="440"/>
            <w:col w:w="6540" w:space="720"/>
            <w:col w:w="380"/>
          </w:cols>
          <w:pgMar w:left="240" w:top="455" w:right="45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00" w:type="dxa"/>
            <w:vAlign w:val="bottom"/>
            <w:gridSpan w:val="2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320" w:type="dxa"/>
            <w:vAlign w:val="bottom"/>
          </w:tcPr>
          <w:p>
            <w:pPr>
              <w:spacing w:after="0"/>
              <w:rPr>
                <w:sz w:val="15"/>
                <w:szCs w:val="15"/>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18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2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by Reference</w:t>
            </w:r>
          </w:p>
        </w:tc>
        <w:tc>
          <w:tcPr>
            <w:tcW w:w="90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4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62"/>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00" w:type="dxa"/>
            <w:vAlign w:val="bottom"/>
            <w:gridSpan w:val="23"/>
            <w:vMerge w:val="continue"/>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2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Collaboration and Exclusive</w:t>
              </w:r>
            </w:hyperlink>
          </w:p>
        </w:tc>
        <w:tc>
          <w:tcPr>
            <w:tcW w:w="440" w:type="dxa"/>
            <w:vAlign w:val="bottom"/>
            <w:gridSpan w:val="7"/>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S-1/A</w:t>
            </w:r>
          </w:p>
        </w:tc>
        <w:tc>
          <w:tcPr>
            <w:tcW w:w="2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333-206849</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tcPr>
          <w:p>
            <w:pPr>
              <w:spacing w:after="0"/>
              <w:rPr>
                <w:sz w:val="18"/>
                <w:szCs w:val="18"/>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May 10, 2016</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License Agreement, dated</w:t>
              </w:r>
            </w:hyperlink>
          </w:p>
        </w:tc>
        <w:tc>
          <w:tcPr>
            <w:tcW w:w="60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March 10, 2014, by and</w:t>
              </w:r>
            </w:hyperlink>
          </w:p>
        </w:tc>
        <w:tc>
          <w:tcPr>
            <w:tcW w:w="72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among the Registrant,</w:t>
              </w:r>
            </w:hyperlink>
          </w:p>
        </w:tc>
        <w:tc>
          <w:tcPr>
            <w:tcW w:w="90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23"/>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TESARO, Inc. and TESARO</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Development, Ltd., as</w:t>
              </w:r>
            </w:hyperlink>
          </w:p>
        </w:tc>
        <w:tc>
          <w:tcPr>
            <w:tcW w:w="38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amended.</w:t>
              </w:r>
            </w:hyperlink>
          </w:p>
        </w:tc>
        <w:tc>
          <w:tcPr>
            <w:tcW w:w="90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1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License Agreement, dated</w:t>
              </w:r>
            </w:hyperlink>
          </w:p>
        </w:tc>
        <w:tc>
          <w:tcPr>
            <w:tcW w:w="600" w:type="dxa"/>
            <w:vAlign w:val="bottom"/>
            <w:gridSpan w:val="11"/>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S-1</w:t>
            </w:r>
          </w:p>
        </w:tc>
        <w:tc>
          <w:tcPr>
            <w:tcW w:w="2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333-206849</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tcPr>
          <w:p>
            <w:pPr>
              <w:spacing w:after="0"/>
              <w:rPr>
                <w:sz w:val="22"/>
                <w:szCs w:val="22"/>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September 9, 2015</w:t>
            </w: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August 30, 2006, by and</w:t>
              </w:r>
            </w:hyperlink>
          </w:p>
        </w:tc>
        <w:tc>
          <w:tcPr>
            <w:tcW w:w="70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23"/>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between the Registrant and</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Medical Research Council, as</w:t>
              </w:r>
            </w:hyperlink>
          </w:p>
        </w:tc>
        <w:tc>
          <w:tcPr>
            <w:tcW w:w="34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23"/>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21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Non-Exclusive Research and</w:t>
              </w:r>
            </w:hyperlink>
          </w:p>
        </w:tc>
        <w:tc>
          <w:tcPr>
            <w:tcW w:w="400" w:type="dxa"/>
            <w:vAlign w:val="bottom"/>
            <w:gridSpan w:val="6"/>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S-1</w:t>
            </w:r>
          </w:p>
        </w:tc>
        <w:tc>
          <w:tcPr>
            <w:tcW w:w="2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333-206849</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Pr>
          <w:p>
            <w:pPr>
              <w:spacing w:after="0"/>
              <w:rPr>
                <w:sz w:val="22"/>
                <w:szCs w:val="22"/>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September 9, 2015</w:t>
            </w: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2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Commercial License</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Agreement, dated May 15,</w:t>
              </w:r>
            </w:hyperlink>
          </w:p>
        </w:tc>
        <w:tc>
          <w:tcPr>
            <w:tcW w:w="52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2009, by and between the</w:t>
              </w:r>
            </w:hyperlink>
          </w:p>
        </w:tc>
        <w:tc>
          <w:tcPr>
            <w:tcW w:w="640" w:type="dxa"/>
            <w:vAlign w:val="bottom"/>
            <w:gridSpan w:val="1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Registrant and Millipore</w:t>
              </w:r>
            </w:hyperlink>
          </w:p>
        </w:tc>
        <w:tc>
          <w:tcPr>
            <w:tcW w:w="720" w:type="dxa"/>
            <w:vAlign w:val="bottom"/>
            <w:gridSpan w:val="1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2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Corporation.</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2500" w:type="dxa"/>
            <w:vAlign w:val="bottom"/>
            <w:gridSpan w:val="23"/>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Loan and Security Agreement,</w:t>
              </w:r>
            </w:hyperlink>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S-1/A</w:t>
            </w:r>
          </w:p>
        </w:tc>
        <w:tc>
          <w:tcPr>
            <w:tcW w:w="2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333-206849</w:t>
            </w: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Pr>
          <w:p>
            <w:pPr>
              <w:spacing w:after="0"/>
              <w:rPr>
                <w:sz w:val="22"/>
                <w:szCs w:val="22"/>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February 16, 2016</w:t>
            </w: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dated December 24, 2014, by</w:t>
              </w:r>
            </w:hyperlink>
          </w:p>
        </w:tc>
        <w:tc>
          <w:tcPr>
            <w:tcW w:w="20" w:type="dxa"/>
            <w:vAlign w:val="bottom"/>
            <w:tcBorders>
              <w:top w:val="single" w:sz="8" w:color="0000EE"/>
            </w:tcBorders>
          </w:tcPr>
          <w:p>
            <w:pPr>
              <w:spacing w:after="0"/>
              <w:rPr>
                <w:sz w:val="17"/>
                <w:szCs w:val="17"/>
                <w:color w:val="auto"/>
              </w:rPr>
            </w:pPr>
          </w:p>
        </w:tc>
        <w:tc>
          <w:tcPr>
            <w:tcW w:w="3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and among the Registrant,</w:t>
              </w:r>
            </w:hyperlink>
          </w:p>
        </w:tc>
        <w:tc>
          <w:tcPr>
            <w:tcW w:w="60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Oxford Finance LLC and</w:t>
              </w:r>
            </w:hyperlink>
          </w:p>
        </w:tc>
        <w:tc>
          <w:tcPr>
            <w:tcW w:w="66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23"/>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Silicon Valley Bank, as</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amended.</w:t>
              </w:r>
            </w:hyperlink>
          </w:p>
        </w:tc>
        <w:tc>
          <w:tcPr>
            <w:tcW w:w="820" w:type="dxa"/>
            <w:vAlign w:val="bottom"/>
            <w:gridSpan w:val="16"/>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11"/>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300" w:type="dxa"/>
            <w:vAlign w:val="bottom"/>
          </w:tcPr>
          <w:p>
            <w:pPr>
              <w:spacing w:after="0"/>
              <w:rPr>
                <w:sz w:val="22"/>
                <w:szCs w:val="22"/>
                <w:color w:val="auto"/>
              </w:rPr>
            </w:pPr>
          </w:p>
        </w:tc>
        <w:tc>
          <w:tcPr>
            <w:tcW w:w="21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Subsidiaries of the Registrant.</w:t>
              </w:r>
            </w:hyperlink>
          </w:p>
        </w:tc>
        <w:tc>
          <w:tcPr>
            <w:tcW w:w="320" w:type="dxa"/>
            <w:vAlign w:val="bottom"/>
            <w:gridSpan w:val="3"/>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6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001-37985</w:t>
            </w:r>
          </w:p>
        </w:tc>
        <w:tc>
          <w:tcPr>
            <w:tcW w:w="480" w:type="dxa"/>
            <w:vAlign w:val="bottom"/>
          </w:tcPr>
          <w:p>
            <w:pPr>
              <w:spacing w:after="0"/>
              <w:rPr>
                <w:sz w:val="22"/>
                <w:szCs w:val="22"/>
                <w:color w:val="auto"/>
              </w:rPr>
            </w:pP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22"/>
                <w:szCs w:val="22"/>
                <w:color w:val="auto"/>
              </w:rPr>
            </w:pPr>
          </w:p>
        </w:tc>
        <w:tc>
          <w:tcPr>
            <w:tcW w:w="2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March 8, 2017</w:t>
            </w: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25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Consent of KPMG LLP, an</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independent registered public</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accounting firm.</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23.2*</w:t>
            </w:r>
          </w:p>
        </w:tc>
        <w:tc>
          <w:tcPr>
            <w:tcW w:w="25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Consent of Fenwick &amp; West</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LLP (included in Exhibit 5.1).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24.1*</w:t>
            </w:r>
          </w:p>
        </w:tc>
        <w:tc>
          <w:tcPr>
            <w:tcW w:w="22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Power of Attorney (reference is</w:t>
              </w:r>
            </w:hyperlink>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made to the signature page</w:t>
              </w:r>
            </w:hyperlink>
          </w:p>
        </w:tc>
        <w:tc>
          <w:tcPr>
            <w:tcW w:w="54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23"/>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hereto).</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8865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27" w:lineRule="exact"/>
        <w:rPr>
          <w:sz w:val="20"/>
          <w:szCs w:val="20"/>
          <w:color w:val="auto"/>
        </w:rPr>
      </w:pPr>
    </w:p>
    <w:p>
      <w:pPr>
        <w:ind w:left="220" w:right="80" w:hanging="212"/>
        <w:spacing w:after="0" w:line="261" w:lineRule="auto"/>
        <w:tabs>
          <w:tab w:leader="none" w:pos="2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Registrant has omitted and filed separately with the SEC portions of the exhibit pursuant to a confidential treatment request under Rule 406 promulgated under the Securities 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jc w:val="center"/>
        <w:ind w:left="700"/>
        <w:spacing w:after="0" w:line="454"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required or is shown either in the financial statements or notes. II-5</w:t>
      </w:r>
    </w:p>
    <w:p>
      <w:pPr>
        <w:sectPr>
          <w:pgSz w:w="11900" w:h="16838" w:orient="portrait"/>
          <w:cols w:equalWidth="0" w:num="1">
            <w:col w:w="11300"/>
          </w:cols>
          <w:pgMar w:left="240" w:top="455" w:right="3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right="300" w:firstLine="464"/>
        <w:spacing w:after="0" w:line="266" w:lineRule="auto"/>
        <w:tabs>
          <w:tab w:leader="none" w:pos="7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Times New Roman" w:cs="Times New Roman" w:eastAsia="Times New Roman" w:hAnsi="Times New Roman"/>
          <w:sz w:val="18"/>
          <w:szCs w:val="18"/>
          <w:color w:val="auto"/>
        </w:rPr>
      </w:pPr>
    </w:p>
    <w:p>
      <w:pPr>
        <w:ind w:right="240" w:firstLine="464"/>
        <w:spacing w:after="0" w:line="266" w:lineRule="auto"/>
        <w:tabs>
          <w:tab w:leader="none" w:pos="7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to the registration statement on Form S-1 to be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signed on its behalf by the undersigned, thereunto duly authorized, in San Diego, California, on the  day of</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spacing w:after="0" w:line="202"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294640</wp:posOffset>
            </wp:positionV>
            <wp:extent cx="2752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Hamza Suria</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Hamza Suria and Dominic G. Piscitelli, and each of them,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her might or could do in person, hereby ratifying and confirming all that said attorneys-in-fact, proxies and agents, or their or his or her substitute or substitutes, may lawfully do or cause to be done by virtue hereof.</w:t>
      </w:r>
    </w:p>
    <w:p>
      <w:pPr>
        <w:spacing w:after="0" w:line="185"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S-1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000" w:type="dxa"/>
            <w:vAlign w:val="bottom"/>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520" w:type="dxa"/>
            <w:vAlign w:val="bottom"/>
          </w:tcPr>
          <w:p>
            <w:pPr>
              <w:spacing w:after="0"/>
              <w:rPr>
                <w:sz w:val="16"/>
                <w:szCs w:val="16"/>
                <w:color w:val="auto"/>
              </w:rPr>
            </w:pPr>
          </w:p>
        </w:tc>
      </w:tr>
      <w:tr>
        <w:trPr>
          <w:trHeight w:val="412"/>
        </w:trPr>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2017</w:t>
            </w:r>
          </w:p>
        </w:tc>
      </w:tr>
      <w:tr>
        <w:trPr>
          <w:trHeight w:val="178"/>
        </w:trPr>
        <w:tc>
          <w:tcPr>
            <w:tcW w:w="492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8"/>
                <w:szCs w:val="18"/>
                <w:color w:val="auto"/>
                <w:w w:val="98"/>
              </w:rPr>
              <w:t>Hamza Suria</w:t>
            </w:r>
          </w:p>
        </w:tc>
        <w:tc>
          <w:tcPr>
            <w:tcW w:w="5360" w:type="dxa"/>
            <w:vAlign w:val="bottom"/>
            <w:gridSpan w:val="3"/>
          </w:tcPr>
          <w:p>
            <w:pPr>
              <w:jc w:val="center"/>
              <w:ind w:right="940"/>
              <w:spacing w:after="0" w:line="178" w:lineRule="exact"/>
              <w:rPr>
                <w:sz w:val="20"/>
                <w:szCs w:val="20"/>
                <w:color w:val="auto"/>
              </w:rPr>
            </w:pPr>
            <w:r>
              <w:rPr>
                <w:rFonts w:ascii="Times New Roman" w:cs="Times New Roman" w:eastAsia="Times New Roman" w:hAnsi="Times New Roman"/>
                <w:sz w:val="18"/>
                <w:szCs w:val="18"/>
                <w:color w:val="auto"/>
                <w:w w:val="99"/>
              </w:rPr>
              <w:t>and Director</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4"/>
        </w:trPr>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6"/>
        </w:trPr>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Dominic G. Piscitelli</w:t>
            </w:r>
          </w:p>
        </w:tc>
        <w:tc>
          <w:tcPr>
            <w:tcW w:w="53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(Principal Accounting and Financial Officer)</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Director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Carol G. Gallagher, Pharm.D.</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Director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Nicholas B. Lydon, Ph.D., FRS</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Director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Hollings Renton</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Director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John Schmid</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2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6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Director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2017</w:t>
            </w:r>
          </w:p>
        </w:tc>
      </w:tr>
      <w:tr>
        <w:trPr>
          <w:trHeight w:val="228"/>
        </w:trPr>
        <w:tc>
          <w:tcPr>
            <w:tcW w:w="4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James A. Schoeneck</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AnaptysBio,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133" w:lineRule="exact"/>
        <w:rPr>
          <w:sz w:val="20"/>
          <w:szCs w:val="20"/>
          <w:color w:val="auto"/>
        </w:rPr>
      </w:pPr>
    </w:p>
    <w:tbl>
      <w:tblPr>
        <w:tblLayout w:type="fixed"/>
        <w:tblInd w:w="2160" w:type="dxa"/>
        <w:tblCellMar>
          <w:top w:w="0" w:type="dxa"/>
          <w:left w:w="0" w:type="dxa"/>
          <w:bottom w:w="0" w:type="dxa"/>
          <w:right w:w="0" w:type="dxa"/>
        </w:tblCellMar>
      </w:tblPr>
      <w:tr>
        <w:trPr>
          <w:trHeight w:val="187"/>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2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000" w:type="dxa"/>
            <w:vAlign w:val="bottom"/>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520" w:type="dxa"/>
            <w:vAlign w:val="bottom"/>
          </w:tcPr>
          <w:p>
            <w:pPr>
              <w:spacing w:after="0"/>
              <w:rPr>
                <w:sz w:val="16"/>
                <w:szCs w:val="16"/>
                <w:color w:val="auto"/>
              </w:rPr>
            </w:pPr>
          </w:p>
        </w:tc>
      </w:tr>
      <w:tr>
        <w:trPr>
          <w:trHeight w:val="412"/>
        </w:trPr>
        <w:tc>
          <w:tcPr>
            <w:tcW w:w="600" w:type="dxa"/>
            <w:vAlign w:val="bottom"/>
          </w:tcPr>
          <w:p>
            <w:pPr>
              <w:spacing w:after="0"/>
              <w:rPr>
                <w:sz w:val="24"/>
                <w:szCs w:val="24"/>
                <w:color w:val="auto"/>
              </w:rPr>
            </w:pPr>
          </w:p>
        </w:tc>
        <w:tc>
          <w:tcPr>
            <w:tcW w:w="752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9"/>
              </w:rPr>
              <w:t>Director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ind w:left="1380"/>
        <w:spacing w:after="0"/>
        <w:rPr>
          <w:sz w:val="20"/>
          <w:szCs w:val="20"/>
          <w:color w:val="auto"/>
        </w:rPr>
      </w:pPr>
      <w:r>
        <w:rPr>
          <w:rFonts w:ascii="Times New Roman" w:cs="Times New Roman" w:eastAsia="Times New Roman" w:hAnsi="Times New Roman"/>
          <w:sz w:val="18"/>
          <w:szCs w:val="18"/>
          <w:color w:val="auto"/>
        </w:rPr>
        <w:t>James N. Topper,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127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4" w:lineRule="exact"/>
        <w:rPr>
          <w:sz w:val="20"/>
          <w:szCs w:val="20"/>
          <w:color w:val="auto"/>
        </w:rPr>
      </w:pPr>
    </w:p>
    <w:tbl>
      <w:tblPr>
        <w:tblLayout w:type="fixed"/>
        <w:tblInd w:w="68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ind w:left="1860"/>
        <w:spacing w:after="0"/>
        <w:rPr>
          <w:sz w:val="20"/>
          <w:szCs w:val="20"/>
          <w:color w:val="auto"/>
        </w:rPr>
      </w:pPr>
      <w:r>
        <w:rPr>
          <w:rFonts w:ascii="Times New Roman" w:cs="Times New Roman" w:eastAsia="Times New Roman" w:hAnsi="Times New Roman"/>
          <w:sz w:val="18"/>
          <w:szCs w:val="18"/>
          <w:color w:val="auto"/>
        </w:rPr>
        <w:t>J. Anthony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127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ectPr>
          <w:pgSz w:w="11900" w:h="16838" w:orient="portrait"/>
          <w:cols w:equalWidth="0" w:num="1">
            <w:col w:w="11100"/>
          </w:cols>
          <w:pgMar w:left="240" w:top="455" w:right="5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3" w:lineRule="exact"/>
        <w:rPr>
          <w:sz w:val="20"/>
          <w:szCs w:val="20"/>
          <w:color w:val="auto"/>
        </w:rPr>
      </w:pPr>
    </w:p>
    <w:p>
      <w:pPr>
        <w:ind w:right="200" w:firstLine="456"/>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effective from January 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2017 (the “Effective Date”) by and among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NAPTYSBIO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Dominic Piscitelli (“</w:t>
      </w:r>
      <w:r>
        <w:rPr>
          <w:rFonts w:ascii="Times New Roman" w:cs="Times New Roman" w:eastAsia="Times New Roman" w:hAnsi="Times New Roman"/>
          <w:sz w:val="18"/>
          <w:szCs w:val="18"/>
          <w:b w:val="1"/>
          <w:bCs w:val="1"/>
          <w:i w:val="1"/>
          <w:iCs w:val="1"/>
          <w:color w:val="auto"/>
        </w:rPr>
        <w:t>CFO</w:t>
      </w:r>
      <w:r>
        <w:rPr>
          <w:rFonts w:ascii="Times New Roman" w:cs="Times New Roman" w:eastAsia="Times New Roman" w:hAnsi="Times New Roman"/>
          <w:sz w:val="18"/>
          <w:szCs w:val="18"/>
          <w:color w:val="auto"/>
        </w:rPr>
        <w:t>”). The Company and CFO are hereinafter collectively referred to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5"/>
          <w:szCs w:val="15"/>
          <w:b w:val="1"/>
          <w:bCs w:val="1"/>
          <w:color w:val="auto"/>
        </w:rPr>
        <w:t>ECITAL</w:t>
      </w:r>
    </w:p>
    <w:p>
      <w:pPr>
        <w:spacing w:after="0" w:line="22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Company desires to employ CFO, and CFO is willing to accept such employment by Company, on the terms and subject to the conditions set forth in this Agreement.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of the foregoing Recitals and the mutual promises and covenants herein contained, and for other good and valuable consideration,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intending to be legally bound, agree as follows:</w:t>
      </w:r>
    </w:p>
    <w:p>
      <w:pPr>
        <w:spacing w:after="0" w:line="95" w:lineRule="exact"/>
        <w:rPr>
          <w:sz w:val="20"/>
          <w:szCs w:val="20"/>
          <w:color w:val="auto"/>
        </w:rPr>
      </w:pPr>
    </w:p>
    <w:p>
      <w:pPr>
        <w:ind w:left="640" w:hanging="176"/>
        <w:spacing w:after="0"/>
        <w:tabs>
          <w:tab w:leader="none" w:pos="6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MPLOYMENT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10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1.1 Title</w:t>
      </w:r>
      <w:r>
        <w:rPr>
          <w:rFonts w:ascii="Times New Roman" w:cs="Times New Roman" w:eastAsia="Times New Roman" w:hAnsi="Times New Roman"/>
          <w:sz w:val="18"/>
          <w:szCs w:val="18"/>
          <w:color w:val="auto"/>
        </w:rPr>
        <w:t>. Effective as of the Effective Date, CFO’s position shall be Chief Financial Officer of the Company, subject to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this Agreement.</w:t>
      </w:r>
    </w:p>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1.2 Term</w:t>
      </w:r>
      <w:r>
        <w:rPr>
          <w:rFonts w:ascii="Times New Roman" w:cs="Times New Roman" w:eastAsia="Times New Roman" w:hAnsi="Times New Roman"/>
          <w:sz w:val="18"/>
          <w:szCs w:val="18"/>
          <w:color w:val="auto"/>
        </w:rPr>
        <w:t>. The term of this Agreement shall begin on the Effective Date and shall continue until it is terminated pursuant to Section 4 herein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right="6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1.3 Duties</w:t>
      </w:r>
      <w:r>
        <w:rPr>
          <w:rFonts w:ascii="Times New Roman" w:cs="Times New Roman" w:eastAsia="Times New Roman" w:hAnsi="Times New Roman"/>
          <w:sz w:val="18"/>
          <w:szCs w:val="18"/>
          <w:color w:val="auto"/>
        </w:rPr>
        <w:t>. CFO shall do and perform all services, acts or things necessary or advisable to manage and conduct the business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normally associated with the position of Chief Financial Officer. CFO shall report to the Chief Executive Officer.</w:t>
      </w:r>
    </w:p>
    <w:p>
      <w:pPr>
        <w:spacing w:after="0" w:line="47" w:lineRule="exact"/>
        <w:rPr>
          <w:sz w:val="20"/>
          <w:szCs w:val="20"/>
          <w:color w:val="auto"/>
        </w:rPr>
      </w:pPr>
    </w:p>
    <w:p>
      <w:pPr>
        <w:ind w:right="120" w:firstLine="913"/>
        <w:spacing w:after="0" w:line="268" w:lineRule="auto"/>
        <w:rPr>
          <w:sz w:val="20"/>
          <w:szCs w:val="20"/>
          <w:color w:val="auto"/>
        </w:rPr>
      </w:pPr>
      <w:r>
        <w:rPr>
          <w:rFonts w:ascii="Times New Roman" w:cs="Times New Roman" w:eastAsia="Times New Roman" w:hAnsi="Times New Roman"/>
          <w:sz w:val="18"/>
          <w:szCs w:val="18"/>
          <w:b w:val="1"/>
          <w:bCs w:val="1"/>
          <w:color w:val="auto"/>
        </w:rPr>
        <w:t>1.4 Policies and Practices</w:t>
      </w:r>
      <w:r>
        <w:rPr>
          <w:rFonts w:ascii="Times New Roman" w:cs="Times New Roman" w:eastAsia="Times New Roman" w:hAnsi="Times New Roman"/>
          <w:sz w:val="18"/>
          <w:szCs w:val="18"/>
          <w:color w:val="auto"/>
        </w:rPr>
        <w:t>. The employment relationship between the Parties shall be governed by this Agreement and by the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63" w:lineRule="exact"/>
        <w:rPr>
          <w:sz w:val="20"/>
          <w:szCs w:val="20"/>
          <w:color w:val="auto"/>
        </w:rPr>
      </w:pPr>
    </w:p>
    <w:p>
      <w:pPr>
        <w:ind w:right="20" w:firstLine="913"/>
        <w:spacing w:after="0" w:line="268" w:lineRule="auto"/>
        <w:rPr>
          <w:sz w:val="20"/>
          <w:szCs w:val="20"/>
          <w:color w:val="auto"/>
        </w:rPr>
      </w:pPr>
      <w:r>
        <w:rPr>
          <w:rFonts w:ascii="Times New Roman" w:cs="Times New Roman" w:eastAsia="Times New Roman" w:hAnsi="Times New Roman"/>
          <w:sz w:val="18"/>
          <w:szCs w:val="18"/>
          <w:b w:val="1"/>
          <w:bCs w:val="1"/>
          <w:color w:val="auto"/>
        </w:rPr>
        <w:t>1.5 Location</w:t>
      </w:r>
      <w:r>
        <w:rPr>
          <w:rFonts w:ascii="Times New Roman" w:cs="Times New Roman" w:eastAsia="Times New Roman" w:hAnsi="Times New Roman"/>
          <w:sz w:val="18"/>
          <w:szCs w:val="18"/>
          <w:color w:val="auto"/>
        </w:rPr>
        <w:t>. Unless the Parties otherwise agree in writing, during the Term CFO shall perform the services CFO is required to perform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at the Company’s offices in San Diego, California, provided, however, that the Company may from time to time require CFO to travel temporarily to other locations in connection with the Company’s business.</w:t>
      </w:r>
    </w:p>
    <w:p>
      <w:pPr>
        <w:sectPr>
          <w:pgSz w:w="11900" w:h="16838" w:orient="portrait"/>
          <w:cols w:equalWidth="0" w:num="1">
            <w:col w:w="11420"/>
          </w:cols>
          <w:pgMar w:left="240" w:top="117" w:right="239" w:bottom="1440" w:gutter="0" w:footer="0" w:header="0"/>
        </w:sectPr>
      </w:pPr>
    </w:p>
    <w:bookmarkStart w:id="67" w:name="page68"/>
    <w:bookmarkEnd w:id="67"/>
    <w:p>
      <w:pPr>
        <w:ind w:left="640" w:hanging="176"/>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Times New Roman" w:cs="Times New Roman" w:eastAsia="Times New Roman" w:hAnsi="Times New Roman"/>
          <w:sz w:val="15"/>
          <w:szCs w:val="15"/>
          <w:b w:val="1"/>
          <w:bCs w:val="1"/>
          <w:color w:val="auto"/>
        </w:rPr>
        <w:t>OYALTY</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5"/>
          <w:szCs w:val="15"/>
          <w:b w:val="1"/>
          <w:bCs w:val="1"/>
          <w:color w:val="auto"/>
        </w:rPr>
        <w:t>ONCOMPETITION</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5"/>
          <w:szCs w:val="15"/>
          <w:b w:val="1"/>
          <w:bCs w:val="1"/>
          <w:color w:val="auto"/>
        </w:rPr>
        <w:t>ONSOLICITATION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36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2.1 Loyalty</w:t>
      </w:r>
      <w:r>
        <w:rPr>
          <w:rFonts w:ascii="Times New Roman" w:cs="Times New Roman" w:eastAsia="Times New Roman" w:hAnsi="Times New Roman"/>
          <w:sz w:val="18"/>
          <w:szCs w:val="18"/>
          <w:color w:val="auto"/>
        </w:rPr>
        <w:t>. During CFO’s employment with the Company, CFO shall devote CFO’s full business energies, interest, abilities and productive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the proper and efficient performance of CFO’s duties under this Agreement.</w:t>
      </w:r>
    </w:p>
    <w:p>
      <w:pPr>
        <w:spacing w:after="0" w:line="47"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b w:val="1"/>
          <w:bCs w:val="1"/>
          <w:color w:val="auto"/>
        </w:rPr>
        <w:t>2.2 Agreement not to Participate in Company’s Competitors</w:t>
      </w:r>
      <w:r>
        <w:rPr>
          <w:rFonts w:ascii="Times New Roman" w:cs="Times New Roman" w:eastAsia="Times New Roman" w:hAnsi="Times New Roman"/>
          <w:sz w:val="18"/>
          <w:szCs w:val="18"/>
          <w:color w:val="auto"/>
        </w:rPr>
        <w:t>. During CFO’s employment with the Company, CFO agrees not to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 or participate in, directly or indirectly, any position, investment or interest known by CFO to be adverse or antagonistic to the Company, its business, or prospects, financial or otherwise, or in any company, person, or entity that is, directly or indirectly, in competition with the business of the Company or any of its Affiliates (as defined below). Ownership by CFO, in professionally managed funds over which CFO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w:t>
      </w:r>
    </w:p>
    <w:p>
      <w:pPr>
        <w:spacing w:after="0" w:line="77" w:lineRule="exact"/>
        <w:rPr>
          <w:sz w:val="20"/>
          <w:szCs w:val="20"/>
          <w:color w:val="auto"/>
        </w:rPr>
      </w:pPr>
    </w:p>
    <w:p>
      <w:pPr>
        <w:ind w:right="220" w:firstLine="913"/>
        <w:spacing w:after="0" w:line="257" w:lineRule="auto"/>
        <w:rPr>
          <w:sz w:val="20"/>
          <w:szCs w:val="20"/>
          <w:color w:val="auto"/>
        </w:rPr>
      </w:pPr>
      <w:r>
        <w:rPr>
          <w:rFonts w:ascii="Times New Roman" w:cs="Times New Roman" w:eastAsia="Times New Roman" w:hAnsi="Times New Roman"/>
          <w:sz w:val="18"/>
          <w:szCs w:val="18"/>
          <w:b w:val="1"/>
          <w:bCs w:val="1"/>
          <w:color w:val="auto"/>
        </w:rPr>
        <w:t>2.3 Covenant not to Compete</w:t>
      </w:r>
      <w:r>
        <w:rPr>
          <w:rFonts w:ascii="Times New Roman" w:cs="Times New Roman" w:eastAsia="Times New Roman" w:hAnsi="Times New Roman"/>
          <w:sz w:val="18"/>
          <w:szCs w:val="18"/>
          <w:color w:val="auto"/>
        </w:rPr>
        <w:t>. During CFO’s employment with the Company, CFO shall not engage in competition with the Company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CEO. CFO shall be entitled to request written consent of the CEO with respect to potential advisory and/or director opportunities presented to CFO by a third party, which CFO believes in good faith will not interfere or compete with the on-going business of the Company.</w:t>
      </w:r>
    </w:p>
    <w:p>
      <w:pPr>
        <w:spacing w:after="0" w:line="183" w:lineRule="exact"/>
        <w:rPr>
          <w:sz w:val="20"/>
          <w:szCs w:val="20"/>
          <w:color w:val="auto"/>
        </w:rPr>
      </w:pPr>
    </w:p>
    <w:p>
      <w:pPr>
        <w:ind w:left="640" w:hanging="176"/>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OMPENSATION OF</w:t>
      </w:r>
      <w:r>
        <w:rPr>
          <w:rFonts w:ascii="Times New Roman" w:cs="Times New Roman" w:eastAsia="Times New Roman" w:hAnsi="Times New Roman"/>
          <w:sz w:val="18"/>
          <w:szCs w:val="18"/>
          <w:b w:val="1"/>
          <w:bCs w:val="1"/>
          <w:color w:val="auto"/>
        </w:rPr>
        <w:t xml:space="preserve"> CFO.</w:t>
      </w:r>
    </w:p>
    <w:p>
      <w:pPr>
        <w:spacing w:after="0" w:line="117" w:lineRule="exact"/>
        <w:rPr>
          <w:sz w:val="20"/>
          <w:szCs w:val="20"/>
          <w:color w:val="auto"/>
        </w:rPr>
      </w:pPr>
    </w:p>
    <w:p>
      <w:pPr>
        <w:ind w:right="140" w:firstLine="913"/>
        <w:spacing w:after="0" w:line="268" w:lineRule="auto"/>
        <w:rPr>
          <w:sz w:val="20"/>
          <w:szCs w:val="20"/>
          <w:color w:val="auto"/>
        </w:rPr>
      </w:pPr>
      <w:r>
        <w:rPr>
          <w:rFonts w:ascii="Times New Roman" w:cs="Times New Roman" w:eastAsia="Times New Roman" w:hAnsi="Times New Roman"/>
          <w:sz w:val="18"/>
          <w:szCs w:val="18"/>
          <w:b w:val="1"/>
          <w:bCs w:val="1"/>
          <w:color w:val="auto"/>
        </w:rPr>
        <w:t>3.1 Base Salary</w:t>
      </w:r>
      <w:r>
        <w:rPr>
          <w:rFonts w:ascii="Times New Roman" w:cs="Times New Roman" w:eastAsia="Times New Roman" w:hAnsi="Times New Roman"/>
          <w:sz w:val="18"/>
          <w:szCs w:val="18"/>
          <w:color w:val="auto"/>
        </w:rPr>
        <w:t>. The Company shall pay CFO a base salary at the annualized rate of $365,000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less payroll deductions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required withholdings, payable in regular periodic installments in accordance with the Company’s normal payroll practices. The Base Salary shall be prorated for any partial year of employment on the basis of a 365-day fiscal year.</w:t>
      </w:r>
    </w:p>
    <w:p>
      <w:pPr>
        <w:spacing w:after="0" w:line="63" w:lineRule="exact"/>
        <w:rPr>
          <w:sz w:val="20"/>
          <w:szCs w:val="20"/>
          <w:color w:val="auto"/>
        </w:rPr>
      </w:pPr>
    </w:p>
    <w:p>
      <w:pPr>
        <w:ind w:firstLine="913"/>
        <w:spacing w:after="0" w:line="259" w:lineRule="auto"/>
        <w:rPr>
          <w:sz w:val="20"/>
          <w:szCs w:val="20"/>
          <w:color w:val="auto"/>
        </w:rPr>
      </w:pPr>
      <w:r>
        <w:rPr>
          <w:rFonts w:ascii="Times New Roman" w:cs="Times New Roman" w:eastAsia="Times New Roman" w:hAnsi="Times New Roman"/>
          <w:sz w:val="18"/>
          <w:szCs w:val="18"/>
          <w:b w:val="1"/>
          <w:bCs w:val="1"/>
          <w:color w:val="auto"/>
        </w:rPr>
        <w:t>3.2 Discretionary Bonus</w:t>
      </w:r>
      <w:r>
        <w:rPr>
          <w:rFonts w:ascii="Times New Roman" w:cs="Times New Roman" w:eastAsia="Times New Roman" w:hAnsi="Times New Roman"/>
          <w:sz w:val="18"/>
          <w:szCs w:val="18"/>
          <w:color w:val="auto"/>
        </w:rPr>
        <w:t>. At the sole discretion of the Board and Chief Executive Officer, promptly following each calendar year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CFO shall be eligible to receive a discretionary cash bonus of up to 30% of CFO’s then-current base salary (the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based on CFO’s achievement relative to certain performance goals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to be established by the Chief Executive Officer in writing in a manner reasonably consistent with the Company’s priorities. The determination of whether CFO has met the Performance Goals for any given year, and if so, the amount of any Bonus that will be paid for such year (if any), shall be determined by the Board and Chief Executive Officer in their sole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68" w:name="page69"/>
    <w:bookmarkEnd w:id="68"/>
    <w:p>
      <w:pPr>
        <w:ind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absolute discretion. In order to be eligible to earn or receive any Bonus, CFO must remain employed by the Company through and including the date of payment of such Bonus. For the first calendar year of CFO’s employment with Company, the Bonus payable shall be pro-rated in accordance with the percentage of the calendar year that the CFO is an employee of the Company.</w:t>
      </w:r>
    </w:p>
    <w:p>
      <w:pPr>
        <w:spacing w:after="0" w:line="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3.3 Sign-On Bonus</w:t>
      </w:r>
      <w:r>
        <w:rPr>
          <w:rFonts w:ascii="Times New Roman" w:cs="Times New Roman" w:eastAsia="Times New Roman" w:hAnsi="Times New Roman"/>
          <w:sz w:val="18"/>
          <w:szCs w:val="18"/>
          <w:color w:val="auto"/>
        </w:rPr>
        <w:t>. Conditional upon the CFO initiating employment with the Company as of the Effective Date, Company agrees to pay CFO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aggregate sign-on bonus of $100,000, of which one-half ($50,000) is payable to CFO within thirty (30) days of the Effective Date, and the second 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 will be payable thirty (30) days subsequent to the earlier of (i) closing of an initial public offering of the Company’s stock and (ii) the six (6)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Effective Date.</w:t>
      </w:r>
    </w:p>
    <w:p>
      <w:pPr>
        <w:spacing w:after="0" w:line="95" w:lineRule="exact"/>
        <w:rPr>
          <w:sz w:val="20"/>
          <w:szCs w:val="20"/>
          <w:color w:val="auto"/>
        </w:rPr>
      </w:pPr>
    </w:p>
    <w:p>
      <w:pPr>
        <w:ind w:firstLine="913"/>
        <w:spacing w:after="0" w:line="257" w:lineRule="auto"/>
        <w:rPr>
          <w:sz w:val="20"/>
          <w:szCs w:val="20"/>
          <w:color w:val="auto"/>
        </w:rPr>
      </w:pPr>
      <w:r>
        <w:rPr>
          <w:rFonts w:ascii="Times New Roman" w:cs="Times New Roman" w:eastAsia="Times New Roman" w:hAnsi="Times New Roman"/>
          <w:sz w:val="18"/>
          <w:szCs w:val="18"/>
          <w:b w:val="1"/>
          <w:bCs w:val="1"/>
          <w:color w:val="auto"/>
        </w:rPr>
        <w:t>3.4 Relocation</w:t>
      </w:r>
      <w:r>
        <w:rPr>
          <w:rFonts w:ascii="Times New Roman" w:cs="Times New Roman" w:eastAsia="Times New Roman" w:hAnsi="Times New Roman"/>
          <w:sz w:val="18"/>
          <w:szCs w:val="18"/>
          <w:color w:val="auto"/>
        </w:rPr>
        <w:t>. CFO in good faith intends to relocate his household to the San Diego area as soon as practical, but no later than four (4)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Effective Date. Until such time as CFO relocates, CFO agrees to spend at least 4 days per week at the Company’s offices in San Diego, unless as otherwise approved on a week-to-week basis by the Chief Executive Officer. The Company will cover the actual and reasonable costs, including out-of-pocket relocation, commuting and related tax expense, associated with CFO’s relocation to the San Diego area, up to a maximum of $40,000, exclusive of any tax gross-up payment. CFO must remain employed by the Company through and including the date of payment of any such amounts payable under this Section 3.4, and all such payments will be subject to any necessary payroll deductions and all required withholdings.</w:t>
      </w:r>
    </w:p>
    <w:p>
      <w:pPr>
        <w:spacing w:after="0" w:line="75"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b w:val="1"/>
          <w:bCs w:val="1"/>
          <w:color w:val="auto"/>
        </w:rPr>
        <w:t>3.5 Stock Option</w:t>
      </w:r>
      <w:r>
        <w:rPr>
          <w:rFonts w:ascii="Times New Roman" w:cs="Times New Roman" w:eastAsia="Times New Roman" w:hAnsi="Times New Roman"/>
          <w:sz w:val="18"/>
          <w:szCs w:val="18"/>
          <w:color w:val="auto"/>
        </w:rPr>
        <w:t>. As soon as practicable following the Effective Date, CFO will be granted an option to purchase up to 1,191,695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(the “</w:t>
      </w:r>
      <w:r>
        <w:rPr>
          <w:rFonts w:ascii="Times New Roman" w:cs="Times New Roman" w:eastAsia="Times New Roman" w:hAnsi="Times New Roman"/>
          <w:sz w:val="18"/>
          <w:szCs w:val="18"/>
          <w:b w:val="1"/>
          <w:bCs w:val="1"/>
          <w:i w:val="1"/>
          <w:iCs w:val="1"/>
          <w:color w:val="auto"/>
        </w:rPr>
        <w:t>Base Option</w:t>
      </w:r>
      <w:r>
        <w:rPr>
          <w:rFonts w:ascii="Times New Roman" w:cs="Times New Roman" w:eastAsia="Times New Roman" w:hAnsi="Times New Roman"/>
          <w:sz w:val="18"/>
          <w:szCs w:val="18"/>
          <w:color w:val="auto"/>
        </w:rPr>
        <w:t>”) pursuant to the terms of the Company’s 2006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Base Option shall be subject to vesting such that, subject to CFO’s continued employment with the Company, 1/4 of the shares subject to the Base Option shall vest as of the first anniversary of the Effective Date and l/48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shares subject to the Base Option shall vest in equal monthly installments on the monthly anniversary of the Effective Date of each month for the 36 months thereafter. The exercise price per share of the Base Option will be equal to the fair market value of a single share of Common Stock on the date the Base Option is granted, as determined in good faith by the Board. The Base Option will be governed by the Plan and shall be granted pursuant to a separate stock option grant notice and stock option agreement.</w:t>
      </w:r>
    </w:p>
    <w:p>
      <w:pPr>
        <w:spacing w:after="0" w:line="75" w:lineRule="exact"/>
        <w:rPr>
          <w:sz w:val="20"/>
          <w:szCs w:val="20"/>
          <w:color w:val="auto"/>
        </w:rPr>
      </w:pPr>
    </w:p>
    <w:p>
      <w:pPr>
        <w:ind w:right="80" w:firstLine="913"/>
        <w:spacing w:after="0" w:line="268" w:lineRule="auto"/>
        <w:rPr>
          <w:sz w:val="20"/>
          <w:szCs w:val="20"/>
          <w:color w:val="auto"/>
        </w:rPr>
      </w:pPr>
      <w:r>
        <w:rPr>
          <w:rFonts w:ascii="Times New Roman" w:cs="Times New Roman" w:eastAsia="Times New Roman" w:hAnsi="Times New Roman"/>
          <w:sz w:val="18"/>
          <w:szCs w:val="18"/>
          <w:b w:val="1"/>
          <w:bCs w:val="1"/>
          <w:color w:val="auto"/>
        </w:rPr>
        <w:t>3.6 Expense Reimbursements</w:t>
      </w:r>
      <w:r>
        <w:rPr>
          <w:rFonts w:ascii="Times New Roman" w:cs="Times New Roman" w:eastAsia="Times New Roman" w:hAnsi="Times New Roman"/>
          <w:sz w:val="18"/>
          <w:szCs w:val="18"/>
          <w:color w:val="auto"/>
        </w:rPr>
        <w:t>. The Company will reimburse CFO for all reasonable business expenses CFO incurs in conducting his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pursuant to the Company’s usual expense reimbursement policies; provided that CFO supplies the appropriate substantiation for such expenses no later than the end of the calendar month following the month in which such expenses were incurred by CFO.</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3.7 Changes to Compensation</w:t>
      </w:r>
      <w:r>
        <w:rPr>
          <w:rFonts w:ascii="Times New Roman" w:cs="Times New Roman" w:eastAsia="Times New Roman" w:hAnsi="Times New Roman"/>
          <w:sz w:val="18"/>
          <w:szCs w:val="18"/>
          <w:color w:val="auto"/>
        </w:rPr>
        <w:t>. CFO’s compensation will be reviewed annually and may be changed from time to time in the Company’s sole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69" w:name="page70"/>
    <w:bookmarkEnd w:id="69"/>
    <w:p>
      <w:pPr>
        <w:ind w:right="36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 Employment Taxes</w:t>
      </w:r>
      <w:r>
        <w:rPr>
          <w:rFonts w:ascii="Times New Roman" w:cs="Times New Roman" w:eastAsia="Times New Roman" w:hAnsi="Times New Roman"/>
          <w:sz w:val="18"/>
          <w:szCs w:val="18"/>
          <w:color w:val="auto"/>
        </w:rPr>
        <w:t>. All of CFO’s compensation shall be subject to customary withholding taxes and any other employment taxes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commonly required to be collected or withheld by the Company.</w:t>
      </w:r>
    </w:p>
    <w:p>
      <w:pPr>
        <w:spacing w:after="0" w:line="47" w:lineRule="exact"/>
        <w:rPr>
          <w:sz w:val="20"/>
          <w:szCs w:val="20"/>
          <w:color w:val="auto"/>
        </w:rPr>
      </w:pPr>
    </w:p>
    <w:p>
      <w:pPr>
        <w:ind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3.9 Benefits</w:t>
      </w:r>
      <w:r>
        <w:rPr>
          <w:rFonts w:ascii="Times New Roman" w:cs="Times New Roman" w:eastAsia="Times New Roman" w:hAnsi="Times New Roman"/>
          <w:sz w:val="18"/>
          <w:szCs w:val="18"/>
          <w:color w:val="auto"/>
        </w:rPr>
        <w:t>. CFO shall, in accordance with Company policy and the terms of the applicable plan documents, be eligible to participate in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benefit plan or arrangement that may be in effect from time to time and made available to the Company’s senior management employees.</w:t>
      </w:r>
    </w:p>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b w:val="1"/>
          <w:bCs w:val="1"/>
          <w:color w:val="auto"/>
        </w:rPr>
        <w:t>3.10 Holidays and Vacation</w:t>
      </w:r>
      <w:r>
        <w:rPr>
          <w:rFonts w:ascii="Times New Roman" w:cs="Times New Roman" w:eastAsia="Times New Roman" w:hAnsi="Times New Roman"/>
          <w:sz w:val="17"/>
          <w:szCs w:val="17"/>
          <w:color w:val="auto"/>
        </w:rPr>
        <w:t>. CFO shall be eligible for paid holiday and vacation time in accordance with Company policy as in effect from time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3" w:lineRule="exact"/>
        <w:rPr>
          <w:sz w:val="20"/>
          <w:szCs w:val="20"/>
          <w:color w:val="auto"/>
        </w:rPr>
      </w:pPr>
    </w:p>
    <w:p>
      <w:pPr>
        <w:ind w:left="640" w:hanging="176"/>
        <w:spacing w:after="0"/>
        <w:tabs>
          <w:tab w:leader="none" w:pos="6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ERMINATION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6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4.1 Termination by the Company</w:t>
      </w:r>
      <w:r>
        <w:rPr>
          <w:rFonts w:ascii="Times New Roman" w:cs="Times New Roman" w:eastAsia="Times New Roman" w:hAnsi="Times New Roman"/>
          <w:sz w:val="18"/>
          <w:szCs w:val="18"/>
          <w:color w:val="auto"/>
        </w:rPr>
        <w:t>. CFO’s employment with the Company is at will and may be terminated by the Company at any time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or for no reason, including, but not limited to, under the following conditions:</w:t>
      </w:r>
    </w:p>
    <w:p>
      <w:pPr>
        <w:spacing w:after="0" w:line="47" w:lineRule="exact"/>
        <w:rPr>
          <w:sz w:val="20"/>
          <w:szCs w:val="20"/>
          <w:color w:val="auto"/>
        </w:rPr>
      </w:pPr>
    </w:p>
    <w:p>
      <w:pPr>
        <w:ind w:right="40" w:firstLine="1484"/>
        <w:spacing w:after="0" w:line="268" w:lineRule="auto"/>
        <w:rPr>
          <w:sz w:val="20"/>
          <w:szCs w:val="20"/>
          <w:color w:val="auto"/>
        </w:rPr>
      </w:pPr>
      <w:r>
        <w:rPr>
          <w:rFonts w:ascii="Times New Roman" w:cs="Times New Roman" w:eastAsia="Times New Roman" w:hAnsi="Times New Roman"/>
          <w:sz w:val="18"/>
          <w:szCs w:val="18"/>
          <w:b w:val="1"/>
          <w:bCs w:val="1"/>
          <w:color w:val="auto"/>
        </w:rPr>
        <w:t>4.1.1 Termination by the Company for Cause</w:t>
      </w:r>
      <w:r>
        <w:rPr>
          <w:rFonts w:ascii="Times New Roman" w:cs="Times New Roman" w:eastAsia="Times New Roman" w:hAnsi="Times New Roman"/>
          <w:sz w:val="18"/>
          <w:szCs w:val="18"/>
          <w:color w:val="auto"/>
        </w:rPr>
        <w:t>. The Company may terminate CFO’s employment under this Agreement for “Cause”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by delivery of written notice to CFO. Any notice of termination given pursuant to this section shall effect termination as of the date of the notice, or as of such other date specified in the notice.</w:t>
      </w:r>
    </w:p>
    <w:p>
      <w:pPr>
        <w:spacing w:after="0" w:line="63" w:lineRule="exact"/>
        <w:rPr>
          <w:sz w:val="20"/>
          <w:szCs w:val="20"/>
          <w:color w:val="auto"/>
        </w:rPr>
      </w:pPr>
    </w:p>
    <w:p>
      <w:pPr>
        <w:jc w:val="both"/>
        <w:ind w:right="220" w:firstLine="1484"/>
        <w:spacing w:after="0" w:line="268" w:lineRule="auto"/>
        <w:rPr>
          <w:sz w:val="20"/>
          <w:szCs w:val="20"/>
          <w:color w:val="auto"/>
        </w:rPr>
      </w:pPr>
      <w:r>
        <w:rPr>
          <w:rFonts w:ascii="Times New Roman" w:cs="Times New Roman" w:eastAsia="Times New Roman" w:hAnsi="Times New Roman"/>
          <w:sz w:val="18"/>
          <w:szCs w:val="18"/>
          <w:b w:val="1"/>
          <w:bCs w:val="1"/>
          <w:color w:val="auto"/>
        </w:rPr>
        <w:t>4.1.2 Termination by the Company without Cause</w:t>
      </w:r>
      <w:r>
        <w:rPr>
          <w:rFonts w:ascii="Times New Roman" w:cs="Times New Roman" w:eastAsia="Times New Roman" w:hAnsi="Times New Roman"/>
          <w:sz w:val="18"/>
          <w:szCs w:val="18"/>
          <w:color w:val="auto"/>
        </w:rPr>
        <w:t>. The Company may terminate CFO’s employment under this Agreement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at any time and for any reason, or for no reason. Such termination shall be effective on the date CFO is so informed, or as otherwise specified by the Company.</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4.2 Termination by CFO</w:t>
      </w:r>
      <w:r>
        <w:rPr>
          <w:rFonts w:ascii="Times New Roman" w:cs="Times New Roman" w:eastAsia="Times New Roman" w:hAnsi="Times New Roman"/>
          <w:sz w:val="18"/>
          <w:szCs w:val="18"/>
          <w:color w:val="auto"/>
        </w:rPr>
        <w:t>. CFO may terminate his employment with the Company at any time and for any reason, or for no reason, upon thirty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days written notice to the Company.</w:t>
      </w:r>
    </w:p>
    <w:p>
      <w:pPr>
        <w:spacing w:after="0" w:line="95" w:lineRule="exact"/>
        <w:rPr>
          <w:sz w:val="20"/>
          <w:szCs w:val="20"/>
          <w:color w:val="auto"/>
        </w:rPr>
      </w:pPr>
    </w:p>
    <w:p>
      <w:pPr>
        <w:ind w:right="6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4.3 Termination for Death or Disability</w:t>
      </w:r>
      <w:r>
        <w:rPr>
          <w:rFonts w:ascii="Times New Roman" w:cs="Times New Roman" w:eastAsia="Times New Roman" w:hAnsi="Times New Roman"/>
          <w:sz w:val="18"/>
          <w:szCs w:val="18"/>
          <w:color w:val="auto"/>
        </w:rPr>
        <w:t>. CFO’s employment with the Company shall automatically terminate effective upon the date of CFO’s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death or Disability (as defined in the Plan).</w:t>
      </w:r>
    </w:p>
    <w:p>
      <w:pPr>
        <w:spacing w:after="0" w:line="47" w:lineRule="exact"/>
        <w:rPr>
          <w:sz w:val="20"/>
          <w:szCs w:val="20"/>
          <w:color w:val="auto"/>
        </w:rPr>
      </w:pPr>
    </w:p>
    <w:p>
      <w:pPr>
        <w:ind w:right="28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4.4 Termination by Mutual Agreement of the Parties</w:t>
      </w:r>
      <w:r>
        <w:rPr>
          <w:rFonts w:ascii="Times New Roman" w:cs="Times New Roman" w:eastAsia="Times New Roman" w:hAnsi="Times New Roman"/>
          <w:sz w:val="18"/>
          <w:szCs w:val="18"/>
          <w:color w:val="auto"/>
        </w:rPr>
        <w:t>. CFO’s employment with the Company may be terminated at any time upon a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writing of the Parties. Any such termination of employment shall have the consequences specified in such agreement.</w:t>
      </w:r>
    </w:p>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4.5 Compensation upon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1484"/>
        <w:spacing w:after="0" w:line="268" w:lineRule="auto"/>
        <w:rPr>
          <w:sz w:val="20"/>
          <w:szCs w:val="20"/>
          <w:color w:val="auto"/>
        </w:rPr>
      </w:pPr>
      <w:r>
        <w:rPr>
          <w:rFonts w:ascii="Times New Roman" w:cs="Times New Roman" w:eastAsia="Times New Roman" w:hAnsi="Times New Roman"/>
          <w:sz w:val="18"/>
          <w:szCs w:val="18"/>
          <w:b w:val="1"/>
          <w:bCs w:val="1"/>
          <w:color w:val="auto"/>
        </w:rPr>
        <w:t>4.5.1 Death or Disability</w:t>
      </w:r>
      <w:r>
        <w:rPr>
          <w:rFonts w:ascii="Times New Roman" w:cs="Times New Roman" w:eastAsia="Times New Roman" w:hAnsi="Times New Roman"/>
          <w:sz w:val="18"/>
          <w:szCs w:val="18"/>
          <w:color w:val="auto"/>
        </w:rPr>
        <w:t>. If CFO’s employment is terminated by death or Disability, the Company shall pay to CFO, or to CFO’s heirs,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CFO’s accrued and unpaid base salary and accrued and unused vacation benefits earned through the date of termination at the rate in effect at the time of termination, less standard deductions and withholdings. The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66" w:right="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thereafter have no further obligations to CFO and/or CFO’s heirs under this Agreement, except as otherwise provided by law.</w:t>
      </w:r>
    </w:p>
    <w:p>
      <w:pPr>
        <w:spacing w:after="0" w:line="113" w:lineRule="exact"/>
        <w:rPr>
          <w:sz w:val="20"/>
          <w:szCs w:val="20"/>
          <w:color w:val="auto"/>
        </w:rPr>
      </w:pPr>
    </w:p>
    <w:p>
      <w:pPr>
        <w:ind w:right="80" w:firstLine="1484"/>
        <w:spacing w:after="0" w:line="262" w:lineRule="auto"/>
        <w:rPr>
          <w:sz w:val="20"/>
          <w:szCs w:val="20"/>
          <w:color w:val="auto"/>
        </w:rPr>
      </w:pPr>
      <w:r>
        <w:rPr>
          <w:rFonts w:ascii="Times New Roman" w:cs="Times New Roman" w:eastAsia="Times New Roman" w:hAnsi="Times New Roman"/>
          <w:sz w:val="18"/>
          <w:szCs w:val="18"/>
          <w:b w:val="1"/>
          <w:bCs w:val="1"/>
          <w:color w:val="auto"/>
        </w:rPr>
        <w:t>4.5.2 Termination For Cause</w:t>
      </w:r>
      <w:r>
        <w:rPr>
          <w:rFonts w:ascii="Times New Roman" w:cs="Times New Roman" w:eastAsia="Times New Roman" w:hAnsi="Times New Roman"/>
          <w:sz w:val="18"/>
          <w:szCs w:val="18"/>
          <w:color w:val="auto"/>
        </w:rPr>
        <w:t>. If the Company terminates CFO’s employment for Cause, then the Company shall pay CFO’s accrued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unpaid base salary and accrued and unused vacation benefits earned through the date of termination, at the rate in effect at the time of termination, less standard deductions and withholdings. The Company shall thereafter have no further obligations to CFO under this Agreement, except as otherwise provided by law.</w:t>
      </w:r>
    </w:p>
    <w:p>
      <w:pPr>
        <w:spacing w:after="0" w:line="69" w:lineRule="exact"/>
        <w:rPr>
          <w:sz w:val="20"/>
          <w:szCs w:val="20"/>
          <w:color w:val="auto"/>
        </w:rPr>
      </w:pPr>
    </w:p>
    <w:p>
      <w:pPr>
        <w:ind w:firstLine="1484"/>
        <w:spacing w:after="0" w:line="254" w:lineRule="auto"/>
        <w:rPr>
          <w:sz w:val="20"/>
          <w:szCs w:val="20"/>
          <w:color w:val="auto"/>
        </w:rPr>
      </w:pPr>
      <w:r>
        <w:rPr>
          <w:rFonts w:ascii="Times New Roman" w:cs="Times New Roman" w:eastAsia="Times New Roman" w:hAnsi="Times New Roman"/>
          <w:sz w:val="18"/>
          <w:szCs w:val="18"/>
          <w:b w:val="1"/>
          <w:bCs w:val="1"/>
          <w:color w:val="auto"/>
        </w:rPr>
        <w:t>4.5.3 Termination by Company Without Cause or by CFO for Good Reason Not In Connection with a Change in Control</w:t>
      </w:r>
      <w:r>
        <w:rPr>
          <w:rFonts w:ascii="Times New Roman" w:cs="Times New Roman" w:eastAsia="Times New Roman" w:hAnsi="Times New Roman"/>
          <w:sz w:val="18"/>
          <w:szCs w:val="18"/>
          <w:color w:val="auto"/>
        </w:rPr>
        <w: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terminates CFO’s employment without Cause or if CFO resigns his employment for Good Reason, in either case at any time other than upon the occurrence of, or within the 13 months immediately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(as defined in the Plan), the Company shall pay CFO’s accrued and unpaid base salary and accrued and unused vacation benefits earned through the date of termination, at the rate in effect at the time of termination, less standard deductions and withholdings. In addition to the above, if CFO furnishes to the Company an executed waiver and release of claims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(or in such other form as may be specified by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within the time period specified therein, but in no event later than 45 days following CFO’s termination, and if CFO allows such Release to become effective in accordance with its terms, then</w:t>
      </w:r>
    </w:p>
    <w:p>
      <w:pPr>
        <w:spacing w:after="0" w:line="1" w:lineRule="exact"/>
        <w:rPr>
          <w:sz w:val="20"/>
          <w:szCs w:val="20"/>
          <w:color w:val="auto"/>
        </w:rPr>
      </w:pPr>
    </w:p>
    <w:p>
      <w:pPr>
        <w:ind w:right="20" w:firstLine="8"/>
        <w:spacing w:after="0" w:line="251" w:lineRule="auto"/>
        <w:tabs>
          <w:tab w:leader="none" w:pos="2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CFO shall be entitled to severance in the form of continuation of his base salary, at the base salary rate equal to the greater of the rate in effect at the time of termination or immediately prior to the event giving rise to the Good Reason (the “</w:t>
      </w:r>
      <w:r>
        <w:rPr>
          <w:rFonts w:ascii="Times New Roman" w:cs="Times New Roman" w:eastAsia="Times New Roman" w:hAnsi="Times New Roman"/>
          <w:sz w:val="18"/>
          <w:szCs w:val="18"/>
          <w:b w:val="1"/>
          <w:bCs w:val="1"/>
          <w:i w:val="1"/>
          <w:iCs w:val="1"/>
          <w:color w:val="auto"/>
        </w:rPr>
        <w:t>Severance Payments</w:t>
      </w:r>
      <w:r>
        <w:rPr>
          <w:rFonts w:ascii="Times New Roman" w:cs="Times New Roman" w:eastAsia="Times New Roman" w:hAnsi="Times New Roman"/>
          <w:sz w:val="18"/>
          <w:szCs w:val="18"/>
          <w:color w:val="auto"/>
        </w:rPr>
        <w:t>”), for a period of nine (9) months following the termination date (the “</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 and (ii) the Company will pay directly to the insurance provider the premium for COBRA continuation coverage for CFO and CFO’s family during the Severance Period or until he obtains new employment, whichever comes first (the “</w:t>
      </w:r>
      <w:r>
        <w:rPr>
          <w:rFonts w:ascii="Times New Roman" w:cs="Times New Roman" w:eastAsia="Times New Roman" w:hAnsi="Times New Roman"/>
          <w:sz w:val="18"/>
          <w:szCs w:val="18"/>
          <w:b w:val="1"/>
          <w:bCs w:val="1"/>
          <w:i w:val="1"/>
          <w:iCs w:val="1"/>
          <w:color w:val="auto"/>
        </w:rPr>
        <w:t>COBRA Coverage</w:t>
      </w:r>
      <w:r>
        <w:rPr>
          <w:rFonts w:ascii="Times New Roman" w:cs="Times New Roman" w:eastAsia="Times New Roman" w:hAnsi="Times New Roman"/>
          <w:sz w:val="18"/>
          <w:szCs w:val="18"/>
          <w:color w:val="auto"/>
        </w:rPr>
        <w:t>”); provided, however, that notwithstanding anything herein, if the Company determines in its sole discretion that it cannot provide the foregoing COBRA Coverage benefit without potentially violating, or being subject to an excise tax under, applicable law (including, without limitation, Section 2716 of the Public Health Service Act), the Company will in lieu thereof provide to CFO a taxable monthly payment, payable on the last day of a given month, in an amount equal to the monthly COBRA Coverage that CFO would be required to pay to continue CFO’s group health coverage in effect on the termination of employment date (which amount will be based on the premium for the first month of COBRA coverage).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The Company shall thereafter have no further obligations to CFO under this Agreement, except as otherwise provided by law.</w:t>
      </w:r>
    </w:p>
    <w:p>
      <w:pPr>
        <w:spacing w:after="0" w:line="81" w:lineRule="exact"/>
        <w:rPr>
          <w:sz w:val="20"/>
          <w:szCs w:val="20"/>
          <w:color w:val="auto"/>
        </w:rPr>
      </w:pPr>
    </w:p>
    <w:p>
      <w:pPr>
        <w:ind w:right="100" w:firstLine="1484"/>
        <w:spacing w:after="0" w:line="291" w:lineRule="auto"/>
        <w:rPr>
          <w:sz w:val="20"/>
          <w:szCs w:val="20"/>
          <w:color w:val="auto"/>
        </w:rPr>
      </w:pPr>
      <w:r>
        <w:rPr>
          <w:rFonts w:ascii="Times New Roman" w:cs="Times New Roman" w:eastAsia="Times New Roman" w:hAnsi="Times New Roman"/>
          <w:sz w:val="17"/>
          <w:szCs w:val="17"/>
          <w:b w:val="1"/>
          <w:bCs w:val="1"/>
          <w:color w:val="auto"/>
        </w:rPr>
        <w:t>4.5.4 Termination by Company Without Cause or by CFO for Good Reason In Connection with a Change in Control</w:t>
      </w:r>
      <w:r>
        <w:rPr>
          <w:rFonts w:ascii="Times New Roman" w:cs="Times New Roman" w:eastAsia="Times New Roman" w:hAnsi="Times New Roman"/>
          <w:sz w:val="17"/>
          <w:szCs w:val="17"/>
          <w:color w:val="auto"/>
        </w:rPr>
        <w:t>. If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terminates CFO’s employment without Cause or if CFO resigns his employment for Good Reason, in either case upon the occurrence of, or within the 13 months immediately following, the effective date of a Change in Control, the Company shall pay CFO’s accrued and unpaid base salary and accrued</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71" w:name="page72"/>
    <w:bookmarkEnd w:id="7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unused vacation benefits earned through the date of termination, at the rate in effect at the time of termination, less standard deductions and withholdings. In addition, if CFO furnishes to the Company an executed Release within the time period specified therein, but in no event later than 45 days following CFO’s termination, and if CFO allows such Release to become effective in accordance with its terms, then CFO shall be entitled to: (1) the Severance Payments and COBRA coverage described in Section 4.5.3 above and (2) accelerated vesting of any unvested shares subject to the Base Option, such that CFO shall become vested in 100% of the shares subject to such Base Option on the effective date of the Release. The Company shall thereafter have no further obligations to CFO under this Agreement, except as otherwise provided by law.</w:t>
      </w:r>
    </w:p>
    <w:p>
      <w:pPr>
        <w:spacing w:after="0" w:line="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4.6 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117" w:lineRule="exact"/>
        <w:rPr>
          <w:sz w:val="20"/>
          <w:szCs w:val="20"/>
          <w:color w:val="auto"/>
        </w:rPr>
      </w:pPr>
    </w:p>
    <w:p>
      <w:pPr>
        <w:ind w:right="20" w:firstLine="1484"/>
        <w:spacing w:after="0" w:line="255" w:lineRule="auto"/>
        <w:rPr>
          <w:sz w:val="20"/>
          <w:szCs w:val="20"/>
          <w:color w:val="auto"/>
        </w:rPr>
      </w:pPr>
      <w:r>
        <w:rPr>
          <w:rFonts w:ascii="Times New Roman" w:cs="Times New Roman" w:eastAsia="Times New Roman" w:hAnsi="Times New Roman"/>
          <w:sz w:val="18"/>
          <w:szCs w:val="18"/>
          <w:b w:val="1"/>
          <w:bCs w:val="1"/>
          <w:color w:val="auto"/>
        </w:rPr>
        <w:t>4.6.1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occurrence of any one or more of the following: (i) CFO’s commission of any crime involving fraud,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dishonesty or moral turpitude; (ii) CFO’s attempted commission of or participation in a fraud or act of dishonesty against the Company that results in (or might have reasonably resulted in) material harm to the business of the Company; (iii) CFO’s intentional, material violation of any contract or agreement between CFO and the Company or any statutory duty CFO owes to the Company; or (iv) CFO’s conduct that constitutes gross insubordination, incompetence or habitual neglect of duties and that results in (or might have reasonably resulted in) material harm to the business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action or conduct described in clauses (iii) and (iv) above will constitute “Cause” only if such action or conduct continues after the Company has provided CFO with written notice thereof and thirty (30) days to cure, or otherwise remedy to the extent possible under direct control of the CFO, the same. An occurrence of “Cause” as set forth in the preceding sentence shall be based upon a good faith determination by the Board. CFO’s Disability shall not constitute Cause as set forth herein. The determination that a termination is for Cause shall be by the Board in its sole and exclusive judgment and discretion.</w:t>
      </w:r>
    </w:p>
    <w:p>
      <w:pPr>
        <w:spacing w:after="0" w:line="74" w:lineRule="exact"/>
        <w:rPr>
          <w:sz w:val="20"/>
          <w:szCs w:val="20"/>
          <w:color w:val="auto"/>
        </w:rPr>
      </w:pPr>
    </w:p>
    <w:p>
      <w:pPr>
        <w:ind w:right="20" w:firstLine="1484"/>
        <w:spacing w:after="0" w:line="254" w:lineRule="auto"/>
        <w:rPr>
          <w:sz w:val="20"/>
          <w:szCs w:val="20"/>
          <w:color w:val="auto"/>
        </w:rPr>
      </w:pPr>
      <w:r>
        <w:rPr>
          <w:rFonts w:ascii="Times New Roman" w:cs="Times New Roman" w:eastAsia="Times New Roman" w:hAnsi="Times New Roman"/>
          <w:sz w:val="18"/>
          <w:szCs w:val="18"/>
          <w:b w:val="1"/>
          <w:bCs w:val="1"/>
          <w:color w:val="auto"/>
        </w:rPr>
        <w:t>4.6.2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of the following actions: (i) the assignment to CFO of any duties or responsibilities that results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material diminution in CFO’s function (for Section 4.5.4, as in effect immediately prior to the effective date of the Change in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change in CFO’s title or reporting relationships shall not provide the basis for a voluntary termination with Good Reason; (ii) a reduction by the Company in CFO’s annual base salary as in effect immediately prior to the effective date of the Change in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Good Reason shall not be deemed to have occurred in the event of a reduction in CFO’s annual base salary that is pursuant to a salary reduction program affecting substantially all of the employees of the Company and that does not adversely affect CFO to a greater extent than other similarly situated employees; or (iii) a relocation of CFO’s primary business office to a location more than 50 miles from the location of CFO’s primary business office and which increases the CFO’s commute (for Section 4.5.4, as in effect immediately prior to the effective date of the Change in Control), except for required travel by CFO on the Company’s business to an extent substantially consistent with CFO’s business travel obligations prior to the effective date of the Change in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CFO may not resign for Good Reason without first providing the Company with written notice within ninety (90) days of the date of the initial existence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condition that CFO believes constitutes Good Reason specifically identifying the acts or omissions constituting the grounds for Good Reason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 reasonable cure period of not less than thirty (30) days and not more than ninety (90) days following the date of such notice.</w:t>
      </w:r>
    </w:p>
    <w:p>
      <w:pPr>
        <w:spacing w:after="0" w:line="1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4.7 Survival of Certain Sections</w:t>
      </w:r>
      <w:r>
        <w:rPr>
          <w:rFonts w:ascii="Times New Roman" w:cs="Times New Roman" w:eastAsia="Times New Roman" w:hAnsi="Times New Roman"/>
          <w:sz w:val="18"/>
          <w:szCs w:val="18"/>
          <w:color w:val="auto"/>
        </w:rPr>
        <w:t>. Sections 3.4, 3.6 and 4 through 18 of this Agreement will survive the termination of this Agreement.</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4.8 Parachute Payment</w:t>
      </w:r>
      <w:r>
        <w:rPr>
          <w:rFonts w:ascii="Times New Roman" w:cs="Times New Roman" w:eastAsia="Times New Roman" w:hAnsi="Times New Roman"/>
          <w:sz w:val="18"/>
          <w:szCs w:val="18"/>
          <w:color w:val="auto"/>
        </w:rPr>
        <w:t>. If any payment or benefit CFO would receive pursuant to this Agreement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would (i) constitute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Parachute Payment</w:t>
      </w:r>
      <w:r>
        <w:rPr>
          <w:rFonts w:ascii="Times New Roman" w:cs="Times New Roman" w:eastAsia="Times New Roman" w:hAnsi="Times New Roman"/>
          <w:sz w:val="18"/>
          <w:szCs w:val="18"/>
          <w:color w:val="auto"/>
        </w:rPr>
        <w:t>” within the meaning of Section 280G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(ii) but for this sentence,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such Payment shall be equal to the Reduced Amount. The “</w:t>
      </w:r>
      <w:r>
        <w:rPr>
          <w:rFonts w:ascii="Times New Roman" w:cs="Times New Roman" w:eastAsia="Times New Roman" w:hAnsi="Times New Roman"/>
          <w:sz w:val="18"/>
          <w:szCs w:val="18"/>
          <w:b w:val="1"/>
          <w:bCs w:val="1"/>
          <w:i w:val="1"/>
          <w:iCs w:val="1"/>
          <w:color w:val="auto"/>
        </w:rPr>
        <w:t>Reduced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shall be either (x) the largest portion of the Payment that would result in no portion of the Payment being subject to the Excise Tax or (y) the largest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up to and including the total of the Payment, whichever amount, after taking into account all applicable federal, state and local employment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and the Excise Tax (all computed at the highest applicable marginal rate), results in CFO’s receipt, on an after-tax basis, of the greatest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benefit notwithstanding that all or some portion of the Payment may be subject to the Excise Tax. If a reduction in payments or benefits constituting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Parachute Payments is necessary so that the Payment equals the Reduced Amount, reduction shall occur in the manner that results in the greatest economic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for CFO. If more than one method of reduction will result in the same economic benefit, the items so reduced will be reduced pro rata.</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event it is subsequently determined by the Internal Revenue Service that some portion of the Reduced Amount (as determined pursuant to clause</w:t>
      </w:r>
    </w:p>
    <w:p>
      <w:pPr>
        <w:spacing w:after="0" w:line="27" w:lineRule="exact"/>
        <w:rPr>
          <w:sz w:val="20"/>
          <w:szCs w:val="20"/>
          <w:color w:val="auto"/>
        </w:rPr>
      </w:pPr>
    </w:p>
    <w:p>
      <w:pPr>
        <w:jc w:val="both"/>
        <w:ind w:right="360" w:firstLine="8"/>
        <w:spacing w:after="0" w:line="265" w:lineRule="auto"/>
        <w:tabs>
          <w:tab w:leader="none" w:pos="25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preceding paragraph) is subject to the Excise Tax, CFO agrees to promptly return to the Company a sufficient amount of the Payment so that no portion of the Reduced Amount is subject to the Excise Tax. For the avoidance of doubt, if the Reduced Amount is determined in accordance with clause</w:t>
      </w: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preceding paragraph, CFO will have no obligation to return any portion of the Payment pursuant to the preceding sentence.</w:t>
      </w:r>
    </w:p>
    <w:p>
      <w:pPr>
        <w:spacing w:after="0" w:line="20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Unless CFO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4"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shall use commercially reasonable efforts such that the accounting, law or consulting firm engaged to make the determinations hereunder shall provide its calculations, together with detailed supporting documentation, to CFO and the Company within 15 calendar days after the date on which CFO’s right to a Payment is triggered (if requested at that time by CFO or the Company) or such other time as requested by CFO or the Company.</w:t>
      </w:r>
    </w:p>
    <w:p>
      <w:pPr>
        <w:spacing w:after="0" w:line="64" w:lineRule="exact"/>
        <w:rPr>
          <w:sz w:val="20"/>
          <w:szCs w:val="20"/>
          <w:color w:val="auto"/>
        </w:rPr>
      </w:pPr>
    </w:p>
    <w:p>
      <w:pPr>
        <w:ind w:right="60" w:firstLine="913"/>
        <w:spacing w:after="0" w:line="286" w:lineRule="auto"/>
        <w:rPr>
          <w:sz w:val="20"/>
          <w:szCs w:val="20"/>
          <w:color w:val="auto"/>
        </w:rPr>
      </w:pPr>
      <w:r>
        <w:rPr>
          <w:rFonts w:ascii="Times New Roman" w:cs="Times New Roman" w:eastAsia="Times New Roman" w:hAnsi="Times New Roman"/>
          <w:sz w:val="18"/>
          <w:szCs w:val="18"/>
          <w:b w:val="1"/>
          <w:bCs w:val="1"/>
          <w:color w:val="auto"/>
        </w:rPr>
        <w:t>4.9 Application of Internal Revenue Code Section 409A</w:t>
      </w:r>
      <w:r>
        <w:rPr>
          <w:rFonts w:ascii="Times New Roman" w:cs="Times New Roman" w:eastAsia="Times New Roman" w:hAnsi="Times New Roman"/>
          <w:sz w:val="18"/>
          <w:szCs w:val="18"/>
          <w:color w:val="auto"/>
        </w:rPr>
        <w:t>. Notwithstanding anything to the contrary set forth herein, any payments and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under this Agreement (the “</w:t>
      </w:r>
      <w:r>
        <w:rPr>
          <w:rFonts w:ascii="Times New Roman" w:cs="Times New Roman" w:eastAsia="Times New Roman" w:hAnsi="Times New Roman"/>
          <w:sz w:val="18"/>
          <w:szCs w:val="18"/>
          <w:b w:val="1"/>
          <w:bCs w:val="1"/>
          <w:i w:val="1"/>
          <w:iCs w:val="1"/>
          <w:color w:val="auto"/>
        </w:rPr>
        <w:t>Severance Benefits</w:t>
      </w:r>
      <w:r>
        <w:rPr>
          <w:rFonts w:ascii="Times New Roman" w:cs="Times New Roman" w:eastAsia="Times New Roman" w:hAnsi="Times New Roman"/>
          <w:sz w:val="18"/>
          <w:szCs w:val="18"/>
          <w:color w:val="auto"/>
        </w:rPr>
        <w:t>”) that constitute “deferred compensation” within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73" w:name="page74"/>
    <w:bookmarkEnd w:id="73"/>
    <w:p>
      <w:pPr>
        <w:ind w:right="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meaning of Section 409A of the Code and the regulations and other guidance thereunder and any state law of similar effect (collectively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shall not commence in connection with CFO’s termination of employment unless and until CFO has also incurred a “separation from service” (as such term is defined in Treasury Regulation Section 1.409A-1(h)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unless the Company reasonably determines that such amounts may be provided to CFO without causing CFO to incur the additional 20% tax under Section 409A.</w:t>
      </w:r>
    </w:p>
    <w:p>
      <w:pPr>
        <w:spacing w:after="0" w:line="181" w:lineRule="exact"/>
        <w:rPr>
          <w:sz w:val="20"/>
          <w:szCs w:val="20"/>
          <w:color w:val="auto"/>
        </w:rPr>
      </w:pPr>
    </w:p>
    <w:p>
      <w:pPr>
        <w:jc w:val="both"/>
        <w:ind w:firstLine="456"/>
        <w:spacing w:after="0" w:line="257" w:lineRule="auto"/>
        <w:rPr>
          <w:sz w:val="20"/>
          <w:szCs w:val="20"/>
          <w:color w:val="auto"/>
        </w:rPr>
      </w:pPr>
      <w:r>
        <w:rPr>
          <w:rFonts w:ascii="Times New Roman" w:cs="Times New Roman" w:eastAsia="Times New Roman" w:hAnsi="Times New Roman"/>
          <w:sz w:val="18"/>
          <w:szCs w:val="18"/>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1.409A-1(b)(5) and 1.409A-1(b)(9). However, if the Company (or, if applicable, the successor entity thereto) determines that the Severance Benefits constitute “deferred compensation” under Section 409A and CFO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CFO’s Separation From Service, or (ii) the date of CFO’s death (such applicable date, the “</w:t>
      </w:r>
      <w:r>
        <w:rPr>
          <w:rFonts w:ascii="Times New Roman" w:cs="Times New Roman" w:eastAsia="Times New Roman" w:hAnsi="Times New Roman"/>
          <w:sz w:val="18"/>
          <w:szCs w:val="18"/>
          <w:b w:val="1"/>
          <w:bCs w:val="1"/>
          <w:i w:val="1"/>
          <w:iCs w:val="1"/>
          <w:color w:val="auto"/>
        </w:rPr>
        <w:t>Specified Employee Initial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the Company (or the successor entity thereto, as applicable) shall (A) pay to CFO a lump sum amount equal to the sum of the Severance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that CFO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set forth herein, CFO shall receive the Severance Benefits described above, if and only if CFO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CFO the Severance Benefits CFO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81" w:lineRule="exact"/>
        <w:rPr>
          <w:sz w:val="20"/>
          <w:szCs w:val="20"/>
          <w:color w:val="auto"/>
        </w:rPr>
      </w:pPr>
    </w:p>
    <w:p>
      <w:pPr>
        <w:ind w:left="640" w:hanging="176"/>
        <w:spacing w:after="0"/>
        <w:tabs>
          <w:tab w:leader="none" w:pos="6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ONFIDENTIAL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ROPRIETARY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CFO has already executed, as a condition of CFO’s employment with the Company, the Company’s standard form of Proprietary Information and Inventions Agreement (the “</w:t>
      </w:r>
      <w:r>
        <w:rPr>
          <w:rFonts w:ascii="Times New Roman" w:cs="Times New Roman" w:eastAsia="Times New Roman" w:hAnsi="Times New Roman"/>
          <w:sz w:val="18"/>
          <w:szCs w:val="18"/>
          <w:b w:val="1"/>
          <w:bCs w:val="1"/>
          <w:i w:val="1"/>
          <w:iCs w:val="1"/>
          <w:color w:val="auto"/>
        </w:rPr>
        <w:t>PIIA</w:t>
      </w:r>
      <w:r>
        <w:rPr>
          <w:rFonts w:ascii="Times New Roman" w:cs="Times New Roman" w:eastAsia="Times New Roman" w:hAnsi="Times New Roman"/>
          <w:sz w:val="18"/>
          <w:szCs w:val="18"/>
          <w:color w:val="auto"/>
        </w:rPr>
        <w:t>”). The PIIA remains in full force and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66" w:right="259" w:bottom="1440" w:gutter="0" w:footer="0" w:header="0"/>
        </w:sectPr>
      </w:pPr>
    </w:p>
    <w:bookmarkStart w:id="74" w:name="page75"/>
    <w:bookmarkEnd w:id="74"/>
    <w:p>
      <w:pPr>
        <w:ind w:left="640" w:hanging="176"/>
        <w:spacing w:after="0"/>
        <w:tabs>
          <w:tab w:leader="none" w:pos="6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Times New Roman" w:cs="Times New Roman" w:eastAsia="Times New Roman" w:hAnsi="Times New Roman"/>
          <w:sz w:val="15"/>
          <w:szCs w:val="15"/>
          <w:b w:val="1"/>
          <w:bCs w:val="1"/>
          <w:color w:val="auto"/>
        </w:rPr>
        <w:t>SSIGNMENT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5"/>
          <w:szCs w:val="15"/>
          <w:b w:val="1"/>
          <w:bCs w:val="1"/>
          <w:color w:val="auto"/>
        </w:rPr>
        <w:t>INDING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5"/>
          <w:szCs w:val="15"/>
          <w:b w:val="1"/>
          <w:bCs w:val="1"/>
          <w:color w:val="auto"/>
        </w:rPr>
        <w:t>FFECT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CFO and CFO’s heirs, executors, personal representatives, assigns, administrators and legal representatives. Because of the unique and personal nature of CFO’s duties under this Agreement, neither this Agreement nor any rights or obligations under this Agreement shall be assignable by CFO.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84" w:lineRule="exact"/>
        <w:rPr>
          <w:sz w:val="20"/>
          <w:szCs w:val="20"/>
          <w:color w:val="auto"/>
        </w:rPr>
      </w:pPr>
    </w:p>
    <w:p>
      <w:pPr>
        <w:ind w:left="640" w:hanging="176"/>
        <w:spacing w:after="0"/>
        <w:tabs>
          <w:tab w:leader="none" w:pos="6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5"/>
          <w:szCs w:val="15"/>
          <w:b w:val="1"/>
          <w:bCs w:val="1"/>
          <w:color w:val="auto"/>
        </w:rPr>
        <w:t>OTICES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All notices or demands of any kind required or permitted to be given by the Company or CFO under this Agreement shall be given in writing and shall be personally delivered (and receipted for) or faxed during normal business hours or mailed by certified mail, return receipt requested, postage prepaid, addressed as follows:</w:t>
      </w:r>
    </w:p>
    <w:p>
      <w:pPr>
        <w:spacing w:after="0" w:line="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If to the 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10421 Pacific Center Court, Suite 200</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If to CFO</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128905</wp:posOffset>
            </wp:positionV>
            <wp:extent cx="15144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266065</wp:posOffset>
            </wp:positionV>
            <wp:extent cx="15144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72" w:lineRule="exact"/>
        <w:rPr>
          <w:sz w:val="20"/>
          <w:szCs w:val="20"/>
          <w:color w:val="auto"/>
        </w:rPr>
      </w:pPr>
    </w:p>
    <w:p>
      <w:pPr>
        <w:ind w:left="640" w:hanging="176"/>
        <w:spacing w:after="0"/>
        <w:tabs>
          <w:tab w:leader="none" w:pos="6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5"/>
          <w:szCs w:val="15"/>
          <w:b w:val="1"/>
          <w:bCs w:val="1"/>
          <w:color w:val="auto"/>
        </w:rPr>
        <w:t>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This Agreement shall be construed and interpreted in accordance with the internal laws of the State of California without regard to its conflict of laws principles.</w:t>
      </w:r>
    </w:p>
    <w:p>
      <w:pPr>
        <w:spacing w:after="0" w:line="158" w:lineRule="exact"/>
        <w:rPr>
          <w:sz w:val="20"/>
          <w:szCs w:val="20"/>
          <w:color w:val="auto"/>
        </w:rPr>
      </w:pPr>
    </w:p>
    <w:p>
      <w:pPr>
        <w:ind w:left="640" w:hanging="176"/>
        <w:spacing w:after="0"/>
        <w:tabs>
          <w:tab w:leader="none" w:pos="6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NTEGRATION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100" w:firstLine="913"/>
        <w:spacing w:after="0" w:line="268" w:lineRule="auto"/>
        <w:rPr>
          <w:sz w:val="20"/>
          <w:szCs w:val="20"/>
          <w:color w:val="auto"/>
        </w:rPr>
      </w:pPr>
      <w:r>
        <w:rPr>
          <w:rFonts w:ascii="Times New Roman" w:cs="Times New Roman" w:eastAsia="Times New Roman" w:hAnsi="Times New Roman"/>
          <w:sz w:val="18"/>
          <w:szCs w:val="18"/>
          <w:color w:val="auto"/>
        </w:rPr>
        <w:t xml:space="preserve">This Agreement, including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the PIIA, contains the complete, final and exclusive agreement of the Parties relating to the terms and conditions of CFO’s employment and the termination of CFO’s employment, and supersedes any and all prior and/or contemporaneous oral and written employment agreements or arrangements between the Parties.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6" w:right="259" w:bottom="1440" w:gutter="0" w:footer="0" w:header="0"/>
        </w:sectPr>
      </w:pPr>
    </w:p>
    <w:bookmarkStart w:id="75" w:name="page76"/>
    <w:bookmarkEnd w:id="75"/>
    <w:p>
      <w:pPr>
        <w:ind w:left="740" w:hanging="276"/>
        <w:spacing w:after="0"/>
        <w:tabs>
          <w:tab w:leader="none" w:pos="7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Times New Roman" w:cs="Times New Roman" w:eastAsia="Times New Roman" w:hAnsi="Times New Roman"/>
          <w:sz w:val="15"/>
          <w:szCs w:val="15"/>
          <w:b w:val="1"/>
          <w:bCs w:val="1"/>
          <w:color w:val="auto"/>
        </w:rPr>
        <w:t>MENDMENT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Agreement cannot be amended or modified except by a written agreement signed by CFO and the Company.</w:t>
      </w:r>
    </w:p>
    <w:p>
      <w:pPr>
        <w:spacing w:after="0" w:line="221" w:lineRule="exact"/>
        <w:rPr>
          <w:sz w:val="20"/>
          <w:szCs w:val="20"/>
          <w:color w:val="auto"/>
        </w:rPr>
      </w:pPr>
    </w:p>
    <w:p>
      <w:pPr>
        <w:ind w:left="720" w:hanging="256"/>
        <w:spacing w:after="0"/>
        <w:tabs>
          <w:tab w:leader="none" w:pos="7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5"/>
          <w:szCs w:val="15"/>
          <w:b w:val="1"/>
          <w:bCs w:val="1"/>
          <w:color w:val="auto"/>
        </w:rPr>
        <w:t>AIVER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72" w:lineRule="exact"/>
        <w:rPr>
          <w:sz w:val="20"/>
          <w:szCs w:val="20"/>
          <w:color w:val="auto"/>
        </w:rPr>
      </w:pPr>
    </w:p>
    <w:p>
      <w:pPr>
        <w:ind w:left="740" w:hanging="276"/>
        <w:spacing w:after="0"/>
        <w:tabs>
          <w:tab w:leader="none" w:pos="7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76" w:lineRule="exact"/>
        <w:rPr>
          <w:sz w:val="20"/>
          <w:szCs w:val="20"/>
          <w:color w:val="auto"/>
        </w:rPr>
      </w:pPr>
    </w:p>
    <w:p>
      <w:pPr>
        <w:ind w:left="740" w:hanging="276"/>
        <w:spacing w:after="0"/>
        <w:tabs>
          <w:tab w:leader="none" w:pos="7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5"/>
          <w:szCs w:val="15"/>
          <w:b w:val="1"/>
          <w:bCs w:val="1"/>
          <w:color w:val="auto"/>
        </w:rPr>
        <w:t>NTERPRETATION</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5"/>
          <w:szCs w:val="15"/>
          <w:b w:val="1"/>
          <w:bCs w:val="1"/>
          <w:color w:val="auto"/>
        </w:rPr>
        <w:t>ONSTRUCTION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headings set forth in this Agreement are for convenience of reference only and shall not be used in interpreting this Agreement. This Agreement has been drafted by legal counsel representing the Company, but CFO has been encouraged to consult with, and has consulted with, CFO’s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80" w:lineRule="exact"/>
        <w:rPr>
          <w:sz w:val="20"/>
          <w:szCs w:val="20"/>
          <w:color w:val="auto"/>
        </w:rPr>
      </w:pPr>
    </w:p>
    <w:p>
      <w:pPr>
        <w:ind w:left="740" w:hanging="276"/>
        <w:spacing w:after="0"/>
        <w:tabs>
          <w:tab w:leader="none" w:pos="7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5"/>
          <w:szCs w:val="15"/>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ARRANTIES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CFO represents and warrants that CFO is not restricted or prohibited, contractually or otherwise, from entering into and performing each of the terms and covenants contained in this Agreement, and that CFO’s execution and performance of this Agreement will not violate or breach any other agreements between CFO and any other person or entity.</w:t>
      </w:r>
    </w:p>
    <w:p>
      <w:pPr>
        <w:spacing w:after="0" w:line="172" w:lineRule="exact"/>
        <w:rPr>
          <w:sz w:val="20"/>
          <w:szCs w:val="20"/>
          <w:color w:val="auto"/>
        </w:rPr>
      </w:pPr>
    </w:p>
    <w:p>
      <w:pPr>
        <w:ind w:left="740" w:hanging="276"/>
        <w:spacing w:after="0"/>
        <w:tabs>
          <w:tab w:leader="none" w:pos="7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OUNTERPARTS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two counterparts, each of which shall be deemed an original, all of which together shall contribute one and the same instrument.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80"/>
          </w:cols>
          <w:pgMar w:left="240" w:top="266" w:right="379" w:bottom="1440" w:gutter="0" w:footer="0" w:header="0"/>
        </w:sectPr>
      </w:pPr>
    </w:p>
    <w:bookmarkStart w:id="76" w:name="page77"/>
    <w:bookmarkEnd w:id="76"/>
    <w:p>
      <w:pPr>
        <w:ind w:left="740" w:hanging="276"/>
        <w:spacing w:after="0"/>
        <w:tabs>
          <w:tab w:leader="none" w:pos="7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Times New Roman" w:cs="Times New Roman" w:eastAsia="Times New Roman" w:hAnsi="Times New Roman"/>
          <w:sz w:val="15"/>
          <w:szCs w:val="15"/>
          <w:b w:val="1"/>
          <w:bCs w:val="1"/>
          <w:color w:val="auto"/>
        </w:rPr>
        <w:t>RBITRATION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913"/>
        <w:spacing w:after="0" w:line="253" w:lineRule="auto"/>
        <w:rPr>
          <w:sz w:val="20"/>
          <w:szCs w:val="20"/>
          <w:color w:val="auto"/>
        </w:rPr>
      </w:pPr>
      <w:r>
        <w:rPr>
          <w:rFonts w:ascii="Times New Roman" w:cs="Times New Roman" w:eastAsia="Times New Roman" w:hAnsi="Times New Roman"/>
          <w:sz w:val="18"/>
          <w:szCs w:val="18"/>
          <w:color w:val="auto"/>
        </w:rPr>
        <w:t>To ensure the rapid and economical resolution of disputes that may arise in connection with CFO’s employment with the Company, CFO and the Company agree that any and all disputes, claims, or causes of action, in law or equity, arising from or relating to CFO’s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CFO and the Company hereby waive any right to a jury trial. Both CFO and the Company shall be entitled to all rights and remedies that either CFO or the Company would be entitled to pursue in a court of law. The Company shall pay any JAMS filing fee and shall pay the arbitrator’s fee. Nothing in this Agreement is intended to prevent either CFO or the Company from obtaining injunctive relief in court to prevent irreparable harm pending the conclusion of any such arbitration. Notwithstanding the foregoing, CFO and the Company each have the right to resolve any issue or dispute involving confidential, proprietary or trade secret information, or intellectual property rights, by Court action instead of arbitration.</w:t>
      </w:r>
    </w:p>
    <w:p>
      <w:pPr>
        <w:spacing w:after="0" w:line="187" w:lineRule="exact"/>
        <w:rPr>
          <w:sz w:val="20"/>
          <w:szCs w:val="20"/>
          <w:color w:val="auto"/>
        </w:rPr>
      </w:pPr>
    </w:p>
    <w:p>
      <w:pPr>
        <w:ind w:left="740" w:hanging="276"/>
        <w:spacing w:after="0"/>
        <w:tabs>
          <w:tab w:leader="none" w:pos="7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5"/>
          <w:szCs w:val="15"/>
          <w:b w:val="1"/>
          <w:bCs w:val="1"/>
          <w:color w:val="auto"/>
        </w:rPr>
        <w:t>RADE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ECRETS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5"/>
          <w:szCs w:val="15"/>
          <w:b w:val="1"/>
          <w:bCs w:val="1"/>
          <w:color w:val="auto"/>
        </w:rPr>
        <w:t>THERS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20" w:firstLine="913"/>
        <w:spacing w:after="0" w:line="261" w:lineRule="auto"/>
        <w:rPr>
          <w:sz w:val="20"/>
          <w:szCs w:val="20"/>
          <w:color w:val="auto"/>
        </w:rPr>
      </w:pPr>
      <w:r>
        <w:rPr>
          <w:rFonts w:ascii="Times New Roman" w:cs="Times New Roman" w:eastAsia="Times New Roman" w:hAnsi="Times New Roman"/>
          <w:sz w:val="18"/>
          <w:szCs w:val="18"/>
          <w:color w:val="auto"/>
        </w:rPr>
        <w:t>It is the understanding of both the Company and CFO that CFO shall not divulge to the Company and/or its subsidiaries any confidential information or trade secrets belonging to others, including CFO’s former employers, nor shall the Company and/or its Affiliates seek to elicit from CFO any such information. Consistent with the foregoing, CFO shall not provide to the Company and/or its Affiliates, and the Company and/or its Affiliates shall not request, any documents or copies of documents containing such information.</w:t>
      </w:r>
    </w:p>
    <w:p>
      <w:pPr>
        <w:spacing w:after="0" w:line="176" w:lineRule="exact"/>
        <w:rPr>
          <w:sz w:val="20"/>
          <w:szCs w:val="20"/>
          <w:color w:val="auto"/>
        </w:rPr>
      </w:pPr>
    </w:p>
    <w:p>
      <w:pPr>
        <w:ind w:left="740" w:hanging="276"/>
        <w:spacing w:after="0"/>
        <w:tabs>
          <w:tab w:leader="none" w:pos="7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DVERTISING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AIVER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913"/>
        <w:spacing w:after="0" w:line="261" w:lineRule="auto"/>
        <w:rPr>
          <w:sz w:val="20"/>
          <w:szCs w:val="20"/>
          <w:color w:val="auto"/>
        </w:rPr>
      </w:pPr>
      <w:r>
        <w:rPr>
          <w:rFonts w:ascii="Times New Roman" w:cs="Times New Roman" w:eastAsia="Times New Roman" w:hAnsi="Times New Roman"/>
          <w:sz w:val="18"/>
          <w:szCs w:val="18"/>
          <w:color w:val="auto"/>
        </w:rPr>
        <w:t>CFO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CFO’s name and/or pictures of CFO taken in the course of CFO’s provision of services to the Company appear. CFO hereby waives and releases any claim or right CFO may otherwise have arising out of such use, publication or distribution.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5"/>
          <w:szCs w:val="15"/>
          <w:color w:val="auto"/>
        </w:rPr>
        <w:t>EMAINDER OF THIS PAGE INTENTIONALLY LEFT BLANK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66" w:right="279"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5"/>
          <w:szCs w:val="15"/>
          <w:b w:val="1"/>
          <w:bCs w:val="1"/>
          <w:color w:val="auto"/>
        </w:rPr>
        <w:t>HEREOF</w:t>
      </w:r>
      <w:r>
        <w:rPr>
          <w:rFonts w:ascii="Times New Roman" w:cs="Times New Roman" w:eastAsia="Times New Roman" w:hAnsi="Times New Roman"/>
          <w:sz w:val="18"/>
          <w:szCs w:val="18"/>
          <w:color w:val="auto"/>
        </w:rPr>
        <w:t>, the Parties have executed this Agreement as of the dates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NAPTYS</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5"/>
          <w:szCs w:val="15"/>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Hamza Suria</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Its:</w:t>
            </w: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President &amp; CFO</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January 8, 2017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CFO: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5"/>
          <w:szCs w:val="15"/>
          <w:b w:val="1"/>
          <w:bCs w:val="1"/>
          <w:color w:val="auto"/>
        </w:rPr>
        <w:t>OMINIC</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ISCITELLI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1/8/17</w:t>
      </w:r>
    </w:p>
    <w:p>
      <w:pPr>
        <w:spacing w:after="0" w:line="158"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5"/>
          <w:szCs w:val="15"/>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AGE TO</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5"/>
          <w:szCs w:val="15"/>
          <w:color w:val="auto"/>
        </w:rPr>
        <w:t>MPLOYMENT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5"/>
          <w:szCs w:val="15"/>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66" w:right="1440"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RELEASE AND WAIVER OF CLAIMS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SIGNED ON OR FOLLOWING THE SEPARATION DATE ONLY</w:t>
      </w:r>
    </w:p>
    <w:p>
      <w:pPr>
        <w:spacing w:after="0" w:line="229" w:lineRule="exact"/>
        <w:rPr>
          <w:sz w:val="20"/>
          <w:szCs w:val="20"/>
          <w:color w:val="auto"/>
        </w:rPr>
      </w:pPr>
    </w:p>
    <w:p>
      <w:pPr>
        <w:ind w:left="460"/>
        <w:spacing w:after="0"/>
        <w:tabs>
          <w:tab w:leader="none" w:pos="8840" w:val="left"/>
          <w:tab w:leader="none" w:pos="9380" w:val="left"/>
        </w:tabs>
        <w:rPr>
          <w:sz w:val="20"/>
          <w:szCs w:val="20"/>
          <w:color w:val="auto"/>
        </w:rPr>
      </w:pPr>
      <w:r>
        <w:rPr>
          <w:rFonts w:ascii="Times New Roman" w:cs="Times New Roman" w:eastAsia="Times New Roman" w:hAnsi="Times New Roman"/>
          <w:sz w:val="18"/>
          <w:szCs w:val="18"/>
          <w:color w:val="auto"/>
        </w:rPr>
        <w:t>In consideration of the payments and other benefits set forth in the Employment Agreement effective</w:t>
      </w:r>
      <w:r>
        <w:rPr>
          <w:sz w:val="20"/>
          <w:szCs w:val="20"/>
          <w:color w:val="auto"/>
        </w:rPr>
        <w:tab/>
      </w:r>
      <w:r>
        <w:rPr>
          <w:rFonts w:ascii="Times New Roman" w:cs="Times New Roman" w:eastAsia="Times New Roman" w:hAnsi="Times New Roman"/>
          <w:sz w:val="18"/>
          <w:szCs w:val="18"/>
          <w:color w:val="auto"/>
        </w:rPr>
        <w:t>, 201</w:t>
      </w:r>
      <w:r>
        <w:rPr>
          <w:sz w:val="20"/>
          <w:szCs w:val="20"/>
          <w:color w:val="auto"/>
        </w:rPr>
        <w:tab/>
      </w:r>
      <w:r>
        <w:rPr>
          <w:rFonts w:ascii="Times New Roman" w:cs="Times New Roman" w:eastAsia="Times New Roman" w:hAnsi="Times New Roman"/>
          <w:sz w:val="17"/>
          <w:szCs w:val="17"/>
          <w:color w:val="auto"/>
        </w:rPr>
        <w:t>, to which this form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attached, I, Dominic Piscitelli, hereby furnish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5"/>
          <w:szCs w:val="15"/>
          <w:b w:val="1"/>
          <w:bCs w:val="1"/>
          <w:color w:val="auto"/>
        </w:rPr>
        <w:t>NAPTYSBIO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the following release and waiver (“</w:t>
      </w:r>
      <w:r>
        <w:rPr>
          <w:rFonts w:ascii="Times New Roman" w:cs="Times New Roman" w:eastAsia="Times New Roman" w:hAnsi="Times New Roman"/>
          <w:sz w:val="18"/>
          <w:szCs w:val="18"/>
          <w:b w:val="1"/>
          <w:bCs w:val="1"/>
          <w:i w:val="1"/>
          <w:iCs w:val="1"/>
          <w:color w:val="auto"/>
        </w:rPr>
        <w:t>Release and Waiver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exchange for the consideration provided to me by the Employment Agreement that I am not otherwise entitled to receive, I hereby generally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completely release the Company and its current and former directors, officers, employees, stockholders, partners, agents, attorneys, predecessors,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and subsidiary entities, insurers, affiliates, and assigns (collectively,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from any and all claims, liabilities and obligations,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known and unknown, that arise out of or are in any way related to events, acts, conduct, or omissions occurring prior to or on the date that I sign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(collectively, the “</w:t>
      </w:r>
      <w:r>
        <w:rPr>
          <w:rFonts w:ascii="Times New Roman" w:cs="Times New Roman" w:eastAsia="Times New Roman" w:hAnsi="Times New Roman"/>
          <w:sz w:val="17"/>
          <w:szCs w:val="17"/>
          <w:b w:val="1"/>
          <w:bCs w:val="1"/>
          <w:i w:val="1"/>
          <w:iCs w:val="1"/>
          <w:color w:val="auto"/>
        </w:rPr>
        <w:t>Released Claims</w:t>
      </w:r>
      <w:r>
        <w:rPr>
          <w:rFonts w:ascii="Times New Roman" w:cs="Times New Roman" w:eastAsia="Times New Roman" w:hAnsi="Times New Roman"/>
          <w:sz w:val="17"/>
          <w:szCs w:val="17"/>
          <w:color w:val="auto"/>
        </w:rPr>
        <w:t>”). The Released Claims include, but are not limited to: (a) all claims arising out of or in any way related to my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with the Company, or the termination of that employment; (b) all claims related to my compensation or benefits from the Company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salary, bonuses, commissions, vacation pay, expense reimbursements, severance pay, fringe benefits, stock, stock options, or any other ownership interests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 all claims for breach of contract, wrongful termination, and breach of the implied covenant of good faith and fair dealing; (d) all tort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claims for fraud, defamation, emotional distress, and discharge in violation of public policy; and (e) all federal, state, and local statutory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claims for discrimination, harassment, retaliation, misclassification, attorneys’ fees, or other claims arising under the federal Civil Rights 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1964 (as amended), the federal Americans with Disabilities Act of 1990, the federal Age Discrimination in Employment Act of 1967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the California Labor Code, and the California Fair Employment and Housing Act (as amended). Notwithstanding the foregoing, the following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included in the Released Claims (the “</w:t>
      </w:r>
      <w:r>
        <w:rPr>
          <w:rFonts w:ascii="Times New Roman" w:cs="Times New Roman" w:eastAsia="Times New Roman" w:hAnsi="Times New Roman"/>
          <w:sz w:val="18"/>
          <w:szCs w:val="18"/>
          <w:b w:val="1"/>
          <w:bCs w:val="1"/>
          <w:i w:val="1"/>
          <w:iCs w:val="1"/>
          <w:color w:val="auto"/>
        </w:rPr>
        <w:t>Excluded Claims</w:t>
      </w:r>
      <w:r>
        <w:rPr>
          <w:rFonts w:ascii="Times New Roman" w:cs="Times New Roman" w:eastAsia="Times New Roman" w:hAnsi="Times New Roman"/>
          <w:sz w:val="18"/>
          <w:szCs w:val="18"/>
          <w:color w:val="auto"/>
        </w:rPr>
        <w:t>”): (a) any rights or claims for indemnification I may have pursuant to the charter or bylaws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under applicable law; (b) any rights or claims to unemployment compensation, funds accrued in my 401k account, or any vested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incentives; (c) any rights that are not waivable as a matter of law; or (d) any claims arising from the breach of this Agreement. I hereby represent and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other than the Excluded Claims, I am not aware of any claims I have or might have against any of the Released Parties that are not included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 Claims.</w:t>
      </w:r>
    </w:p>
    <w:p>
      <w:pPr>
        <w:spacing w:after="0" w:line="203"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I also acknowledge that I have read and understand Section 1542 of the California Civil Code which reads as follows: “</w:t>
      </w:r>
      <w:r>
        <w:rPr>
          <w:rFonts w:ascii="Times New Roman" w:cs="Times New Roman" w:eastAsia="Times New Roman" w:hAnsi="Times New Roman"/>
          <w:sz w:val="18"/>
          <w:szCs w:val="18"/>
          <w:b w:val="1"/>
          <w:bCs w:val="1"/>
          <w:color w:val="auto"/>
        </w:rPr>
        <w:t>A general release does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extend to claims which the creditor does not know or suspect to exist in his or her favor at the time of executing the release, which if known by him or her must have materially affected his or her settlement with the debtor</w:t>
      </w:r>
      <w:r>
        <w:rPr>
          <w:rFonts w:ascii="Times New Roman" w:cs="Times New Roman" w:eastAsia="Times New Roman" w:hAnsi="Times New Roman"/>
          <w:sz w:val="18"/>
          <w:szCs w:val="18"/>
          <w:color w:val="auto"/>
        </w:rPr>
        <w:t>.” I hereby expressly waive and relinquish all rights and benefits under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and any law of any jurisdiction, including New York, of similar effect with respect to any claims I may have against the Company.</w:t>
      </w:r>
    </w:p>
    <w:p>
      <w:pPr>
        <w:sectPr>
          <w:pgSz w:w="11900" w:h="16838" w:orient="portrait"/>
          <w:cols w:equalWidth="0" w:num="1">
            <w:col w:w="11400"/>
          </w:cols>
          <w:pgMar w:left="240" w:top="266" w:right="259" w:bottom="1440" w:gutter="0" w:footer="0" w:header="0"/>
        </w:sectPr>
      </w:pPr>
    </w:p>
    <w:bookmarkStart w:id="79" w:name="page80"/>
    <w:bookmarkEnd w:id="79"/>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84"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3" w:lineRule="exact"/>
        <w:rPr>
          <w:sz w:val="20"/>
          <w:szCs w:val="20"/>
          <w:color w:val="auto"/>
        </w:rPr>
      </w:pPr>
    </w:p>
    <w:p>
      <w:pPr>
        <w:spacing w:after="0"/>
        <w:tabs>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-7620</wp:posOffset>
            </wp:positionV>
            <wp:extent cx="1000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1000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0858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1085850" cy="8890"/>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-7620</wp:posOffset>
            </wp:positionV>
            <wp:extent cx="10001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1000125"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128905</wp:posOffset>
            </wp:positionV>
            <wp:extent cx="1028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Dominic Piscitelli</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1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Letter"/>
      <w:start w:val="3"/>
    </w:lvl>
  </w:abstractNum>
  <w:abstractNum w:abstractNumId="42">
    <w:nsid w:val="61574095"/>
    <w:multiLevelType w:val="hybridMultilevel"/>
    <w:lvl w:ilvl="0">
      <w:lvlJc w:val="left"/>
      <w:lvlText w:val="(%1)"/>
      <w:numFmt w:val="lowerLetter"/>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lowerRoman"/>
      <w:start w:val="1"/>
    </w:lvl>
  </w:abstractNum>
  <w:abstractNum w:abstractNumId="51">
    <w:nsid w:val="4AD084E9"/>
    <w:multiLevelType w:val="hybridMultilevel"/>
    <w:lvl w:ilvl="0">
      <w:lvlJc w:val="left"/>
      <w:lvlText w:val="(%1)"/>
      <w:numFmt w:val="lowerRoman"/>
      <w:start w:val="1"/>
    </w:lvl>
  </w:abstractNum>
  <w:abstractNum w:abstractNumId="52">
    <w:nsid w:val="1F48EAA1"/>
    <w:multiLevelType w:val="hybridMultilevel"/>
    <w:lvl w:ilvl="0">
      <w:lvlJc w:val="left"/>
      <w:lvlText w:val="(%1)"/>
      <w:numFmt w:val="lowerLetter"/>
      <w:start w:val="1"/>
    </w:lvl>
    <w:lvl w:ilvl="1">
      <w:lvlJc w:val="left"/>
      <w:lvlText w:val="(%2)"/>
      <w:numFmt w:val="lowerLetter"/>
      <w:start w:val="1"/>
    </w:lvl>
  </w:abstractNum>
  <w:abstractNum w:abstractNumId="53">
    <w:nsid w:val="1381823A"/>
    <w:multiLevelType w:val="hybridMultilevel"/>
    <w:lvl w:ilvl="0">
      <w:lvlJc w:val="left"/>
      <w:lvlText w:val="(%1)"/>
      <w:numFmt w:val="lowerLetter"/>
      <w:start w:val="2"/>
    </w:lvl>
  </w:abstractNum>
  <w:abstractNum w:abstractNumId="54">
    <w:nsid w:val="5DB70AE5"/>
    <w:multiLevelType w:val="hybridMultilevel"/>
    <w:lvl w:ilvl="0">
      <w:lvlJc w:val="left"/>
      <w:lvlText w:val="(%1)"/>
      <w:numFmt w:val="lowerLetter"/>
      <w:start w:val="2"/>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decimal"/>
      <w:start w:val="2"/>
    </w:lvl>
  </w:abstractNum>
  <w:abstractNum w:abstractNumId="63">
    <w:nsid w:val="168E121F"/>
    <w:multiLevelType w:val="hybridMultilevel"/>
    <w:lvl w:ilvl="0">
      <w:lvlJc w:val="left"/>
      <w:lvlText w:val="%1."/>
      <w:numFmt w:val="decimal"/>
      <w:start w:val="3"/>
    </w:lvl>
  </w:abstractNum>
  <w:abstractNum w:abstractNumId="64">
    <w:nsid w:val="1EBA5D23"/>
    <w:multiLevelType w:val="hybridMultilevel"/>
    <w:lvl w:ilvl="0">
      <w:lvlJc w:val="left"/>
      <w:lvlText w:val="%1."/>
      <w:numFmt w:val="decimal"/>
      <w:start w:val="4"/>
    </w:lvl>
  </w:abstractNum>
  <w:abstractNum w:abstractNumId="65">
    <w:nsid w:val="661E3F1E"/>
    <w:multiLevelType w:val="hybridMultilevel"/>
    <w:lvl w:ilvl="0">
      <w:lvlJc w:val="left"/>
      <w:lvlText w:val="(%1)"/>
      <w:numFmt w:val="lowerRoman"/>
      <w:start w:val="1"/>
    </w:lvl>
  </w:abstractNum>
  <w:abstractNum w:abstractNumId="66">
    <w:nsid w:val="5DC79EA8"/>
    <w:multiLevelType w:val="hybridMultilevel"/>
    <w:lvl w:ilvl="0">
      <w:lvlJc w:val="left"/>
      <w:lvlText w:val="(%1)"/>
      <w:numFmt w:val="lowerLetter"/>
      <w:start w:val="24"/>
    </w:lvl>
  </w:abstractNum>
  <w:abstractNum w:abstractNumId="67">
    <w:nsid w:val="540A471C"/>
    <w:multiLevelType w:val="hybridMultilevel"/>
    <w:lvl w:ilvl="0">
      <w:lvlJc w:val="left"/>
      <w:lvlText w:val="%1."/>
      <w:numFmt w:val="decimal"/>
      <w:start w:val="5"/>
    </w:lvl>
  </w:abstractNum>
  <w:abstractNum w:abstractNumId="68">
    <w:nsid w:val="7BD3EE7B"/>
    <w:multiLevelType w:val="hybridMultilevel"/>
    <w:lvl w:ilvl="0">
      <w:lvlJc w:val="left"/>
      <w:lvlText w:val="%1."/>
      <w:numFmt w:val="decimal"/>
      <w:start w:val="6"/>
    </w:lvl>
  </w:abstractNum>
  <w:abstractNum w:abstractNumId="69">
    <w:nsid w:val="51D9C564"/>
    <w:multiLevelType w:val="hybridMultilevel"/>
    <w:lvl w:ilvl="0">
      <w:lvlJc w:val="left"/>
      <w:lvlText w:val="%1."/>
      <w:numFmt w:val="decimal"/>
      <w:start w:val="7"/>
    </w:lvl>
  </w:abstractNum>
  <w:abstractNum w:abstractNumId="70">
    <w:nsid w:val="613EFDC5"/>
    <w:multiLevelType w:val="hybridMultilevel"/>
    <w:lvl w:ilvl="0">
      <w:lvlJc w:val="left"/>
      <w:lvlText w:val="%1."/>
      <w:numFmt w:val="decimal"/>
      <w:start w:val="8"/>
    </w:lvl>
  </w:abstractNum>
  <w:abstractNum w:abstractNumId="71">
    <w:nsid w:val="BF72B14"/>
    <w:multiLevelType w:val="hybridMultilevel"/>
    <w:lvl w:ilvl="0">
      <w:lvlJc w:val="left"/>
      <w:lvlText w:val="%1."/>
      <w:numFmt w:val="decimal"/>
      <w:start w:val="9"/>
    </w:lvl>
  </w:abstractNum>
  <w:abstractNum w:abstractNumId="72">
    <w:nsid w:val="11447B73"/>
    <w:multiLevelType w:val="hybridMultilevel"/>
    <w:lvl w:ilvl="0">
      <w:lvlJc w:val="left"/>
      <w:lvlText w:val="%1."/>
      <w:numFmt w:val="decimal"/>
      <w:start w:val="10"/>
    </w:lvl>
  </w:abstractNum>
  <w:abstractNum w:abstractNumId="73">
    <w:nsid w:val="42963E5A"/>
    <w:multiLevelType w:val="hybridMultilevel"/>
    <w:lvl w:ilvl="0">
      <w:lvlJc w:val="left"/>
      <w:lvlText w:val="%1."/>
      <w:numFmt w:val="decimal"/>
      <w:start w:val="11"/>
    </w:lvl>
  </w:abstractNum>
  <w:abstractNum w:abstractNumId="74">
    <w:nsid w:val="A0382C5"/>
    <w:multiLevelType w:val="hybridMultilevel"/>
    <w:lvl w:ilvl="0">
      <w:lvlJc w:val="left"/>
      <w:lvlText w:val="%1."/>
      <w:numFmt w:val="decimal"/>
      <w:start w:val="12"/>
    </w:lvl>
  </w:abstractNum>
  <w:abstractNum w:abstractNumId="75">
    <w:nsid w:val="8F2B15E"/>
    <w:multiLevelType w:val="hybridMultilevel"/>
    <w:lvl w:ilvl="0">
      <w:lvlJc w:val="left"/>
      <w:lvlText w:val="%1."/>
      <w:numFmt w:val="decimal"/>
      <w:start w:val="13"/>
    </w:lvl>
  </w:abstractNum>
  <w:abstractNum w:abstractNumId="76">
    <w:nsid w:val="1A32234B"/>
    <w:multiLevelType w:val="hybridMultilevel"/>
    <w:lvl w:ilvl="0">
      <w:lvlJc w:val="left"/>
      <w:lvlText w:val="%1."/>
      <w:numFmt w:val="decimal"/>
      <w:start w:val="14"/>
    </w:lvl>
  </w:abstractNum>
  <w:abstractNum w:abstractNumId="77">
    <w:nsid w:val="3B0FD379"/>
    <w:multiLevelType w:val="hybridMultilevel"/>
    <w:lvl w:ilvl="0">
      <w:lvlJc w:val="left"/>
      <w:lvlText w:val="%1."/>
      <w:numFmt w:val="decimal"/>
      <w:start w:val="15"/>
    </w:lvl>
  </w:abstractNum>
  <w:abstractNum w:abstractNumId="78">
    <w:nsid w:val="68EB2F63"/>
    <w:multiLevelType w:val="hybridMultilevel"/>
    <w:lvl w:ilvl="0">
      <w:lvlJc w:val="left"/>
      <w:lvlText w:val="%1."/>
      <w:numFmt w:val="decimal"/>
      <w:start w:val="16"/>
    </w:lvl>
  </w:abstractNum>
  <w:abstractNum w:abstractNumId="79">
    <w:nsid w:val="4962813B"/>
    <w:multiLevelType w:val="hybridMultilevel"/>
    <w:lvl w:ilvl="0">
      <w:lvlJc w:val="left"/>
      <w:lvlText w:val="%1."/>
      <w:numFmt w:val="decimal"/>
      <w:start w:val="17"/>
    </w:lvl>
  </w:abstractNum>
  <w:abstractNum w:abstractNumId="80">
    <w:nsid w:val="60B6DF70"/>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0" Type="http://schemas.openxmlformats.org/officeDocument/2006/relationships/image" Target="media/image99.png"/><Relationship Id="rId120"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06" Type="http://schemas.openxmlformats.org/officeDocument/2006/relationships/hyperlink" Target="http://www.sec.gov/Archives/edgar/data/1370053/000137005317000005/anab-033117x10qxexx31.htm" TargetMode="External"/><Relationship Id="rId107" Type="http://schemas.openxmlformats.org/officeDocument/2006/relationships/hyperlink" Target="http://www.sec.gov/Archives/edgar/data/1370053/000119312515315918/d942137dex34.htm" TargetMode="External"/><Relationship Id="rId108" Type="http://schemas.openxmlformats.org/officeDocument/2006/relationships/hyperlink" Target="http://www.sec.gov/Archives/edgar/data/1370053/000119312515412604/d942137dex41.htm" TargetMode="External"/><Relationship Id="rId109" Type="http://schemas.openxmlformats.org/officeDocument/2006/relationships/hyperlink" Target="http://www.sec.gov/Archives/edgar/data/1370053/000119312515315918/d942137dex42.htm" TargetMode="External"/><Relationship Id="rId111" Type="http://schemas.openxmlformats.org/officeDocument/2006/relationships/hyperlink" Target="http://www.sec.gov/Archives/edgar/data/1370053/000119312515315918/d942137dex101.htm" TargetMode="External"/><Relationship Id="rId112" Type="http://schemas.openxmlformats.org/officeDocument/2006/relationships/hyperlink" Target="http://www.sec.gov/Archives/edgar/data/1370053/000119312517010405/d320192dex102.htm" TargetMode="External"/><Relationship Id="rId113" Type="http://schemas.openxmlformats.org/officeDocument/2006/relationships/hyperlink" Target="http://www.sec.gov/Archives/edgar/data/1370053/000119312517010405/d320192dex103.htm" TargetMode="External"/><Relationship Id="rId114" Type="http://schemas.openxmlformats.org/officeDocument/2006/relationships/hyperlink" Target="http://www.sec.gov/Archives/edgar/data/1370053/000119312517010405/d320192dex104.htm" TargetMode="External"/><Relationship Id="rId115" Type="http://schemas.openxmlformats.org/officeDocument/2006/relationships/hyperlink" Target="http://www.sec.gov/Archives/edgar/data/1370053/000119312515315918/d942137dex105.htm" TargetMode="External"/><Relationship Id="rId116" Type="http://schemas.openxmlformats.org/officeDocument/2006/relationships/hyperlink" Target="http://www.sec.gov/Archives/edgar/data/1370053/000119312516805335/d320192dex106.htm" TargetMode="External"/><Relationship Id="rId117" Type="http://schemas.openxmlformats.org/officeDocument/2006/relationships/hyperlink" Target="http://www.sec.gov/Archives/edgar/data/1370053/000119312515315918/d942137dex108.htm" TargetMode="External"/><Relationship Id="rId118" Type="http://schemas.openxmlformats.org/officeDocument/2006/relationships/hyperlink" Target="http://www.sec.gov/Archives/edgar/data/1370053/000119312515412604/d942137dex108.htm" TargetMode="External"/><Relationship Id="rId119" Type="http://schemas.openxmlformats.org/officeDocument/2006/relationships/hyperlink" Target="http://www.sec.gov/Archives/edgar/data/1370053/000119312516805335/d320192dex109.htm" TargetMode="External"/><Relationship Id="rId121" Type="http://schemas.openxmlformats.org/officeDocument/2006/relationships/hyperlink" Target="http://www.sec.gov/Archives/edgar/data/1370053/000119312516585556/d942137dex1010.htm" TargetMode="External"/><Relationship Id="rId122" Type="http://schemas.openxmlformats.org/officeDocument/2006/relationships/hyperlink" Target="http://www.sec.gov/Archives/edgar/data/1370053/000119312515315918/d942137dex1012.htm" TargetMode="External"/><Relationship Id="rId123" Type="http://schemas.openxmlformats.org/officeDocument/2006/relationships/hyperlink" Target="http://www.sec.gov/Archives/edgar/data/1370053/000119312515315918/d942137dex1013.htm" TargetMode="External"/><Relationship Id="rId124" Type="http://schemas.openxmlformats.org/officeDocument/2006/relationships/hyperlink" Target="http://www.sec.gov/Archives/edgar/data/1370053/000119312516465517/d942137dex1013.htm" TargetMode="External"/><Relationship Id="rId125" Type="http://schemas.openxmlformats.org/officeDocument/2006/relationships/hyperlink" Target="http://www.sec.gov/Archives/edgar/data/1370053/000156459017003710/anab-ex211_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2019-12-07T03:47:29Z</dcterms:created>
  <dcterms:modified xsi:type="dcterms:W3CDTF">2019-12-07T03:47:29Z</dcterms:modified>
</cp:coreProperties>
</file>