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45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09/17/2021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10,000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1.12</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67,636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20,361</w:t>
            </w:r>
            <w:r>
              <w:rPr>
                <w:rFonts w:ascii="Arial" w:cs="Arial" w:eastAsia="Arial" w:hAnsi="Arial"/>
                <w:sz w:val="21"/>
                <w:szCs w:val="21"/>
                <w:color w:val="008000"/>
                <w:vertAlign w:val="superscript"/>
              </w:rPr>
              <w:t>(2)</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09/17/2021</w:t>
            </w:r>
          </w:p>
        </w:tc>
        <w:tc>
          <w:tcPr>
            <w:tcW w:w="114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ind w:left="420"/>
              <w:spacing w:after="0" w:line="138" w:lineRule="exact"/>
              <w:rPr>
                <w:sz w:val="20"/>
                <w:szCs w:val="20"/>
                <w:color w:val="auto"/>
              </w:rPr>
            </w:pPr>
            <w:r>
              <w:rPr>
                <w:rFonts w:ascii="Arial" w:cs="Arial" w:eastAsia="Arial" w:hAnsi="Arial"/>
                <w:sz w:val="13"/>
                <w:szCs w:val="13"/>
                <w:color w:val="0000FF"/>
              </w:rPr>
              <w:t>10,000</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12/08/2021</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43"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20,361 shares of common stock as set forth in Table II above, the Reporting Person also holds (i) additional options to purchase up to an aggregate of 1,208,177 shares of common stock, which options vest according to their terms, and (ii) 67,636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09/21/2021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2021-09-21T16:40:08Z</dcterms:created>
  <dcterms:modified xsi:type="dcterms:W3CDTF">2021-09-21T16:40:08Z</dcterms:modified>
</cp:coreProperties>
</file>