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___)</w:t>
      </w:r>
    </w:p>
    <w:p>
      <w:pPr>
        <w:spacing w:after="0" w:line="194" w:lineRule="exact"/>
        <w:rPr>
          <w:sz w:val="24"/>
          <w:szCs w:val="24"/>
          <w:color w:val="auto"/>
        </w:rPr>
      </w:pPr>
    </w:p>
    <w:p>
      <w:pPr>
        <w:ind w:left="5000"/>
        <w:spacing w:after="0"/>
        <w:rPr>
          <w:sz w:val="20"/>
          <w:szCs w:val="20"/>
          <w:color w:val="auto"/>
        </w:rPr>
      </w:pPr>
      <w:r>
        <w:rPr>
          <w:rFonts w:ascii="Arial" w:cs="Arial" w:eastAsia="Arial" w:hAnsi="Arial"/>
          <w:sz w:val="20"/>
          <w:szCs w:val="20"/>
          <w:b w:val="1"/>
          <w:bCs w:val="1"/>
          <w:color w:val="auto"/>
        </w:rPr>
        <w:t>AnaptysBio, Inc.</w:t>
      </w:r>
    </w:p>
    <w:p>
      <w:pPr>
        <w:spacing w:after="0" w:line="60"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$0.001 par value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032724106</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November 8,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5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rFonts w:ascii="Arial" w:cs="Arial" w:eastAsia="Arial" w:hAnsi="Arial"/>
          <w:sz w:val="20"/>
          <w:szCs w:val="20"/>
          <w:color w:val="auto"/>
        </w:rPr>
      </w:pPr>
    </w:p>
    <w:p>
      <w:pPr>
        <w:spacing w:after="0"/>
        <w:tabs>
          <w:tab w:leader="none" w:pos="0" w:val="left"/>
        </w:tabs>
        <w:numPr>
          <w:ilvl w:val="1"/>
          <w:numId w:val="3"/>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1,720,500</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1,720,500</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1,720,500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sz w:val="20"/>
          <w:szCs w:val="20"/>
          <w:color w:val="auto"/>
        </w:rPr>
      </w:pPr>
    </w:p>
    <w:p>
      <w:pPr>
        <w:ind w:left="1580" w:hanging="275"/>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rFonts w:ascii="Arial" w:cs="Arial" w:eastAsia="Arial" w:hAnsi="Arial"/>
          <w:sz w:val="20"/>
          <w:szCs w:val="20"/>
          <w:color w:val="auto"/>
        </w:rPr>
      </w:pPr>
    </w:p>
    <w:p>
      <w:pPr>
        <w:spacing w:after="0"/>
        <w:tabs>
          <w:tab w:leader="none" w:pos="0" w:val="left"/>
        </w:tabs>
        <w:numPr>
          <w:ilvl w:val="1"/>
          <w:numId w:val="7"/>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1,720,500</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1,720,500</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1,720,500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80" w:type="dxa"/>
            <w:vAlign w:val="bottom"/>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1,432,144</w:t>
            </w:r>
          </w:p>
        </w:tc>
        <w:tc>
          <w:tcPr>
            <w:tcW w:w="0" w:type="dxa"/>
            <w:vAlign w:val="bottom"/>
          </w:tcPr>
          <w:p>
            <w:pPr>
              <w:spacing w:after="0"/>
              <w:rPr>
                <w:sz w:val="1"/>
                <w:szCs w:val="1"/>
                <w:color w:val="auto"/>
              </w:rPr>
            </w:pPr>
          </w:p>
        </w:tc>
      </w:tr>
      <w:tr>
        <w:trPr>
          <w:trHeight w:val="137"/>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Borders>
              <w:bottom w:val="single" w:sz="8" w:color="auto"/>
            </w:tcBorders>
            <w:vMerge w:val="continue"/>
          </w:tcPr>
          <w:p>
            <w:pPr>
              <w:spacing w:after="0"/>
              <w:rPr>
                <w:sz w:val="11"/>
                <w:szCs w:val="11"/>
                <w:color w:val="auto"/>
              </w:rPr>
            </w:pPr>
          </w:p>
        </w:tc>
        <w:tc>
          <w:tcPr>
            <w:tcW w:w="8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8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8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80" w:type="dxa"/>
            <w:vAlign w:val="bottom"/>
            <w:tcBorders>
              <w:bottom w:val="single" w:sz="8" w:color="auto"/>
            </w:tcBorders>
            <w:vMerge w:val="continue"/>
          </w:tcPr>
          <w:p>
            <w:pPr>
              <w:spacing w:after="0"/>
              <w:rPr>
                <w:sz w:val="16"/>
                <w:szCs w:val="16"/>
                <w:color w:val="auto"/>
              </w:rPr>
            </w:pPr>
          </w:p>
        </w:tc>
        <w:tc>
          <w:tcPr>
            <w:tcW w:w="8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1,432,144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1,432,144</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AnaptysBio,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10421 Pacific Center Court, Suite 200, San Diego, CA 92121</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0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7" w:lineRule="exact"/>
        <w:rPr>
          <w:rFonts w:ascii="Arial" w:cs="Arial" w:eastAsia="Arial" w:hAnsi="Arial"/>
          <w:sz w:val="20"/>
          <w:szCs w:val="20"/>
          <w:color w:val="auto"/>
        </w:rPr>
      </w:pPr>
    </w:p>
    <w:p>
      <w:pPr>
        <w:ind w:left="1300"/>
        <w:spacing w:after="0" w:line="266"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79"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Common Stock, $0.001 par value</w:t>
      </w:r>
      <w:r>
        <w:rPr>
          <w:rFonts w:ascii="Arial" w:cs="Arial" w:eastAsia="Arial" w:hAnsi="Arial"/>
          <w:sz w:val="20"/>
          <w:szCs w:val="20"/>
          <w:color w:val="auto"/>
        </w:rPr>
        <w:t xml:space="preserve"> (collectively the “Stock”).</w:t>
      </w:r>
    </w:p>
    <w:p>
      <w:pPr>
        <w:spacing w:after="0" w:line="229" w:lineRule="exact"/>
        <w:rPr>
          <w:sz w:val="20"/>
          <w:szCs w:val="20"/>
          <w:color w:val="auto"/>
        </w:rPr>
      </w:pPr>
    </w:p>
    <w:p>
      <w:pPr>
        <w:ind w:left="3200" w:hanging="554"/>
        <w:spacing w:after="0"/>
        <w:tabs>
          <w:tab w:leader="none" w:pos="32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The CUSIP number of the American Deposiary Shares is: </w:t>
      </w:r>
      <w:r>
        <w:rPr>
          <w:rFonts w:ascii="Arial" w:cs="Arial" w:eastAsia="Arial" w:hAnsi="Arial"/>
          <w:sz w:val="20"/>
          <w:szCs w:val="20"/>
          <w:b w:val="1"/>
          <w:bCs w:val="1"/>
          <w:color w:val="auto"/>
        </w:rPr>
        <w:t>032724106</w:t>
      </w:r>
      <w:r>
        <w:rPr>
          <w:rFonts w:ascii="Arial" w:cs="Arial" w:eastAsia="Arial" w:hAnsi="Arial"/>
          <w:sz w:val="20"/>
          <w:szCs w:val="20"/>
          <w:color w:val="auto"/>
        </w:rPr>
        <w:t>.</w:t>
      </w:r>
    </w:p>
    <w:p>
      <w:pPr>
        <w:spacing w:after="0" w:line="2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00" w:lineRule="exact"/>
        <w:rPr>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420" w:hanging="644"/>
        <w:spacing w:after="0" w:line="26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440" w:hanging="1304"/>
        <w:spacing w:after="0" w:line="260" w:lineRule="auto"/>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ectPr>
          <w:pgSz w:w="11900" w:h="16838" w:orient="portrait"/>
          <w:cols w:equalWidth="0" w:num="1">
            <w:col w:w="11040"/>
          </w:cols>
          <w:pgMar w:left="240" w:top="233" w:right="619" w:bottom="0" w:gutter="0" w:footer="0" w:header="0"/>
        </w:sectPr>
      </w:pPr>
    </w:p>
    <w:bookmarkStart w:id="5" w:name="page6"/>
    <w:bookmarkEnd w:id="5"/>
    <w:p>
      <w:pPr>
        <w:spacing w:after="0" w:line="262"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68" w:lineRule="exact"/>
        <w:rPr>
          <w:sz w:val="20"/>
          <w:szCs w:val="20"/>
          <w:color w:val="auto"/>
        </w:rPr>
      </w:pPr>
    </w:p>
    <w:p>
      <w:pPr>
        <w:ind w:left="1300" w:right="26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121"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jc w:val="both"/>
        <w:ind w:left="660" w:right="58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00" w:type="dxa"/>
            <w:vAlign w:val="bottom"/>
          </w:tcPr>
          <w:p>
            <w:pPr>
              <w:spacing w:after="0"/>
              <w:rPr>
                <w:sz w:val="20"/>
                <w:szCs w:val="20"/>
                <w:color w:val="auto"/>
              </w:rPr>
            </w:pPr>
            <w:r>
              <w:rPr>
                <w:rFonts w:ascii="Arial" w:cs="Arial" w:eastAsia="Arial" w:hAnsi="Arial"/>
                <w:sz w:val="20"/>
                <w:szCs w:val="20"/>
                <w:color w:val="auto"/>
              </w:rPr>
              <w:t>Dated: November 18, 2019</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700" w:type="dxa"/>
            <w:vAlign w:val="bottom"/>
          </w:tcPr>
          <w:p>
            <w:pPr>
              <w:ind w:left="100"/>
              <w:spacing w:after="0"/>
              <w:rPr>
                <w:sz w:val="20"/>
                <w:szCs w:val="20"/>
                <w:color w:val="auto"/>
              </w:rPr>
            </w:pPr>
            <w:r>
              <w:rPr>
                <w:rFonts w:ascii="Arial" w:cs="Arial" w:eastAsia="Arial" w:hAnsi="Arial"/>
                <w:sz w:val="20"/>
                <w:szCs w:val="20"/>
                <w:b w:val="1"/>
                <w:bCs w:val="1"/>
                <w:color w:val="auto"/>
              </w:rPr>
              <w:t>EcoR1 CAPITAL, LLC</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700" w:type="dxa"/>
            <w:vAlign w:val="bottom"/>
          </w:tcPr>
          <w:p>
            <w:pPr>
              <w:ind w:left="100"/>
              <w:spacing w:after="0"/>
              <w:rPr>
                <w:sz w:val="20"/>
                <w:szCs w:val="20"/>
                <w:color w:val="auto"/>
              </w:rPr>
            </w:pPr>
            <w:r>
              <w:rPr>
                <w:rFonts w:ascii="Arial" w:cs="Arial" w:eastAsia="Arial" w:hAnsi="Arial"/>
                <w:sz w:val="20"/>
                <w:szCs w:val="20"/>
                <w:color w:val="auto"/>
              </w:rPr>
              <w:t>By: /s/ Oleg Nodelman</w:t>
            </w:r>
          </w:p>
        </w:tc>
        <w:tc>
          <w:tcPr>
            <w:tcW w:w="2380" w:type="dxa"/>
            <w:vAlign w:val="bottom"/>
          </w:tcPr>
          <w:p>
            <w:pPr>
              <w:jc w:val="right"/>
              <w:spacing w:after="0"/>
              <w:rPr>
                <w:sz w:val="20"/>
                <w:szCs w:val="20"/>
                <w:color w:val="auto"/>
              </w:rPr>
            </w:pPr>
            <w:r>
              <w:rPr>
                <w:rFonts w:ascii="Arial" w:cs="Arial" w:eastAsia="Arial" w:hAnsi="Arial"/>
                <w:sz w:val="20"/>
                <w:szCs w:val="20"/>
                <w:color w:val="auto"/>
              </w:rPr>
              <w:t>/s/ Oleg Nodelman</w:t>
            </w:r>
          </w:p>
        </w:tc>
        <w:tc>
          <w:tcPr>
            <w:tcW w:w="0" w:type="dxa"/>
            <w:vAlign w:val="bottom"/>
          </w:tcPr>
          <w:p>
            <w:pPr>
              <w:spacing w:after="0"/>
              <w:rPr>
                <w:sz w:val="1"/>
                <w:szCs w:val="1"/>
                <w:color w:val="auto"/>
              </w:rPr>
            </w:pPr>
          </w:p>
        </w:tc>
      </w:tr>
      <w:tr>
        <w:trPr>
          <w:trHeight w:val="250"/>
        </w:trPr>
        <w:tc>
          <w:tcPr>
            <w:tcW w:w="4700" w:type="dxa"/>
            <w:vAlign w:val="bottom"/>
          </w:tcPr>
          <w:p>
            <w:pPr>
              <w:ind w:left="760"/>
              <w:spacing w:after="0"/>
              <w:rPr>
                <w:sz w:val="20"/>
                <w:szCs w:val="20"/>
                <w:color w:val="auto"/>
              </w:rPr>
            </w:pPr>
            <w:r>
              <w:rPr>
                <w:rFonts w:ascii="Arial" w:cs="Arial" w:eastAsia="Arial" w:hAnsi="Arial"/>
                <w:sz w:val="20"/>
                <w:szCs w:val="20"/>
                <w:color w:val="auto"/>
              </w:rPr>
              <w:t>Manager</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9"/>
        </w:trPr>
        <w:tc>
          <w:tcPr>
            <w:tcW w:w="4700" w:type="dxa"/>
            <w:vAlign w:val="bottom"/>
          </w:tcPr>
          <w:p>
            <w:pPr>
              <w:ind w:left="100"/>
              <w:spacing w:after="0"/>
              <w:rPr>
                <w:sz w:val="20"/>
                <w:szCs w:val="20"/>
                <w:color w:val="auto"/>
              </w:rPr>
            </w:pPr>
            <w:r>
              <w:rPr>
                <w:rFonts w:ascii="Arial" w:cs="Arial" w:eastAsia="Arial" w:hAnsi="Arial"/>
                <w:sz w:val="20"/>
                <w:szCs w:val="20"/>
                <w:b w:val="1"/>
                <w:bCs w:val="1"/>
                <w:color w:val="auto"/>
              </w:rPr>
              <w:t>EcoR1 CAPITAL FUND QUALIFIED, L.P.</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00" w:type="dxa"/>
            <w:vAlign w:val="bottom"/>
          </w:tcPr>
          <w:p>
            <w:pPr>
              <w:ind w:left="100"/>
              <w:spacing w:after="0"/>
              <w:rPr>
                <w:sz w:val="20"/>
                <w:szCs w:val="20"/>
                <w:color w:val="auto"/>
              </w:rPr>
            </w:pPr>
            <w:r>
              <w:rPr>
                <w:rFonts w:ascii="Arial" w:cs="Arial" w:eastAsia="Arial" w:hAnsi="Arial"/>
                <w:sz w:val="20"/>
                <w:szCs w:val="20"/>
                <w:color w:val="auto"/>
              </w:rPr>
              <w:t>By: EcoR1 Capital, LLC, General Partner</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700" w:type="dxa"/>
            <w:vAlign w:val="bottom"/>
          </w:tcPr>
          <w:p>
            <w:pPr>
              <w:ind w:left="100"/>
              <w:spacing w:after="0"/>
              <w:rPr>
                <w:sz w:val="20"/>
                <w:szCs w:val="20"/>
                <w:color w:val="auto"/>
              </w:rPr>
            </w:pPr>
            <w:r>
              <w:rPr>
                <w:rFonts w:ascii="Arial" w:cs="Arial" w:eastAsia="Arial" w:hAnsi="Arial"/>
                <w:sz w:val="20"/>
                <w:szCs w:val="20"/>
                <w:color w:val="auto"/>
              </w:rPr>
              <w:t>By: /s/ Oleg Nodelman</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Pr>
          <w:p>
            <w:pPr>
              <w:ind w:left="760"/>
              <w:spacing w:after="0"/>
              <w:rPr>
                <w:sz w:val="20"/>
                <w:szCs w:val="20"/>
                <w:color w:val="auto"/>
              </w:rPr>
            </w:pPr>
            <w:r>
              <w:rPr>
                <w:rFonts w:ascii="Arial" w:cs="Arial" w:eastAsia="Arial" w:hAnsi="Arial"/>
                <w:sz w:val="20"/>
                <w:szCs w:val="20"/>
                <w:color w:val="auto"/>
              </w:rPr>
              <w:t>Manager</w:t>
            </w:r>
          </w:p>
        </w:tc>
        <w:tc>
          <w:tcPr>
            <w:tcW w:w="2380" w:type="dxa"/>
            <w:vAlign w:val="bottom"/>
            <w:vMerge w:val="restart"/>
          </w:tcPr>
          <w:p>
            <w:pPr>
              <w:jc w:val="right"/>
              <w:ind w:right="122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233"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18, 2019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ectPr>
          <w:pgSz w:w="11900" w:h="16838" w:orient="portrait"/>
          <w:cols w:equalWidth="0" w:num="1">
            <w:col w:w="11420"/>
          </w:cols>
          <w:pgMar w:left="240" w:top="233" w:right="239" w:bottom="1440" w:gutter="0" w:footer="0" w:header="0"/>
        </w:sect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Oleg Nodelman</w:t>
      </w:r>
    </w:p>
    <w:p>
      <w:pPr>
        <w:spacing w:after="0" w:line="468" w:lineRule="exact"/>
        <w:rPr>
          <w:sz w:val="20"/>
          <w:szCs w:val="20"/>
          <w:color w:val="auto"/>
        </w:rPr>
      </w:pPr>
    </w:p>
    <w:p>
      <w:pPr>
        <w:sectPr>
          <w:pgSz w:w="11900" w:h="16838" w:orient="portrait"/>
          <w:cols w:equalWidth="0" w:num="2">
            <w:col w:w="4860" w:space="720"/>
            <w:col w:w="5840"/>
          </w:cols>
          <w:pgMar w:left="240" w:top="233" w:right="23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EcoR1 CAPITAL FUND QUALIFIED, L.P.</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decimal"/>
      <w:start w:val="3"/>
    </w:lvl>
    <w:lvl w:ilvl="1">
      <w:lvlJc w:val="left"/>
      <w:lvlText w:val="%2"/>
      <w:numFmt w:val="lowerLetter"/>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decimal"/>
      <w:start w:val="3"/>
    </w:lvl>
    <w:lvl w:ilvl="1">
      <w:lvlJc w:val="left"/>
      <w:lvlText w:val="%2"/>
      <w:numFmt w:val="lowerLetter"/>
      <w:start w:val="1"/>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5"/>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2019-11-28T03:21:40Z</dcterms:created>
  <dcterms:modified xsi:type="dcterms:W3CDTF">2019-11-28T03:21:40Z</dcterms:modified>
</cp:coreProperties>
</file>