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SCHEDULE 13G/A</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No. 2)*</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10795</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(Name of Issuer)</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ind w:left="1000" w:hanging="360"/>
        <w:spacing w:after="0"/>
        <w:tabs>
          <w:tab w:leader="none" w:pos="100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13d-1(b)</w:t>
      </w:r>
    </w:p>
    <w:p>
      <w:pPr>
        <w:spacing w:after="0" w:line="21" w:lineRule="exact"/>
        <w:rPr>
          <w:rFonts w:ascii="MS PGothic" w:cs="MS PGothic" w:eastAsia="MS PGothic" w:hAnsi="MS PGothic"/>
          <w:sz w:val="20"/>
          <w:szCs w:val="20"/>
          <w:color w:val="auto"/>
        </w:rPr>
      </w:pPr>
    </w:p>
    <w:p>
      <w:pPr>
        <w:ind w:left="1000" w:hanging="361"/>
        <w:spacing w:after="0" w:line="238" w:lineRule="auto"/>
        <w:tabs>
          <w:tab w:leader="none" w:pos="1000" w:val="left"/>
        </w:tabs>
        <w:numPr>
          <w:ilvl w:val="0"/>
          <w:numId w:val="1"/>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Rule 13d-1(c)</w:t>
      </w:r>
    </w:p>
    <w:p>
      <w:pPr>
        <w:ind w:left="1000" w:hanging="360"/>
        <w:spacing w:after="0"/>
        <w:tabs>
          <w:tab w:leader="none" w:pos="100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320" w:top="454" w:right="33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032724106</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7 Pages</w:t>
      </w:r>
    </w:p>
    <w:p>
      <w:pPr>
        <w:ind w:left="1920" w:hanging="1079"/>
        <w:spacing w:after="0" w:line="227" w:lineRule="auto"/>
        <w:tabs>
          <w:tab w:leader="none" w:pos="1920" w:val="left"/>
        </w:tabs>
        <w:numPr>
          <w:ilvl w:val="0"/>
          <w:numId w:val="2"/>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4766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766310"/>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60" w:type="dxa"/>
            <w:vAlign w:val="bottom"/>
          </w:tcPr>
          <w:p>
            <w:pPr>
              <w:spacing w:after="0"/>
              <w:rPr>
                <w:sz w:val="22"/>
                <w:szCs w:val="22"/>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Point72 Asset Management, L.P.</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674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36"/>
              <w:spacing w:after="0"/>
              <w:rPr>
                <w:sz w:val="20"/>
                <w:szCs w:val="20"/>
                <w:color w:val="auto"/>
              </w:rPr>
            </w:pPr>
            <w:r>
              <w:rPr>
                <w:rFonts w:ascii="Times New Roman" w:cs="Times New Roman" w:eastAsia="Times New Roman" w:hAnsi="Times New Roman"/>
                <w:sz w:val="29"/>
                <w:szCs w:val="29"/>
                <w:b w:val="1"/>
                <w:bCs w:val="1"/>
                <w:color w:val="auto"/>
              </w:rPr>
              <w:t>2</w:t>
            </w:r>
          </w:p>
        </w:tc>
        <w:tc>
          <w:tcPr>
            <w:tcW w:w="6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40" w:type="dxa"/>
            <w:vAlign w:val="bottom"/>
            <w:vMerge w:val="restart"/>
          </w:tcPr>
          <w:p>
            <w:pPr>
              <w:ind w:left="180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9"/>
        </w:trPr>
        <w:tc>
          <w:tcPr>
            <w:tcW w:w="1460" w:type="dxa"/>
            <w:vAlign w:val="bottom"/>
            <w:vMerge w:val="continue"/>
          </w:tcPr>
          <w:p>
            <w:pPr>
              <w:spacing w:after="0"/>
              <w:rPr>
                <w:sz w:val="12"/>
                <w:szCs w:val="12"/>
                <w:color w:val="auto"/>
              </w:rPr>
            </w:pPr>
          </w:p>
        </w:tc>
        <w:tc>
          <w:tcPr>
            <w:tcW w:w="6740" w:type="dxa"/>
            <w:vAlign w:val="bottom"/>
          </w:tcPr>
          <w:p>
            <w:pPr>
              <w:spacing w:after="0"/>
              <w:rPr>
                <w:sz w:val="12"/>
                <w:szCs w:val="12"/>
                <w:color w:val="auto"/>
              </w:rPr>
            </w:pPr>
          </w:p>
        </w:tc>
        <w:tc>
          <w:tcPr>
            <w:tcW w:w="3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4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040" w:type="dxa"/>
            <w:vAlign w:val="bottom"/>
          </w:tcPr>
          <w:p>
            <w:pPr>
              <w:ind w:left="1800"/>
              <w:spacing w:after="0" w:line="318" w:lineRule="exact"/>
              <w:rPr>
                <w:sz w:val="20"/>
                <w:szCs w:val="20"/>
                <w:color w:val="auto"/>
              </w:rPr>
            </w:pPr>
            <w:r>
              <w:rPr>
                <w:rFonts w:ascii="Times New Roman" w:cs="Times New Roman" w:eastAsia="Times New Roman" w:hAnsi="Times New Roman"/>
                <w:sz w:val="20"/>
                <w:szCs w:val="20"/>
                <w:color w:val="auto"/>
              </w:rPr>
              <w:t xml:space="preserve">(b) </w:t>
            </w:r>
            <w:r>
              <w:rPr>
                <w:rFonts w:ascii="Wingdings" w:cs="Wingdings" w:eastAsia="Wingdings" w:hAnsi="Wingdings"/>
                <w:sz w:val="28"/>
                <w:szCs w:val="28"/>
                <w:b w:val="1"/>
                <w:bCs w:val="1"/>
                <w:color w:val="auto"/>
              </w:rPr>
              <w:t>x</w:t>
            </w:r>
          </w:p>
        </w:tc>
        <w:tc>
          <w:tcPr>
            <w:tcW w:w="0" w:type="dxa"/>
            <w:vAlign w:val="bottom"/>
          </w:tcPr>
          <w:p>
            <w:pPr>
              <w:spacing w:after="0"/>
              <w:rPr>
                <w:sz w:val="1"/>
                <w:szCs w:val="1"/>
                <w:color w:val="auto"/>
              </w:rPr>
            </w:pPr>
          </w:p>
        </w:tc>
      </w:tr>
    </w:tbl>
    <w:p>
      <w:pPr>
        <w:ind w:left="1920" w:hanging="1079"/>
        <w:spacing w:after="0" w:line="185" w:lineRule="auto"/>
        <w:tabs>
          <w:tab w:leader="none" w:pos="1920" w:val="left"/>
        </w:tabs>
        <w:numPr>
          <w:ilvl w:val="0"/>
          <w:numId w:val="3"/>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788,545</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788,545</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788,545</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3.0%</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PN</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032724106</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7 Pages</w:t>
      </w:r>
    </w:p>
    <w:p>
      <w:pPr>
        <w:spacing w:after="0" w:line="195" w:lineRule="exact"/>
        <w:rPr>
          <w:sz w:val="20"/>
          <w:szCs w:val="20"/>
          <w:color w:val="auto"/>
        </w:rPr>
      </w:pPr>
    </w:p>
    <w:p>
      <w:pPr>
        <w:ind w:left="1920" w:hanging="1079"/>
        <w:spacing w:after="0"/>
        <w:tabs>
          <w:tab w:leader="none" w:pos="1920" w:val="left"/>
        </w:tabs>
        <w:numPr>
          <w:ilvl w:val="0"/>
          <w:numId w:val="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4766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76631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60" w:type="dxa"/>
            <w:vAlign w:val="bottom"/>
          </w:tcPr>
          <w:p>
            <w:pPr>
              <w:spacing w:after="0"/>
              <w:rPr>
                <w:sz w:val="22"/>
                <w:szCs w:val="22"/>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Point72 Capital Advisors, Inc.</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674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36"/>
              <w:spacing w:after="0"/>
              <w:rPr>
                <w:sz w:val="20"/>
                <w:szCs w:val="20"/>
                <w:color w:val="auto"/>
              </w:rPr>
            </w:pPr>
            <w:r>
              <w:rPr>
                <w:rFonts w:ascii="Times New Roman" w:cs="Times New Roman" w:eastAsia="Times New Roman" w:hAnsi="Times New Roman"/>
                <w:sz w:val="29"/>
                <w:szCs w:val="29"/>
                <w:b w:val="1"/>
                <w:bCs w:val="1"/>
                <w:color w:val="auto"/>
              </w:rPr>
              <w:t>2</w:t>
            </w:r>
          </w:p>
        </w:tc>
        <w:tc>
          <w:tcPr>
            <w:tcW w:w="6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40" w:type="dxa"/>
            <w:vAlign w:val="bottom"/>
            <w:vMerge w:val="restart"/>
          </w:tcPr>
          <w:p>
            <w:pPr>
              <w:ind w:left="180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9"/>
        </w:trPr>
        <w:tc>
          <w:tcPr>
            <w:tcW w:w="1460" w:type="dxa"/>
            <w:vAlign w:val="bottom"/>
            <w:vMerge w:val="continue"/>
          </w:tcPr>
          <w:p>
            <w:pPr>
              <w:spacing w:after="0"/>
              <w:rPr>
                <w:sz w:val="12"/>
                <w:szCs w:val="12"/>
                <w:color w:val="auto"/>
              </w:rPr>
            </w:pPr>
          </w:p>
        </w:tc>
        <w:tc>
          <w:tcPr>
            <w:tcW w:w="6740" w:type="dxa"/>
            <w:vAlign w:val="bottom"/>
          </w:tcPr>
          <w:p>
            <w:pPr>
              <w:spacing w:after="0"/>
              <w:rPr>
                <w:sz w:val="12"/>
                <w:szCs w:val="12"/>
                <w:color w:val="auto"/>
              </w:rPr>
            </w:pPr>
          </w:p>
        </w:tc>
        <w:tc>
          <w:tcPr>
            <w:tcW w:w="3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4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040" w:type="dxa"/>
            <w:vAlign w:val="bottom"/>
          </w:tcPr>
          <w:p>
            <w:pPr>
              <w:ind w:left="1800"/>
              <w:spacing w:after="0" w:line="318" w:lineRule="exact"/>
              <w:rPr>
                <w:sz w:val="20"/>
                <w:szCs w:val="20"/>
                <w:color w:val="auto"/>
              </w:rPr>
            </w:pPr>
            <w:r>
              <w:rPr>
                <w:rFonts w:ascii="Times New Roman" w:cs="Times New Roman" w:eastAsia="Times New Roman" w:hAnsi="Times New Roman"/>
                <w:sz w:val="20"/>
                <w:szCs w:val="20"/>
                <w:color w:val="auto"/>
              </w:rPr>
              <w:t xml:space="preserve">(b) </w:t>
            </w:r>
            <w:r>
              <w:rPr>
                <w:rFonts w:ascii="Wingdings" w:cs="Wingdings" w:eastAsia="Wingdings" w:hAnsi="Wingdings"/>
                <w:sz w:val="28"/>
                <w:szCs w:val="28"/>
                <w:b w:val="1"/>
                <w:bCs w:val="1"/>
                <w:color w:val="auto"/>
              </w:rPr>
              <w:t>x</w:t>
            </w:r>
          </w:p>
        </w:tc>
        <w:tc>
          <w:tcPr>
            <w:tcW w:w="0" w:type="dxa"/>
            <w:vAlign w:val="bottom"/>
          </w:tcPr>
          <w:p>
            <w:pPr>
              <w:spacing w:after="0"/>
              <w:rPr>
                <w:sz w:val="1"/>
                <w:szCs w:val="1"/>
                <w:color w:val="auto"/>
              </w:rPr>
            </w:pPr>
          </w:p>
        </w:tc>
      </w:tr>
    </w:tbl>
    <w:p>
      <w:pPr>
        <w:ind w:left="1920" w:hanging="1079"/>
        <w:spacing w:after="0" w:line="185" w:lineRule="auto"/>
        <w:tabs>
          <w:tab w:leader="none" w:pos="1920" w:val="left"/>
        </w:tabs>
        <w:numPr>
          <w:ilvl w:val="0"/>
          <w:numId w:val="5"/>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788,545</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788,545</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788,545</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3.0%</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CO</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032724106</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7 Pages</w:t>
      </w:r>
    </w:p>
    <w:p>
      <w:pPr>
        <w:spacing w:after="0" w:line="195" w:lineRule="exact"/>
        <w:rPr>
          <w:sz w:val="20"/>
          <w:szCs w:val="20"/>
          <w:color w:val="auto"/>
        </w:rPr>
      </w:pPr>
    </w:p>
    <w:p>
      <w:pPr>
        <w:ind w:left="1920" w:hanging="1079"/>
        <w:spacing w:after="0"/>
        <w:tabs>
          <w:tab w:leader="none" w:pos="1920" w:val="left"/>
        </w:tabs>
        <w:numPr>
          <w:ilvl w:val="0"/>
          <w:numId w:val="6"/>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4766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76631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60" w:type="dxa"/>
            <w:vAlign w:val="bottom"/>
          </w:tcPr>
          <w:p>
            <w:pPr>
              <w:spacing w:after="0"/>
              <w:rPr>
                <w:sz w:val="22"/>
                <w:szCs w:val="22"/>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Steven A. Cohen</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674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460" w:type="dxa"/>
            <w:vAlign w:val="bottom"/>
            <w:vMerge w:val="restart"/>
          </w:tcPr>
          <w:p>
            <w:pPr>
              <w:jc w:val="right"/>
              <w:ind w:right="336"/>
              <w:spacing w:after="0"/>
              <w:rPr>
                <w:sz w:val="20"/>
                <w:szCs w:val="20"/>
                <w:color w:val="auto"/>
              </w:rPr>
            </w:pPr>
            <w:r>
              <w:rPr>
                <w:rFonts w:ascii="Times New Roman" w:cs="Times New Roman" w:eastAsia="Times New Roman" w:hAnsi="Times New Roman"/>
                <w:sz w:val="29"/>
                <w:szCs w:val="29"/>
                <w:b w:val="1"/>
                <w:bCs w:val="1"/>
                <w:color w:val="auto"/>
              </w:rPr>
              <w:t>2</w:t>
            </w:r>
          </w:p>
        </w:tc>
        <w:tc>
          <w:tcPr>
            <w:tcW w:w="67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40" w:type="dxa"/>
            <w:vAlign w:val="bottom"/>
            <w:vMerge w:val="restart"/>
          </w:tcPr>
          <w:p>
            <w:pPr>
              <w:ind w:left="180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9"/>
        </w:trPr>
        <w:tc>
          <w:tcPr>
            <w:tcW w:w="1460" w:type="dxa"/>
            <w:vAlign w:val="bottom"/>
            <w:vMerge w:val="continue"/>
          </w:tcPr>
          <w:p>
            <w:pPr>
              <w:spacing w:after="0"/>
              <w:rPr>
                <w:sz w:val="12"/>
                <w:szCs w:val="12"/>
                <w:color w:val="auto"/>
              </w:rPr>
            </w:pPr>
          </w:p>
        </w:tc>
        <w:tc>
          <w:tcPr>
            <w:tcW w:w="6740" w:type="dxa"/>
            <w:vAlign w:val="bottom"/>
          </w:tcPr>
          <w:p>
            <w:pPr>
              <w:spacing w:after="0"/>
              <w:rPr>
                <w:sz w:val="12"/>
                <w:szCs w:val="12"/>
                <w:color w:val="auto"/>
              </w:rPr>
            </w:pPr>
          </w:p>
        </w:tc>
        <w:tc>
          <w:tcPr>
            <w:tcW w:w="3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4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040" w:type="dxa"/>
            <w:vAlign w:val="bottom"/>
          </w:tcPr>
          <w:p>
            <w:pPr>
              <w:ind w:left="1800"/>
              <w:spacing w:after="0" w:line="318" w:lineRule="exact"/>
              <w:rPr>
                <w:sz w:val="20"/>
                <w:szCs w:val="20"/>
                <w:color w:val="auto"/>
              </w:rPr>
            </w:pPr>
            <w:r>
              <w:rPr>
                <w:rFonts w:ascii="Times New Roman" w:cs="Times New Roman" w:eastAsia="Times New Roman" w:hAnsi="Times New Roman"/>
                <w:sz w:val="20"/>
                <w:szCs w:val="20"/>
                <w:color w:val="auto"/>
              </w:rPr>
              <w:t xml:space="preserve">(b) </w:t>
            </w:r>
            <w:r>
              <w:rPr>
                <w:rFonts w:ascii="Wingdings" w:cs="Wingdings" w:eastAsia="Wingdings" w:hAnsi="Wingdings"/>
                <w:sz w:val="28"/>
                <w:szCs w:val="28"/>
                <w:b w:val="1"/>
                <w:bCs w:val="1"/>
                <w:color w:val="auto"/>
              </w:rPr>
              <w:t>x</w:t>
            </w:r>
          </w:p>
        </w:tc>
        <w:tc>
          <w:tcPr>
            <w:tcW w:w="0" w:type="dxa"/>
            <w:vAlign w:val="bottom"/>
          </w:tcPr>
          <w:p>
            <w:pPr>
              <w:spacing w:after="0"/>
              <w:rPr>
                <w:sz w:val="1"/>
                <w:szCs w:val="1"/>
                <w:color w:val="auto"/>
              </w:rPr>
            </w:pPr>
          </w:p>
        </w:tc>
      </w:tr>
    </w:tbl>
    <w:p>
      <w:pPr>
        <w:ind w:left="1920" w:hanging="1079"/>
        <w:spacing w:after="0" w:line="185" w:lineRule="auto"/>
        <w:tabs>
          <w:tab w:leader="none" w:pos="1920" w:val="left"/>
        </w:tabs>
        <w:numPr>
          <w:ilvl w:val="0"/>
          <w:numId w:val="7"/>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United States</w:t>
            </w: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6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60" w:type="dxa"/>
            <w:vAlign w:val="bottom"/>
          </w:tcPr>
          <w:p>
            <w:pPr>
              <w:spacing w:after="0"/>
              <w:rPr>
                <w:sz w:val="8"/>
                <w:szCs w:val="8"/>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788,545</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60" w:type="dxa"/>
            <w:vAlign w:val="bottom"/>
          </w:tcPr>
          <w:p>
            <w:pPr>
              <w:spacing w:after="0"/>
              <w:rPr>
                <w:sz w:val="8"/>
                <w:szCs w:val="8"/>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788,545</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gridSpan w:val="2"/>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788,545</w:t>
            </w:r>
          </w:p>
        </w:tc>
        <w:tc>
          <w:tcPr>
            <w:tcW w:w="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3"/>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gridSpan w:val="2"/>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gridSpan w:val="2"/>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IN</w:t>
            </w: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4" w:name="page5"/>
    <w:bookmarkEnd w:id="4"/>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032724106</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7 Pages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212"/>
        </w:trPr>
        <w:tc>
          <w:tcPr>
            <w:tcW w:w="1260" w:type="dxa"/>
            <w:vAlign w:val="bottom"/>
          </w:tcPr>
          <w:p>
            <w:pPr>
              <w:spacing w:after="0"/>
              <w:rPr>
                <w:sz w:val="18"/>
                <w:szCs w:val="18"/>
                <w:color w:val="auto"/>
              </w:rPr>
            </w:pPr>
          </w:p>
        </w:tc>
        <w:tc>
          <w:tcPr>
            <w:tcW w:w="9980" w:type="dxa"/>
            <w:vAlign w:val="bottom"/>
            <w:gridSpan w:val="11"/>
          </w:tcPr>
          <w:p>
            <w:pPr>
              <w:ind w:left="440"/>
              <w:spacing w:after="0" w:line="212" w:lineRule="exact"/>
              <w:rPr>
                <w:sz w:val="20"/>
                <w:szCs w:val="20"/>
                <w:color w:val="auto"/>
              </w:rPr>
            </w:pPr>
            <w:r>
              <w:rPr>
                <w:rFonts w:ascii="Times New Roman" w:cs="Times New Roman" w:eastAsia="Times New Roman" w:hAnsi="Times New Roman"/>
                <w:sz w:val="20"/>
                <w:szCs w:val="20"/>
                <w:color w:val="auto"/>
              </w:rPr>
              <w:t>Anaptysbio, Inc. (the “Issuer”).</w:t>
            </w:r>
          </w:p>
        </w:tc>
      </w:tr>
      <w:tr>
        <w:trPr>
          <w:trHeight w:val="20"/>
        </w:trPr>
        <w:tc>
          <w:tcPr>
            <w:tcW w:w="1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43"/>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258"/>
        </w:trPr>
        <w:tc>
          <w:tcPr>
            <w:tcW w:w="1260" w:type="dxa"/>
            <w:vAlign w:val="bottom"/>
          </w:tcPr>
          <w:p>
            <w:pPr>
              <w:spacing w:after="0"/>
              <w:rPr>
                <w:sz w:val="22"/>
                <w:szCs w:val="22"/>
                <w:color w:val="auto"/>
              </w:rPr>
            </w:pP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10770 Wateridge Circle, Suite 210, San Diego, CA 92121.</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212"/>
        </w:trPr>
        <w:tc>
          <w:tcPr>
            <w:tcW w:w="1260" w:type="dxa"/>
            <w:vAlign w:val="bottom"/>
          </w:tcPr>
          <w:p>
            <w:pPr>
              <w:spacing w:after="0"/>
              <w:rPr>
                <w:sz w:val="18"/>
                <w:szCs w:val="18"/>
                <w:color w:val="auto"/>
              </w:rPr>
            </w:pPr>
          </w:p>
        </w:tc>
        <w:tc>
          <w:tcPr>
            <w:tcW w:w="9980" w:type="dxa"/>
            <w:vAlign w:val="bottom"/>
            <w:gridSpan w:val="11"/>
          </w:tcPr>
          <w:p>
            <w:pPr>
              <w:ind w:left="440"/>
              <w:spacing w:after="0" w:line="212" w:lineRule="exact"/>
              <w:rPr>
                <w:sz w:val="20"/>
                <w:szCs w:val="20"/>
                <w:color w:val="auto"/>
              </w:rPr>
            </w:pPr>
            <w:r>
              <w:rPr>
                <w:rFonts w:ascii="Times New Roman" w:cs="Times New Roman" w:eastAsia="Times New Roman" w:hAnsi="Times New Roman"/>
                <w:sz w:val="20"/>
                <w:szCs w:val="20"/>
                <w:color w:val="auto"/>
              </w:rPr>
              <w:t>This statement is filed by: (i) Point72 Asset Management, L.P. (“Point72 Asset Management”) with respect to shares</w:t>
            </w:r>
          </w:p>
        </w:tc>
      </w:tr>
      <w:tr>
        <w:trPr>
          <w:trHeight w:val="20"/>
        </w:trPr>
        <w:tc>
          <w:tcPr>
            <w:tcW w:w="126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9980" w:type="dxa"/>
            <w:vAlign w:val="bottom"/>
            <w:gridSpan w:val="11"/>
          </w:tcPr>
          <w:p>
            <w:pPr>
              <w:ind w:left="440"/>
              <w:spacing w:after="0" w:line="209" w:lineRule="exact"/>
              <w:rPr>
                <w:sz w:val="20"/>
                <w:szCs w:val="20"/>
                <w:color w:val="auto"/>
              </w:rPr>
            </w:pPr>
            <w:r>
              <w:rPr>
                <w:rFonts w:ascii="Times New Roman" w:cs="Times New Roman" w:eastAsia="Times New Roman" w:hAnsi="Times New Roman"/>
                <w:sz w:val="20"/>
                <w:szCs w:val="20"/>
                <w:color w:val="auto"/>
              </w:rPr>
              <w:t>of common stock, par value $0.001 per share (“Shares”), of the Issuer held by an investment fund it manages; (ii)</w:t>
            </w:r>
          </w:p>
        </w:tc>
      </w:tr>
      <w:tr>
        <w:trPr>
          <w:trHeight w:val="20"/>
        </w:trPr>
        <w:tc>
          <w:tcPr>
            <w:tcW w:w="126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9980" w:type="dxa"/>
            <w:vAlign w:val="bottom"/>
            <w:gridSpan w:val="11"/>
          </w:tcPr>
          <w:p>
            <w:pPr>
              <w:ind w:left="440"/>
              <w:spacing w:after="0" w:line="209" w:lineRule="exact"/>
              <w:rPr>
                <w:sz w:val="20"/>
                <w:szCs w:val="20"/>
                <w:color w:val="auto"/>
              </w:rPr>
            </w:pPr>
            <w:r>
              <w:rPr>
                <w:rFonts w:ascii="Times New Roman" w:cs="Times New Roman" w:eastAsia="Times New Roman" w:hAnsi="Times New Roman"/>
                <w:sz w:val="20"/>
                <w:szCs w:val="20"/>
                <w:color w:val="auto"/>
              </w:rPr>
              <w:t>Point72 Capital Advisors, Inc. (“Point72 Capital Advisors Inc.”) with respect to Shares held by an investment fund</w:t>
            </w:r>
          </w:p>
        </w:tc>
      </w:tr>
      <w:tr>
        <w:trPr>
          <w:trHeight w:val="20"/>
        </w:trPr>
        <w:tc>
          <w:tcPr>
            <w:tcW w:w="126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2360" w:type="dxa"/>
            <w:vAlign w:val="bottom"/>
            <w:gridSpan w:val="3"/>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9980" w:type="dxa"/>
            <w:vAlign w:val="bottom"/>
            <w:gridSpan w:val="11"/>
          </w:tcPr>
          <w:p>
            <w:pPr>
              <w:ind w:left="440"/>
              <w:spacing w:after="0" w:line="209" w:lineRule="exact"/>
              <w:rPr>
                <w:sz w:val="20"/>
                <w:szCs w:val="20"/>
                <w:color w:val="auto"/>
              </w:rPr>
            </w:pPr>
            <w:r>
              <w:rPr>
                <w:rFonts w:ascii="Times New Roman" w:cs="Times New Roman" w:eastAsia="Times New Roman" w:hAnsi="Times New Roman"/>
                <w:sz w:val="20"/>
                <w:szCs w:val="20"/>
                <w:color w:val="auto"/>
              </w:rPr>
              <w:t>managed by Point72 Asset Management; and (iii) Steven A. Cohen (“Mr. Cohen”) with respect to Shares beneficially</w:t>
            </w:r>
          </w:p>
        </w:tc>
      </w:tr>
      <w:tr>
        <w:trPr>
          <w:trHeight w:val="20"/>
        </w:trPr>
        <w:tc>
          <w:tcPr>
            <w:tcW w:w="1260" w:type="dxa"/>
            <w:vAlign w:val="bottom"/>
          </w:tcPr>
          <w:p>
            <w:pPr>
              <w:spacing w:after="0" w:line="20" w:lineRule="exact"/>
              <w:rPr>
                <w:sz w:val="1"/>
                <w:szCs w:val="1"/>
                <w:color w:val="auto"/>
              </w:rPr>
            </w:pPr>
          </w:p>
        </w:tc>
        <w:tc>
          <w:tcPr>
            <w:tcW w:w="6040" w:type="dxa"/>
            <w:vAlign w:val="bottom"/>
            <w:gridSpan w:val="8"/>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owned by Point72 Asset Management and Point72 Capital Advisors Inc.</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w:t>
            </w:r>
          </w:p>
        </w:tc>
      </w:tr>
      <w:tr>
        <w:trPr>
          <w:trHeight w:val="230"/>
        </w:trPr>
        <w:tc>
          <w:tcPr>
            <w:tcW w:w="1260" w:type="dxa"/>
            <w:vAlign w:val="bottom"/>
          </w:tcPr>
          <w:p>
            <w:pPr>
              <w:spacing w:after="0"/>
              <w:rPr>
                <w:sz w:val="19"/>
                <w:szCs w:val="19"/>
                <w:color w:val="auto"/>
              </w:rPr>
            </w:pP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The address of the principal business office of Point72 Asset Management, Point72 Capital Advisors Inc., and Mr.</w:t>
            </w:r>
          </w:p>
        </w:tc>
      </w:tr>
      <w:tr>
        <w:trPr>
          <w:trHeight w:val="258"/>
        </w:trPr>
        <w:tc>
          <w:tcPr>
            <w:tcW w:w="1260" w:type="dxa"/>
            <w:vAlign w:val="bottom"/>
          </w:tcPr>
          <w:p>
            <w:pPr>
              <w:spacing w:after="0"/>
              <w:rPr>
                <w:sz w:val="22"/>
                <w:szCs w:val="22"/>
                <w:color w:val="auto"/>
              </w:rPr>
            </w:pP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Cohen is 72 Cummings Point Road, Stamford, CT 06902.</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Place of Organization.</w:t>
            </w:r>
          </w:p>
        </w:tc>
      </w:tr>
      <w:tr>
        <w:trPr>
          <w:trHeight w:val="229"/>
        </w:trPr>
        <w:tc>
          <w:tcPr>
            <w:tcW w:w="1260" w:type="dxa"/>
            <w:vAlign w:val="bottom"/>
          </w:tcPr>
          <w:p>
            <w:pPr>
              <w:spacing w:after="0"/>
              <w:rPr>
                <w:sz w:val="19"/>
                <w:szCs w:val="19"/>
                <w:color w:val="auto"/>
              </w:rPr>
            </w:pP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Point72 Asset Management is a Delaware limited partnership. Point72 Capital Advisors Inc. is a Delaware</w:t>
            </w:r>
          </w:p>
        </w:tc>
      </w:tr>
      <w:tr>
        <w:trPr>
          <w:trHeight w:val="258"/>
        </w:trPr>
        <w:tc>
          <w:tcPr>
            <w:tcW w:w="1260" w:type="dxa"/>
            <w:vAlign w:val="bottom"/>
          </w:tcPr>
          <w:p>
            <w:pPr>
              <w:spacing w:after="0"/>
              <w:rPr>
                <w:sz w:val="22"/>
                <w:szCs w:val="22"/>
                <w:color w:val="auto"/>
              </w:rPr>
            </w:pP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corporation. Mr. Cohen is a United States citizen.</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258"/>
        </w:trPr>
        <w:tc>
          <w:tcPr>
            <w:tcW w:w="1260" w:type="dxa"/>
            <w:vAlign w:val="bottom"/>
          </w:tcPr>
          <w:p>
            <w:pPr>
              <w:spacing w:after="0"/>
              <w:rPr>
                <w:sz w:val="22"/>
                <w:szCs w:val="22"/>
                <w:color w:val="auto"/>
              </w:rPr>
            </w:pP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Common Stock, par value $0.001 per share.</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CUSIP Number.</w:t>
            </w:r>
          </w:p>
        </w:tc>
      </w:tr>
      <w:tr>
        <w:trPr>
          <w:trHeight w:val="258"/>
        </w:trPr>
        <w:tc>
          <w:tcPr>
            <w:tcW w:w="1260" w:type="dxa"/>
            <w:vAlign w:val="bottom"/>
          </w:tcPr>
          <w:p>
            <w:pPr>
              <w:spacing w:after="0"/>
              <w:rPr>
                <w:sz w:val="22"/>
                <w:szCs w:val="22"/>
                <w:color w:val="auto"/>
              </w:rPr>
            </w:pPr>
          </w:p>
        </w:tc>
        <w:tc>
          <w:tcPr>
            <w:tcW w:w="22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032724106</w:t>
            </w: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42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3.</w:t>
            </w: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If this Statement is Filed Pursuant to §§ 240.13d-1(b) or 240.13d-2(b), or (c), check whether the Person Filing is</w:t>
            </w:r>
          </w:p>
        </w:tc>
      </w:tr>
      <w:tr>
        <w:trPr>
          <w:trHeight w:val="233"/>
        </w:trPr>
        <w:tc>
          <w:tcPr>
            <w:tcW w:w="1260" w:type="dxa"/>
            <w:vAlign w:val="bottom"/>
          </w:tcPr>
          <w:p>
            <w:pPr>
              <w:spacing w:after="0"/>
              <w:rPr>
                <w:sz w:val="20"/>
                <w:szCs w:val="20"/>
                <w:color w:val="auto"/>
              </w:rPr>
            </w:pP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a:</w:t>
            </w:r>
          </w:p>
        </w:tc>
      </w:tr>
      <w:tr>
        <w:trPr>
          <w:trHeight w:val="258"/>
        </w:trPr>
        <w:tc>
          <w:tcPr>
            <w:tcW w:w="1260" w:type="dxa"/>
            <w:vAlign w:val="bottom"/>
          </w:tcPr>
          <w:p>
            <w:pPr>
              <w:spacing w:after="0"/>
              <w:rPr>
                <w:sz w:val="22"/>
                <w:szCs w:val="22"/>
                <w:color w:val="auto"/>
              </w:rPr>
            </w:pP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Not applicable.</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4.</w:t>
            </w: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Ownership.</w:t>
            </w:r>
          </w:p>
        </w:tc>
      </w:tr>
      <w:tr>
        <w:trPr>
          <w:trHeight w:val="230"/>
        </w:trPr>
        <w:tc>
          <w:tcPr>
            <w:tcW w:w="1260" w:type="dxa"/>
            <w:vAlign w:val="bottom"/>
          </w:tcPr>
          <w:p>
            <w:pPr>
              <w:spacing w:after="0"/>
              <w:rPr>
                <w:sz w:val="19"/>
                <w:szCs w:val="19"/>
                <w:color w:val="auto"/>
              </w:rPr>
            </w:pP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Reporting</w:t>
            </w:r>
          </w:p>
        </w:tc>
      </w:tr>
      <w:tr>
        <w:trPr>
          <w:trHeight w:val="230"/>
        </w:trPr>
        <w:tc>
          <w:tcPr>
            <w:tcW w:w="1260" w:type="dxa"/>
            <w:vAlign w:val="bottom"/>
          </w:tcPr>
          <w:p>
            <w:pPr>
              <w:spacing w:after="0"/>
              <w:rPr>
                <w:sz w:val="19"/>
                <w:szCs w:val="19"/>
                <w:color w:val="auto"/>
              </w:rPr>
            </w:pP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Person hereto and is incorporated herein by reference for each Reporting Person. Such information is as of the close of</w:t>
            </w:r>
          </w:p>
        </w:tc>
      </w:tr>
      <w:tr>
        <w:trPr>
          <w:trHeight w:val="258"/>
        </w:trPr>
        <w:tc>
          <w:tcPr>
            <w:tcW w:w="1260" w:type="dxa"/>
            <w:vAlign w:val="bottom"/>
          </w:tcPr>
          <w:p>
            <w:pPr>
              <w:spacing w:after="0"/>
              <w:rPr>
                <w:sz w:val="22"/>
                <w:szCs w:val="22"/>
                <w:color w:val="auto"/>
              </w:rPr>
            </w:pP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business on December 31, 2023.</w:t>
            </w:r>
          </w:p>
        </w:tc>
      </w:tr>
      <w:tr>
        <w:trPr>
          <w:trHeight w:val="430"/>
        </w:trPr>
        <w:tc>
          <w:tcPr>
            <w:tcW w:w="1260" w:type="dxa"/>
            <w:vAlign w:val="bottom"/>
          </w:tcPr>
          <w:p>
            <w:pPr>
              <w:spacing w:after="0"/>
              <w:rPr>
                <w:sz w:val="24"/>
                <w:szCs w:val="24"/>
                <w:color w:val="auto"/>
              </w:rPr>
            </w:pP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Point72 Asset Management, Point72 Capital Advisors Inc., and Mr. Cohen own directly no Shares. Pursuant to an</w:t>
            </w:r>
          </w:p>
        </w:tc>
      </w:tr>
      <w:tr>
        <w:trPr>
          <w:trHeight w:val="230"/>
        </w:trPr>
        <w:tc>
          <w:tcPr>
            <w:tcW w:w="1260" w:type="dxa"/>
            <w:vAlign w:val="bottom"/>
          </w:tcPr>
          <w:p>
            <w:pPr>
              <w:spacing w:after="0"/>
              <w:rPr>
                <w:sz w:val="19"/>
                <w:szCs w:val="19"/>
                <w:color w:val="auto"/>
              </w:rPr>
            </w:pP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investment management agreement, Point72 Asset Management maintains investment and voting power with respect</w:t>
            </w:r>
          </w:p>
        </w:tc>
      </w:tr>
      <w:tr>
        <w:trPr>
          <w:trHeight w:val="230"/>
        </w:trPr>
        <w:tc>
          <w:tcPr>
            <w:tcW w:w="1260" w:type="dxa"/>
            <w:vAlign w:val="bottom"/>
          </w:tcPr>
          <w:p>
            <w:pPr>
              <w:spacing w:after="0"/>
              <w:rPr>
                <w:sz w:val="19"/>
                <w:szCs w:val="19"/>
                <w:color w:val="auto"/>
              </w:rPr>
            </w:pP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to the securities held by an investment fund it manages. Point72 Capital Advisors Inc. is the general partner of Point72</w:t>
            </w:r>
          </w:p>
        </w:tc>
      </w:tr>
      <w:tr>
        <w:trPr>
          <w:trHeight w:val="229"/>
        </w:trPr>
        <w:tc>
          <w:tcPr>
            <w:tcW w:w="1260" w:type="dxa"/>
            <w:vAlign w:val="bottom"/>
          </w:tcPr>
          <w:p>
            <w:pPr>
              <w:spacing w:after="0"/>
              <w:rPr>
                <w:sz w:val="19"/>
                <w:szCs w:val="19"/>
                <w:color w:val="auto"/>
              </w:rPr>
            </w:pP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Asset Management. Mr. Cohen controls each of Point72 Asset Management and Point72 Capital Advisors Inc. The</w:t>
            </w:r>
          </w:p>
        </w:tc>
      </w:tr>
      <w:tr>
        <w:trPr>
          <w:trHeight w:val="230"/>
        </w:trPr>
        <w:tc>
          <w:tcPr>
            <w:tcW w:w="1260" w:type="dxa"/>
            <w:vAlign w:val="bottom"/>
          </w:tcPr>
          <w:p>
            <w:pPr>
              <w:spacing w:after="0"/>
              <w:rPr>
                <w:sz w:val="19"/>
                <w:szCs w:val="19"/>
                <w:color w:val="auto"/>
              </w:rPr>
            </w:pP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filing of this statement should not be construed as an admission that any of the foregoing persons or any Reporting</w:t>
            </w:r>
          </w:p>
        </w:tc>
      </w:tr>
      <w:tr>
        <w:trPr>
          <w:trHeight w:val="258"/>
        </w:trPr>
        <w:tc>
          <w:tcPr>
            <w:tcW w:w="1260" w:type="dxa"/>
            <w:vAlign w:val="bottom"/>
          </w:tcPr>
          <w:p>
            <w:pPr>
              <w:spacing w:after="0"/>
              <w:rPr>
                <w:sz w:val="22"/>
                <w:szCs w:val="22"/>
                <w:color w:val="auto"/>
              </w:rPr>
            </w:pPr>
          </w:p>
        </w:tc>
        <w:tc>
          <w:tcPr>
            <w:tcW w:w="99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Person is, for the purposes of Section 13 of the Act, the beneficial owner of the Shares reported herein.</w:t>
            </w:r>
          </w:p>
        </w:tc>
      </w:tr>
    </w:tbl>
    <w:p>
      <w:pPr>
        <w:sectPr>
          <w:pgSz w:w="11900" w:h="16838" w:orient="portrait"/>
          <w:cols w:equalWidth="0" w:num="1">
            <w:col w:w="11240"/>
          </w:cols>
          <w:pgMar w:left="320" w:top="225" w:right="339" w:bottom="1440" w:gutter="0" w:footer="0" w:header="0"/>
        </w:sectPr>
      </w:pPr>
    </w:p>
    <w:bookmarkStart w:id="5" w:name="page6"/>
    <w:bookmarkEnd w:id="5"/>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032724106</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7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6" w:lineRule="exact"/>
        <w:rPr>
          <w:sz w:val="20"/>
          <w:szCs w:val="20"/>
          <w:color w:val="auto"/>
        </w:rPr>
      </w:pPr>
    </w:p>
    <w:p>
      <w:pPr>
        <w:ind w:left="1700" w:right="480"/>
        <w:spacing w:after="0" w:line="246"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5 percent of the class of securities, check the following [X].</w:t>
      </w:r>
    </w:p>
    <w:p>
      <w:pPr>
        <w:spacing w:after="0" w:line="191" w:lineRule="exact"/>
        <w:rPr>
          <w:sz w:val="20"/>
          <w:szCs w:val="20"/>
          <w:color w:val="auto"/>
        </w:rPr>
      </w:pPr>
    </w:p>
    <w:p>
      <w:pPr>
        <w:ind w:left="10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See Item 2(a).</w:t>
      </w:r>
    </w:p>
    <w:p>
      <w:pPr>
        <w:spacing w:after="0" w:line="203" w:lineRule="exact"/>
        <w:rPr>
          <w:sz w:val="20"/>
          <w:szCs w:val="20"/>
          <w:color w:val="auto"/>
        </w:rPr>
      </w:pPr>
    </w:p>
    <w:p>
      <w:pPr>
        <w:ind w:left="10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Identification and Classification of the Subsidiary Which Acquired the Security Being Reported on by the</w:t>
      </w:r>
    </w:p>
    <w:p>
      <w:pPr>
        <w:spacing w:after="0" w:line="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b w:val="1"/>
          <w:bCs w:val="1"/>
          <w:color w:val="auto"/>
        </w:rPr>
        <w:t>Parent Holding Company or Control Person.</w:t>
      </w:r>
    </w:p>
    <w:p>
      <w:pPr>
        <w:ind w:left="17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By signing below each Reporting Person certifies that, to the best of its knowledge and belief, the securities referred to</w:t>
      </w:r>
    </w:p>
    <w:p>
      <w:pPr>
        <w:spacing w:after="0" w:line="1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above were not acquired and are not held for the purpose of or with the effect of changing or influencing the control of</w:t>
      </w:r>
    </w:p>
    <w:p>
      <w:pPr>
        <w:ind w:left="1700"/>
        <w:spacing w:after="0"/>
        <w:rPr>
          <w:sz w:val="20"/>
          <w:szCs w:val="20"/>
          <w:color w:val="auto"/>
        </w:rPr>
      </w:pPr>
      <w:r>
        <w:rPr>
          <w:rFonts w:ascii="Times New Roman" w:cs="Times New Roman" w:eastAsia="Times New Roman" w:hAnsi="Times New Roman"/>
          <w:sz w:val="20"/>
          <w:szCs w:val="20"/>
          <w:color w:val="auto"/>
        </w:rPr>
        <w:t>the issuer of the securities and were not acquired and are not held in connection with or as a participant in any</w:t>
      </w:r>
    </w:p>
    <w:p>
      <w:pPr>
        <w:ind w:left="1700"/>
        <w:spacing w:after="0"/>
        <w:rPr>
          <w:sz w:val="20"/>
          <w:szCs w:val="20"/>
          <w:color w:val="auto"/>
        </w:rPr>
      </w:pPr>
      <w:r>
        <w:rPr>
          <w:rFonts w:ascii="Times New Roman" w:cs="Times New Roman" w:eastAsia="Times New Roman" w:hAnsi="Times New Roman"/>
          <w:sz w:val="20"/>
          <w:szCs w:val="20"/>
          <w:color w:val="auto"/>
        </w:rPr>
        <w:t>transaction having that purpose or effect.</w:t>
      </w:r>
    </w:p>
    <w:p>
      <w:pPr>
        <w:sectPr>
          <w:pgSz w:w="11900" w:h="16838" w:orient="portrait"/>
          <w:cols w:equalWidth="0" w:num="1">
            <w:col w:w="11240"/>
          </w:cols>
          <w:pgMar w:left="320" w:top="225"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032724106</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SIGNATURE</w:t>
      </w:r>
    </w:p>
    <w:p>
      <w:pPr>
        <w:spacing w:after="0" w:line="220"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each of the undersigned certifies that the information set forth in this statement is true, complete and correct.</w:t>
      </w:r>
    </w:p>
    <w:p>
      <w:pPr>
        <w:spacing w:after="0" w:line="1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 February 14, 2024</w:t>
      </w:r>
    </w:p>
    <w:p>
      <w:pPr>
        <w:spacing w:after="0" w:line="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POINT72 ASSET MANAGEMENT, L.P.</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Jason M. Colombo</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Name: Jason M. Colombo</w:t>
      </w:r>
    </w:p>
    <w:p>
      <w:pPr>
        <w:ind w:left="550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POINT72 CAPITAL ADVISORS, INC.</w:t>
      </w:r>
    </w:p>
    <w:p>
      <w:pPr>
        <w:spacing w:after="0" w:line="2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Jason M. Colombo</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Name: Jason M. Colombo</w:t>
      </w:r>
    </w:p>
    <w:p>
      <w:pPr>
        <w:ind w:left="5500"/>
        <w:spacing w:after="0"/>
        <w:tabs>
          <w:tab w:leader="none" w:pos="61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Person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STEVEN A. COHEN</w:t>
      </w:r>
    </w:p>
    <w:p>
      <w:pPr>
        <w:spacing w:after="0" w:line="2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Jason M. Colombo</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Name: Jason M. Colombo</w:t>
      </w:r>
    </w:p>
    <w:p>
      <w:pPr>
        <w:ind w:left="5500"/>
        <w:spacing w:after="0"/>
        <w:tabs>
          <w:tab w:leader="none" w:pos="61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Person</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ý"/>
      <w:numFmt w:val="bullet"/>
      <w:start w:val="1"/>
    </w:lvl>
    <w:lvl w:ilvl="1">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3"/>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2024-02-14T09:03:10Z</dcterms:created>
  <dcterms:modified xsi:type="dcterms:W3CDTF">2024-02-14T09:03:10Z</dcterms:modified>
</cp:coreProperties>
</file>