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 PURSUANT TO</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November 20, 2025</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earliest event reported)</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ANAPTYSBIO, INC.</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7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9"/>
          <w:szCs w:val="19"/>
          <w:b w:val="1"/>
          <w:bCs w:val="1"/>
          <w:color w:val="auto"/>
        </w:rPr>
        <w:t>001-37985</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20-3828755</w:t>
      </w:r>
    </w:p>
    <w:p>
      <w:pPr>
        <w:spacing w:after="0" w:line="44"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9"/>
          <w:szCs w:val="19"/>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43"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10770 Wateridge Circle, Suite 210,</w:t>
      </w:r>
    </w:p>
    <w:p>
      <w:pPr>
        <w:spacing w:after="0" w:line="32"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0"/>
          <w:szCs w:val="20"/>
          <w:b w:val="1"/>
          <w:bCs w:val="1"/>
          <w:color w:val="auto"/>
        </w:rPr>
        <w:t>San Diego, CA 92121</w:t>
      </w:r>
    </w:p>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(858) 362-6295</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4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Written communication pursuant to Rule 425 under the Securities Act (17 CFR 230.425)</w:t>
      </w:r>
    </w:p>
    <w:p>
      <w:pPr>
        <w:spacing w:after="0" w:line="7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210" w:type="dxa"/>
        <w:tblCellMar>
          <w:top w:w="0" w:type="dxa"/>
          <w:left w:w="0" w:type="dxa"/>
          <w:bottom w:w="0" w:type="dxa"/>
          <w:right w:w="0" w:type="dxa"/>
        </w:tblCellMar>
      </w:tblPr>
      <w:tr>
        <w:trPr>
          <w:trHeight w:val="248"/>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36"/>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8"/>
        </w:trPr>
        <w:tc>
          <w:tcPr>
            <w:tcW w:w="39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ANAB</w:t>
            </w:r>
          </w:p>
        </w:tc>
        <w:tc>
          <w:tcPr>
            <w:tcW w:w="4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36"/>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292"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62"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6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8.01.</w:t>
      </w:r>
      <w:r>
        <w:rPr>
          <w:sz w:val="20"/>
          <w:szCs w:val="20"/>
          <w:color w:val="auto"/>
        </w:rPr>
        <w:tab/>
      </w:r>
      <w:r>
        <w:rPr>
          <w:rFonts w:ascii="Times New Roman" w:cs="Times New Roman" w:eastAsia="Times New Roman" w:hAnsi="Times New Roman"/>
          <w:sz w:val="19"/>
          <w:szCs w:val="19"/>
          <w:b w:val="1"/>
          <w:bCs w:val="1"/>
          <w:color w:val="auto"/>
        </w:rPr>
        <w:t>Other Events.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November 20, 2025, AnaptysBio, Inc. (</w:t>
      </w:r>
      <w:r>
        <w:rPr>
          <w:rFonts w:ascii="Times New Roman" w:cs="Times New Roman" w:eastAsia="Times New Roman" w:hAnsi="Times New Roman"/>
          <w:sz w:val="20"/>
          <w:szCs w:val="20"/>
          <w:b w:val="1"/>
          <w:bCs w:val="1"/>
          <w:i w:val="1"/>
          <w:iCs w:val="1"/>
          <w:color w:val="auto"/>
        </w:rPr>
        <w:t>AnaptysBio</w:t>
      </w:r>
      <w:r>
        <w:rPr>
          <w:rFonts w:ascii="Times New Roman" w:cs="Times New Roman" w:eastAsia="Times New Roman" w:hAnsi="Times New Roman"/>
          <w:sz w:val="20"/>
          <w:szCs w:val="20"/>
          <w:color w:val="auto"/>
        </w:rPr>
        <w:t>) filed a Verified Complaint (the “</w:t>
      </w:r>
      <w:r>
        <w:rPr>
          <w:rFonts w:ascii="Times New Roman" w:cs="Times New Roman" w:eastAsia="Times New Roman" w:hAnsi="Times New Roman"/>
          <w:sz w:val="20"/>
          <w:szCs w:val="20"/>
          <w:b w:val="1"/>
          <w:bCs w:val="1"/>
          <w:i w:val="1"/>
          <w:iCs w:val="1"/>
          <w:color w:val="auto"/>
        </w:rPr>
        <w:t>Complaint</w:t>
      </w:r>
      <w:r>
        <w:rPr>
          <w:rFonts w:ascii="Times New Roman" w:cs="Times New Roman" w:eastAsia="Times New Roman" w:hAnsi="Times New Roman"/>
          <w:sz w:val="20"/>
          <w:szCs w:val="20"/>
          <w:color w:val="auto"/>
        </w:rPr>
        <w:t>”) in Delaware Chancery Court,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requesting a court declaration that TESARO, Inc. has materially breached the parties’ Collaboration and Exclusive License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Collaboration Agreement</w:t>
      </w:r>
      <w:r>
        <w:rPr>
          <w:rFonts w:ascii="Times New Roman" w:cs="Times New Roman" w:eastAsia="Times New Roman" w:hAnsi="Times New Roman"/>
          <w:sz w:val="19"/>
          <w:szCs w:val="19"/>
          <w:color w:val="auto"/>
        </w:rPr>
        <w:t>”) and that GlaxoSmithKline (“</w:t>
      </w:r>
      <w:r>
        <w:rPr>
          <w:rFonts w:ascii="Times New Roman" w:cs="Times New Roman" w:eastAsia="Times New Roman" w:hAnsi="Times New Roman"/>
          <w:sz w:val="19"/>
          <w:szCs w:val="19"/>
          <w:b w:val="1"/>
          <w:bCs w:val="1"/>
          <w:i w:val="1"/>
          <w:iCs w:val="1"/>
          <w:color w:val="auto"/>
        </w:rPr>
        <w:t>GSK</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Tesaro’s corporate parent, has tortiously interfered with the Collaboration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AnaptysBio has requested that the court declare that AnaptysBio is entitled to all rights and remedies under the Collaboration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w:t>
      </w:r>
    </w:p>
    <w:p>
      <w:pPr>
        <w:spacing w:after="0" w:line="20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The Complaint contends that Tesaro breached, and GSK induced Tesaro to breach, multiple material Collaboration Agreement terms. Under these terms, Tesaro agreed that it would not conduct or participate in research, development, manufacturing or commercialization of any PD-1 antagonist other than those licensed by AnaptysBio to Tesaro. The Collaboration Agreement also provides that Tesaro will “use Commercially Reasonable Efforts to . . . obtain the optimum commercial return for [Jemperli] in all major markets throughout the world.”</w:t>
      </w:r>
    </w:p>
    <w:p>
      <w:pPr>
        <w:spacing w:after="0" w:line="18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 xml:space="preserve">Despite these obligations, the Complaint contends that Tesaro (i) violated its exclusivity obligations by participating in past, ongoing, and upcoming governed clinical trials with PD-1 antagonists that compete with Jemperli, including Keytruda, and (ii) failed to use Commercially Reasonable Efforts to obtain the “optimum commercial return” for Jemperli by, among other things, participating in a course of conduct with GSK to favor GSK’s antibody-drug conjugate (ADC) product candidates, including by pairing those ADCs with PD-1 antagonists that directly compete with </w:t>
      </w:r>
      <w:r>
        <w:rPr>
          <w:rFonts w:ascii="Times New Roman" w:cs="Times New Roman" w:eastAsia="Times New Roman" w:hAnsi="Times New Roman"/>
          <w:sz w:val="20"/>
          <w:szCs w:val="20"/>
          <w:i w:val="1"/>
          <w:iCs w:val="1"/>
          <w:color w:val="auto"/>
        </w:rPr>
        <w:t>Jemperli</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In 2020, AnaptysBio similarly filed a complaint against GSK regarding breaches of its obligations under the Collaboration Agreement. Those breaches at the time related to GSK’s planned clinical trial of Zejula, another of GSK’s oncology programs, in combination with Keytruda, without the consent of AnaptysBio. This planned trial violated Tesaro’s exclusivity obligations. This complaint resulted in a settlement that included a cash payment, a royalty on Zejula and a substantial increase in royalties on sales of Jemperli due to AnaptysBio.</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While AnaptysBio had approached Tesaro to engage in good faith discussions to potentially resolve these claims, on Nov. 20, 2025, Tesaro, without notice, initiated a lawsuit against AnaptysBio. Tesaro’s complaint includes requests for injunctive relief, claiming that AnaptysBio has breached the Collaboration Agreement. Tesaro’s claim for breach is predicated on an allegation that AnaptysBio has improperly alleged that Tesaro had breached the Collaboration Agreement. Tesaro seeks to improperly restrain AnaptysBio from exercising its legal rights under the Collaboration Agreement in violation of Delaware’s anti-SLAPP statute and other legal protections. AnaptysBio contends that Tesaro’s claims are entirely without merit and intends to pursue all appropriate legal remedies against Tesaro, including dismissal of such claims at the earliest opportunity and the potential for additional litigation.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parties have agreed to request an expedited schedule with the Delaware Chancery Court, with trial anticipated in July 2026.</w:t>
      </w:r>
    </w:p>
    <w:p>
      <w:pPr>
        <w:spacing w:after="0" w:line="229" w:lineRule="exact"/>
        <w:rPr>
          <w:sz w:val="20"/>
          <w:szCs w:val="20"/>
          <w:color w:val="auto"/>
        </w:rPr>
      </w:pPr>
    </w:p>
    <w:p>
      <w:pPr>
        <w:ind w:right="960"/>
        <w:spacing w:after="0" w:line="269" w:lineRule="auto"/>
        <w:rPr>
          <w:sz w:val="20"/>
          <w:szCs w:val="20"/>
          <w:color w:val="auto"/>
        </w:rPr>
      </w:pPr>
      <w:r>
        <w:rPr>
          <w:rFonts w:ascii="Times New Roman" w:cs="Times New Roman" w:eastAsia="Times New Roman" w:hAnsi="Times New Roman"/>
          <w:sz w:val="20"/>
          <w:szCs w:val="20"/>
          <w:color w:val="auto"/>
        </w:rPr>
        <w:t>Milestone and royalty payment obligations to AnaptysBio pursuant to the Collaboration Agreement continue to be due during the proceedings.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This filing contains forward-looking statements within the meaning of the “safe harbor” provisions of the Private Securities Litigation Reform Act of 1995, including, but not limited to, the potential termination of the Collaboration Agreement, the timing and potential outcome of proceedings in Delaware Chancery Court, the return of Jemperli to the company, and the nature of the remedies we may obtain in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18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proceedings. Statements including words such as “plan,” “seek,” “will,”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described under the heading “Risk Factors” in documents the company files from time to time with the Securities and Exchange Commission. These forward-looking statements speak only as of the date of this filing, and the company undertakes no obligation to revise or update any forward-looking statements to reflect events or circumstances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468630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00" w:lineRule="exact"/>
        <w:rPr>
          <w:sz w:val="20"/>
          <w:szCs w:val="20"/>
          <w:color w:val="auto"/>
        </w:rPr>
      </w:pPr>
    </w:p>
    <w:p>
      <w:pPr>
        <w:spacing w:after="0" w:line="22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AnaptysBio, Inc.</w:t>
      </w:r>
    </w:p>
    <w:p>
      <w:pPr>
        <w:spacing w:after="0" w:line="28" w:lineRule="exact"/>
        <w:rPr>
          <w:sz w:val="20"/>
          <w:szCs w:val="20"/>
          <w:color w:val="auto"/>
        </w:rPr>
      </w:pPr>
    </w:p>
    <w:p>
      <w:pPr>
        <w:ind w:left="20"/>
        <w:spacing w:after="0"/>
        <w:tabs>
          <w:tab w:leader="none" w:pos="4220" w:val="left"/>
          <w:tab w:leader="none" w:pos="4780" w:val="left"/>
        </w:tabs>
        <w:rPr>
          <w:sz w:val="20"/>
          <w:szCs w:val="20"/>
          <w:color w:val="auto"/>
        </w:rPr>
      </w:pPr>
      <w:r>
        <w:rPr>
          <w:rFonts w:ascii="Times New Roman" w:cs="Times New Roman" w:eastAsia="Times New Roman" w:hAnsi="Times New Roman"/>
          <w:sz w:val="20"/>
          <w:szCs w:val="20"/>
          <w:color w:val="auto"/>
        </w:rPr>
        <w:t>Date: November 21, 2025</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21590</wp:posOffset>
            </wp:positionV>
            <wp:extent cx="4097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97655" cy="8255"/>
                    </a:xfrm>
                    <a:prstGeom prst="rect">
                      <a:avLst/>
                    </a:prstGeom>
                    <a:noFill/>
                  </pic:spPr>
                </pic:pic>
              </a:graphicData>
            </a:graphic>
          </wp:anchor>
        </w:drawing>
      </w:r>
    </w:p>
    <w:p>
      <w:pPr>
        <w:spacing w:after="0" w:line="3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Name: Eric Loumeau</w:t>
      </w:r>
    </w:p>
    <w:p>
      <w:pPr>
        <w:spacing w:after="0" w:line="4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Title: Chief Legal Officer</w:t>
      </w:r>
    </w:p>
    <w:sectPr>
      <w:pgSz w:w="11900" w:h="16838" w:orient="portrait"/>
      <w:cols w:equalWidth="0" w:num="1">
        <w:col w:w="11220"/>
      </w:cols>
      <w:pgMar w:left="320" w:top="140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2025-11-21T08:03:33Z</dcterms:created>
  <dcterms:modified xsi:type="dcterms:W3CDTF">2025-11-21T08:03:33Z</dcterms:modified>
</cp:coreProperties>
</file>