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-199390</wp:posOffset>
            </wp:positionV>
            <wp:extent cx="26244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165735</wp:posOffset>
            </wp:positionV>
            <wp:extent cx="26244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3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183515</wp:posOffset>
            </wp:positionV>
            <wp:extent cx="2624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8" w:lineRule="exact"/>
        <w:rPr>
          <w:sz w:val="24"/>
          <w:szCs w:val="24"/>
          <w:color w:val="auto"/>
        </w:rPr>
      </w:pPr>
    </w:p>
    <w:p>
      <w:pPr>
        <w:ind w:left="3460"/>
        <w:spacing w:after="0"/>
        <w:tabs>
          <w:tab w:leader="none" w:pos="6760" w:val="left"/>
          <w:tab w:leader="none" w:pos="7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3705225</wp:posOffset>
            </wp:positionH>
            <wp:positionV relativeFrom="paragraph">
              <wp:posOffset>-7620</wp:posOffset>
            </wp:positionV>
            <wp:extent cx="1323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001-37985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ANAPTYSBIO, INC.</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180340</wp:posOffset>
            </wp:positionV>
            <wp:extent cx="26244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2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82" w:lineRule="exact"/>
        <w:rPr>
          <w:sz w:val="24"/>
          <w:szCs w:val="24"/>
          <w:color w:val="auto"/>
        </w:rPr>
      </w:pPr>
    </w:p>
    <w:p>
      <w:pPr>
        <w:sectPr>
          <w:pgSz w:w="11900" w:h="16838" w:orient="portrait"/>
          <w:cols w:equalWidth="0" w:num="2">
            <w:col w:w="7260" w:space="720"/>
            <w:col w:w="3440"/>
          </w:cols>
          <w:pgMar w:left="240" w:top="486" w:right="239" w:bottom="1440" w:gutter="0" w:footer="0" w:header="0"/>
          <w:type w:val="continuous"/>
        </w:sectPr>
      </w:pPr>
    </w:p>
    <w:p>
      <w:pPr>
        <w:ind w:left="216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3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30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6980" w:space="720"/>
            <w:col w:w="3720"/>
          </w:cols>
          <w:pgMar w:left="240" w:top="486" w:right="23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182245</wp:posOffset>
            </wp:positionV>
            <wp:extent cx="2624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p>
      <w:pPr>
        <w:spacing w:after="0" w:line="341"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8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080" w:type="dxa"/>
            <w:vAlign w:val="bottom"/>
          </w:tcPr>
          <w:p>
            <w:pPr>
              <w:ind w:left="580"/>
              <w:spacing w:after="0"/>
              <w:rPr>
                <w:sz w:val="20"/>
                <w:szCs w:val="20"/>
                <w:color w:val="auto"/>
              </w:rPr>
            </w:pPr>
            <w:r>
              <w:rPr>
                <w:rFonts w:ascii="Arial" w:cs="Arial" w:eastAsia="Arial" w:hAnsi="Arial"/>
                <w:sz w:val="18"/>
                <w:szCs w:val="18"/>
                <w:color w:val="auto"/>
              </w:rPr>
              <w:t>x (Do not check if a smaller reporting company)</w:t>
            </w:r>
          </w:p>
        </w:tc>
        <w:tc>
          <w:tcPr>
            <w:tcW w:w="3380" w:type="dxa"/>
            <w:vAlign w:val="bottom"/>
          </w:tcPr>
          <w:p>
            <w:pPr>
              <w:ind w:left="9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72"/>
        </w:trPr>
        <w:tc>
          <w:tcPr>
            <w:tcW w:w="21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380" w:type="dxa"/>
            <w:vAlign w:val="bottom"/>
          </w:tcPr>
          <w:p>
            <w:pPr>
              <w:ind w:left="9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20"/>
              <w:spacing w:after="0"/>
              <w:rPr>
                <w:sz w:val="20"/>
                <w:szCs w:val="20"/>
                <w:color w:val="auto"/>
              </w:rPr>
            </w:pPr>
            <w:r>
              <w:rPr>
                <w:rFonts w:ascii="Arial" w:cs="Arial" w:eastAsia="Arial" w:hAnsi="Arial"/>
                <w:sz w:val="18"/>
                <w:szCs w:val="18"/>
                <w:color w:val="auto"/>
              </w:rPr>
              <w:t>x</w:t>
            </w:r>
          </w:p>
        </w:tc>
      </w:tr>
    </w:tbl>
    <w:p>
      <w:pPr>
        <w:spacing w:after="0" w:line="67" w:lineRule="exact"/>
        <w:rPr>
          <w:sz w:val="24"/>
          <w:szCs w:val="24"/>
          <w:color w:val="auto"/>
        </w:rPr>
      </w:pPr>
    </w:p>
    <w:p>
      <w:pPr>
        <w:jc w:val="both"/>
        <w:ind w:right="140"/>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 w:lineRule="exact"/>
        <w:rPr>
          <w:sz w:val="24"/>
          <w:szCs w:val="24"/>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2017, there were 23,497,680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2320290</wp:posOffset>
            </wp:positionH>
            <wp:positionV relativeFrom="paragraph">
              <wp:posOffset>177800</wp:posOffset>
            </wp:positionV>
            <wp:extent cx="26244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140" w:type="dxa"/>
            <w:vAlign w:val="bottom"/>
            <w:gridSpan w:val="8"/>
          </w:tcPr>
          <w:p>
            <w:pPr>
              <w:jc w:val="center"/>
              <w:ind w:right="2160"/>
              <w:spacing w:after="0"/>
              <w:rPr>
                <w:sz w:val="20"/>
                <w:szCs w:val="20"/>
                <w:color w:val="auto"/>
              </w:rPr>
            </w:pPr>
            <w:r>
              <w:rPr>
                <w:rFonts w:ascii="Arial" w:cs="Arial" w:eastAsia="Arial" w:hAnsi="Arial"/>
                <w:sz w:val="22"/>
                <w:szCs w:val="22"/>
                <w:b w:val="1"/>
                <w:bCs w:val="1"/>
                <w:color w:val="auto"/>
                <w:w w:val="98"/>
              </w:rPr>
              <w:t>ANAPTYSBIO, INC.</w:t>
            </w:r>
          </w:p>
        </w:tc>
      </w:tr>
      <w:tr>
        <w:trPr>
          <w:trHeight w:val="281"/>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gridSpan w:val="8"/>
          </w:tcPr>
          <w:p>
            <w:pPr>
              <w:jc w:val="center"/>
              <w:ind w:right="2140"/>
              <w:spacing w:after="0"/>
              <w:rPr>
                <w:sz w:val="20"/>
                <w:szCs w:val="20"/>
                <w:color w:val="auto"/>
              </w:rPr>
            </w:pPr>
            <w:r>
              <w:rPr>
                <w:rFonts w:ascii="Arial" w:cs="Arial" w:eastAsia="Arial" w:hAnsi="Arial"/>
                <w:sz w:val="22"/>
                <w:szCs w:val="22"/>
                <w:b w:val="1"/>
                <w:bCs w:val="1"/>
                <w:color w:val="auto"/>
                <w:w w:val="97"/>
              </w:rPr>
              <w:t>TABLE OF CONTENTS</w:t>
            </w:r>
          </w:p>
        </w:tc>
      </w:tr>
      <w:tr>
        <w:trPr>
          <w:trHeight w:val="895"/>
        </w:trPr>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rPr>
              <w:t>PART I. FINANCIAL INFORMATION</w:t>
            </w:r>
          </w:p>
        </w:tc>
      </w:tr>
      <w:tr>
        <w:trPr>
          <w:trHeight w:val="405"/>
        </w:trPr>
        <w:tc>
          <w:tcPr>
            <w:tcW w:w="182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33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 (unaudited)</w:t>
              </w:r>
            </w:hyperlink>
          </w:p>
        </w:tc>
        <w:tc>
          <w:tcPr>
            <w:tcW w:w="4080" w:type="dxa"/>
            <w:vAlign w:val="bottom"/>
            <w:gridSpan w:val="7"/>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2017 and December 31, 2016</w:t>
              </w:r>
            </w:hyperlink>
          </w:p>
        </w:tc>
        <w:tc>
          <w:tcPr>
            <w:tcW w:w="1720" w:type="dxa"/>
            <w:vAlign w:val="bottom"/>
            <w:gridSpan w:val="3"/>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4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and Nine Months Ended</w:t>
              </w:r>
            </w:hyperlink>
          </w:p>
        </w:tc>
      </w:tr>
      <w:tr>
        <w:trPr>
          <w:trHeight w:val="196"/>
        </w:trPr>
        <w:tc>
          <w:tcPr>
            <w:tcW w:w="1820" w:type="dxa"/>
            <w:vAlign w:val="bottom"/>
          </w:tcPr>
          <w:p>
            <w:pPr>
              <w:spacing w:after="0"/>
              <w:rPr>
                <w:sz w:val="17"/>
                <w:szCs w:val="17"/>
                <w:color w:val="auto"/>
              </w:rPr>
            </w:pPr>
          </w:p>
        </w:tc>
        <w:tc>
          <w:tcPr>
            <w:tcW w:w="21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September 30, 2017 and 2016</w:t>
              </w:r>
            </w:hyperlink>
          </w:p>
        </w:tc>
        <w:tc>
          <w:tcPr>
            <w:tcW w:w="5300" w:type="dxa"/>
            <w:vAlign w:val="bottom"/>
            <w:gridSpan w:val="9"/>
          </w:tcPr>
          <w:p>
            <w:pPr>
              <w:spacing w:after="0"/>
              <w:rPr>
                <w:sz w:val="17"/>
                <w:szCs w:val="17"/>
                <w:color w:val="auto"/>
              </w:rPr>
            </w:pPr>
          </w:p>
        </w:tc>
      </w:tr>
      <w:tr>
        <w:trPr>
          <w:trHeight w:val="331"/>
        </w:trPr>
        <w:tc>
          <w:tcPr>
            <w:tcW w:w="1820" w:type="dxa"/>
            <w:vAlign w:val="bottom"/>
          </w:tcPr>
          <w:p>
            <w:pPr>
              <w:spacing w:after="0"/>
              <w:rPr>
                <w:sz w:val="24"/>
                <w:szCs w:val="24"/>
                <w:color w:val="auto"/>
              </w:rPr>
            </w:pPr>
          </w:p>
        </w:tc>
        <w:tc>
          <w:tcPr>
            <w:tcW w:w="7460" w:type="dxa"/>
            <w:vAlign w:val="bottom"/>
            <w:gridSpan w:val="17"/>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Cash Flows for the Nine Months Ended September 30, 2017 and 2016</w:t>
              </w:r>
            </w:hyperlink>
          </w:p>
        </w:tc>
      </w:tr>
      <w:tr>
        <w:trPr>
          <w:trHeight w:val="331"/>
        </w:trPr>
        <w:tc>
          <w:tcPr>
            <w:tcW w:w="1820" w:type="dxa"/>
            <w:vAlign w:val="bottom"/>
          </w:tcPr>
          <w:p>
            <w:pPr>
              <w:spacing w:after="0"/>
              <w:rPr>
                <w:sz w:val="24"/>
                <w:szCs w:val="24"/>
                <w:color w:val="auto"/>
              </w:rPr>
            </w:pPr>
          </w:p>
        </w:tc>
        <w:tc>
          <w:tcPr>
            <w:tcW w:w="708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the Unaudited Consolidated Financial Statements</w:t>
              </w:r>
            </w:hyperlink>
          </w:p>
        </w:tc>
        <w:tc>
          <w:tcPr>
            <w:tcW w:w="380" w:type="dxa"/>
            <w:vAlign w:val="bottom"/>
          </w:tcPr>
          <w:p>
            <w:pPr>
              <w:spacing w:after="0"/>
              <w:rPr>
                <w:sz w:val="24"/>
                <w:szCs w:val="24"/>
                <w:color w:val="auto"/>
              </w:rPr>
            </w:pPr>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0">
              <w:r>
                <w:rPr>
                  <w:rFonts w:ascii="Arial" w:cs="Arial" w:eastAsia="Arial" w:hAnsi="Arial"/>
                  <w:sz w:val="18"/>
                  <w:szCs w:val="18"/>
                  <w:color w:val="auto"/>
                </w:rPr>
                <w:t>Item 2.</w:t>
              </w:r>
            </w:hyperlink>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000" w:type="dxa"/>
            <w:vAlign w:val="bottom"/>
            <w:gridSpan w:val="2"/>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3.</w:t>
              </w:r>
            </w:hyperlink>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3100" w:type="dxa"/>
            <w:vAlign w:val="bottom"/>
            <w:gridSpan w:val="4"/>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29">
              <w:r>
                <w:rPr>
                  <w:rFonts w:ascii="Arial" w:cs="Arial" w:eastAsia="Arial" w:hAnsi="Arial"/>
                  <w:sz w:val="18"/>
                  <w:szCs w:val="18"/>
                  <w:color w:val="auto"/>
                </w:rPr>
                <w:t>Item 4.</w:t>
              </w:r>
            </w:hyperlink>
          </w:p>
        </w:tc>
        <w:tc>
          <w:tcPr>
            <w:tcW w:w="7460" w:type="dxa"/>
            <w:vAlign w:val="bottom"/>
            <w:gridSpan w:val="17"/>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r>
      <w:tr>
        <w:trPr>
          <w:trHeight w:val="696"/>
        </w:trPr>
        <w:tc>
          <w:tcPr>
            <w:tcW w:w="18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4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rPr>
              <w:t>PART II. OTHER INFORMATION</w:t>
            </w:r>
          </w:p>
        </w:tc>
      </w:tr>
      <w:tr>
        <w:trPr>
          <w:trHeight w:val="554"/>
        </w:trPr>
        <w:tc>
          <w:tcPr>
            <w:tcW w:w="1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w:t>
              </w:r>
            </w:hyperlink>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6120" w:type="dxa"/>
            <w:vAlign w:val="bottom"/>
            <w:gridSpan w:val="11"/>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30">
              <w:r>
                <w:rPr>
                  <w:rFonts w:ascii="Arial" w:cs="Arial" w:eastAsia="Arial" w:hAnsi="Arial"/>
                  <w:sz w:val="18"/>
                  <w:szCs w:val="18"/>
                  <w:color w:val="auto"/>
                </w:rPr>
                <w:t>Item 1A.</w:t>
              </w:r>
            </w:hyperlink>
          </w:p>
        </w:tc>
        <w:tc>
          <w:tcPr>
            <w:tcW w:w="74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r>
      <w:tr>
        <w:trPr>
          <w:trHeight w:val="20"/>
        </w:trPr>
        <w:tc>
          <w:tcPr>
            <w:tcW w:w="18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2.</w:t>
              </w:r>
            </w:hyperlink>
          </w:p>
        </w:tc>
        <w:tc>
          <w:tcPr>
            <w:tcW w:w="7460" w:type="dxa"/>
            <w:vAlign w:val="bottom"/>
            <w:gridSpan w:val="17"/>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Unregistered Sales of Equity Securities and Use of Proceeds</w:t>
              </w:r>
            </w:hyperlink>
          </w:p>
        </w:tc>
      </w:tr>
      <w:tr>
        <w:trPr>
          <w:trHeight w:val="331"/>
        </w:trPr>
        <w:tc>
          <w:tcPr>
            <w:tcW w:w="182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3.</w:t>
              </w:r>
            </w:hyperlink>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3120" w:type="dxa"/>
            <w:vAlign w:val="bottom"/>
            <w:gridSpan w:val="5"/>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4.</w:t>
              </w:r>
            </w:hyperlink>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5140" w:type="dxa"/>
            <w:vAlign w:val="bottom"/>
            <w:gridSpan w:val="8"/>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5.</w:t>
              </w:r>
            </w:hyperlink>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67">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5700" w:type="dxa"/>
            <w:vAlign w:val="bottom"/>
            <w:gridSpan w:val="10"/>
          </w:tcPr>
          <w:p>
            <w:pPr>
              <w:spacing w:after="0"/>
              <w:rPr>
                <w:sz w:val="24"/>
                <w:szCs w:val="24"/>
                <w:color w:val="auto"/>
              </w:rPr>
            </w:pPr>
          </w:p>
        </w:tc>
      </w:tr>
      <w:tr>
        <w:trPr>
          <w:trHeight w:val="331"/>
        </w:trPr>
        <w:tc>
          <w:tcPr>
            <w:tcW w:w="1820" w:type="dxa"/>
            <w:vAlign w:val="bottom"/>
          </w:tcPr>
          <w:p>
            <w:pPr>
              <w:spacing w:after="0"/>
              <w:rPr>
                <w:rFonts w:ascii="Arial" w:cs="Arial" w:eastAsia="Arial" w:hAnsi="Arial"/>
                <w:sz w:val="18"/>
                <w:szCs w:val="18"/>
                <w:color w:val="auto"/>
              </w:rPr>
            </w:pPr>
            <w:hyperlink w:anchor="page67">
              <w:r>
                <w:rPr>
                  <w:rFonts w:ascii="Arial" w:cs="Arial" w:eastAsia="Arial" w:hAnsi="Arial"/>
                  <w:sz w:val="18"/>
                  <w:szCs w:val="18"/>
                  <w:color w:val="auto"/>
                </w:rPr>
                <w:t>Item 6.</w:t>
              </w:r>
            </w:hyperlink>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Exhibits</w:t>
              </w:r>
            </w:hyperlink>
          </w:p>
        </w:tc>
        <w:tc>
          <w:tcPr>
            <w:tcW w:w="6860" w:type="dxa"/>
            <w:vAlign w:val="bottom"/>
            <w:gridSpan w:val="16"/>
          </w:tcPr>
          <w:p>
            <w:pPr>
              <w:spacing w:after="0"/>
              <w:rPr>
                <w:sz w:val="24"/>
                <w:szCs w:val="24"/>
                <w:color w:val="auto"/>
              </w:rPr>
            </w:pPr>
          </w:p>
        </w:tc>
      </w:tr>
      <w:tr>
        <w:trPr>
          <w:trHeight w:val="331"/>
        </w:trPr>
        <w:tc>
          <w:tcPr>
            <w:tcW w:w="1820" w:type="dxa"/>
            <w:vAlign w:val="bottom"/>
          </w:tcPr>
          <w:p>
            <w:pPr>
              <w:spacing w:after="0"/>
              <w:rPr>
                <w:sz w:val="24"/>
                <w:szCs w:val="24"/>
                <w:color w:val="auto"/>
              </w:rPr>
            </w:pPr>
          </w:p>
        </w:tc>
        <w:tc>
          <w:tcPr>
            <w:tcW w:w="7460" w:type="dxa"/>
            <w:vAlign w:val="bottom"/>
            <w:gridSpan w:val="1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 Index</w:t>
              </w:r>
            </w:hyperlink>
          </w:p>
        </w:tc>
      </w:tr>
      <w:tr>
        <w:trPr>
          <w:trHeight w:val="331"/>
        </w:trPr>
        <w:tc>
          <w:tcPr>
            <w:tcW w:w="182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69">
              <w:r>
                <w:rPr>
                  <w:rFonts w:ascii="Arial" w:cs="Arial" w:eastAsia="Arial" w:hAnsi="Arial"/>
                  <w:sz w:val="18"/>
                  <w:szCs w:val="18"/>
                  <w:color w:val="0000EE"/>
                  <w:w w:val="85"/>
                </w:rPr>
                <w:t>Signatures</w:t>
              </w:r>
            </w:hyperlink>
          </w:p>
        </w:tc>
        <w:tc>
          <w:tcPr>
            <w:tcW w:w="220" w:type="dxa"/>
            <w:vAlign w:val="bottom"/>
            <w:tcBorders>
              <w:top w:val="single" w:sz="8" w:color="0000EE"/>
            </w:tcBorders>
            <w:gridSpan w:val="2"/>
          </w:tcPr>
          <w:p>
            <w:pPr>
              <w:spacing w:after="0"/>
              <w:rPr>
                <w:sz w:val="24"/>
                <w:szCs w:val="24"/>
                <w:color w:val="auto"/>
              </w:rPr>
            </w:pPr>
          </w:p>
        </w:tc>
        <w:tc>
          <w:tcPr>
            <w:tcW w:w="6480" w:type="dxa"/>
            <w:vAlign w:val="bottom"/>
            <w:gridSpan w:val="13"/>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-4424680</wp:posOffset>
            </wp:positionV>
            <wp:extent cx="71780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-3978275</wp:posOffset>
            </wp:positionV>
            <wp:extent cx="717804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600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-3395345</wp:posOffset>
            </wp:positionV>
            <wp:extent cx="71780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-2949575</wp:posOffset>
            </wp:positionV>
            <wp:extent cx="717804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-2503805</wp:posOffset>
            </wp:positionV>
            <wp:extent cx="717804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-2125980</wp:posOffset>
            </wp:positionV>
            <wp:extent cx="71780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-1697355</wp:posOffset>
            </wp:positionV>
            <wp:extent cx="717804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-1251585</wp:posOffset>
            </wp:positionV>
            <wp:extent cx="717804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-805180</wp:posOffset>
            </wp:positionV>
            <wp:extent cx="717804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2288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-359410</wp:posOffset>
            </wp:positionV>
            <wp:extent cx="717804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53975</wp:posOffset>
            </wp:positionV>
            <wp:extent cx="10033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144" w:lineRule="exact"/>
        <w:rPr>
          <w:sz w:val="20"/>
          <w:szCs w:val="20"/>
          <w:color w:val="auto"/>
        </w:rPr>
      </w:pPr>
    </w:p>
    <w:p>
      <w:pPr>
        <w:ind w:left="46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p>
      <w:pPr>
        <w:spacing w:after="0" w:line="360" w:lineRule="exact"/>
        <w:rPr>
          <w:sz w:val="20"/>
          <w:szCs w:val="20"/>
          <w:color w:val="auto"/>
        </w:rPr>
      </w:pPr>
    </w:p>
    <w:p>
      <w:pPr>
        <w:ind w:left="460"/>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p>
      <w:pPr>
        <w:spacing w:after="0" w:line="144" w:lineRule="exact"/>
        <w:rPr>
          <w:sz w:val="20"/>
          <w:szCs w:val="20"/>
          <w:color w:val="auto"/>
        </w:rPr>
      </w:pPr>
    </w:p>
    <w:p>
      <w:pPr>
        <w:ind w:left="46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p>
      <w:pPr>
        <w:spacing w:after="0" w:line="144" w:lineRule="exact"/>
        <w:rPr>
          <w:sz w:val="20"/>
          <w:szCs w:val="20"/>
          <w:color w:val="auto"/>
        </w:rPr>
      </w:pPr>
    </w:p>
    <w:p>
      <w:pPr>
        <w:ind w:left="46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0">
        <w:r>
          <w:rPr>
            <w:rFonts w:ascii="Arial" w:cs="Arial" w:eastAsia="Arial" w:hAnsi="Arial"/>
            <w:sz w:val="18"/>
            <w:szCs w:val="18"/>
            <w:color w:val="auto"/>
          </w:rPr>
          <w:t>18</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7">
        <w:r>
          <w:rPr>
            <w:rFonts w:ascii="Arial" w:cs="Arial" w:eastAsia="Arial" w:hAnsi="Arial"/>
            <w:sz w:val="18"/>
            <w:szCs w:val="18"/>
            <w:color w:val="auto"/>
          </w:rPr>
          <w:t>65</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8">
        <w:r>
          <w:rPr>
            <w:rFonts w:ascii="Arial" w:cs="Arial" w:eastAsia="Arial" w:hAnsi="Arial"/>
            <w:sz w:val="18"/>
            <w:szCs w:val="18"/>
            <w:color w:val="auto"/>
          </w:rPr>
          <w:t>66</w:t>
        </w:r>
      </w:hyperlink>
    </w:p>
    <w:p>
      <w:pPr>
        <w:spacing w:after="0" w:line="144" w:lineRule="exact"/>
        <w:rPr>
          <w:sz w:val="20"/>
          <w:szCs w:val="20"/>
          <w:color w:val="auto"/>
        </w:rPr>
      </w:pPr>
    </w:p>
    <w:p>
      <w:pPr>
        <w:ind w:left="400"/>
        <w:spacing w:after="0"/>
        <w:rPr>
          <w:rFonts w:ascii="Arial" w:cs="Arial" w:eastAsia="Arial" w:hAnsi="Arial"/>
          <w:sz w:val="18"/>
          <w:szCs w:val="18"/>
          <w:color w:val="auto"/>
        </w:rPr>
      </w:pPr>
      <w:hyperlink w:anchor="page69">
        <w:r>
          <w:rPr>
            <w:rFonts w:ascii="Arial" w:cs="Arial" w:eastAsia="Arial" w:hAnsi="Arial"/>
            <w:sz w:val="18"/>
            <w:szCs w:val="18"/>
            <w:color w:val="auto"/>
          </w:rPr>
          <w:t>67</w:t>
        </w:r>
      </w:hyperlink>
    </w:p>
    <w:p>
      <w:pPr>
        <w:sectPr>
          <w:pgSz w:w="11900" w:h="16838" w:orient="portrait"/>
          <w:cols w:equalWidth="0" w:num="2">
            <w:col w:w="9280" w:space="720"/>
            <w:col w:w="980"/>
          </w:cols>
          <w:pgMar w:left="320" w:top="369" w:right="599" w:bottom="1440" w:gutter="0" w:footer="0" w:header="0"/>
        </w:sectPr>
      </w:pPr>
    </w:p>
    <w:bookmarkStart w:id="2" w:name="page3"/>
    <w:bookmarkEnd w:id="2"/>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6" w:lineRule="exact"/>
        <w:rPr>
          <w:sz w:val="20"/>
          <w:szCs w:val="20"/>
          <w:color w:val="auto"/>
        </w:rPr>
      </w:pPr>
    </w:p>
    <w:p>
      <w:pPr>
        <w:jc w:val="right"/>
        <w:ind w:right="260"/>
        <w:spacing w:after="0"/>
        <w:tabs>
          <w:tab w:leader="none" w:pos="1140" w:val="left"/>
        </w:tabs>
        <w:rPr>
          <w:sz w:val="20"/>
          <w:szCs w:val="20"/>
          <w:color w:val="auto"/>
        </w:rPr>
      </w:pPr>
      <w:r>
        <w:rPr>
          <w:rFonts w:ascii="Arial" w:cs="Arial" w:eastAsia="Arial" w:hAnsi="Arial"/>
          <w:sz w:val="14"/>
          <w:szCs w:val="14"/>
          <w:b w:val="1"/>
          <w:bCs w:val="1"/>
          <w:color w:val="auto"/>
        </w:rPr>
        <w:t>September 30, 2017</w:t>
      </w:r>
      <w:r>
        <w:rPr>
          <w:sz w:val="20"/>
          <w:szCs w:val="20"/>
          <w:color w:val="auto"/>
        </w:rPr>
        <w:tab/>
      </w:r>
      <w:r>
        <w:rPr>
          <w:rFonts w:ascii="Arial" w:cs="Arial" w:eastAsia="Arial" w:hAnsi="Arial"/>
          <w:sz w:val="12"/>
          <w:szCs w:val="12"/>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23495</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0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100" w:type="dxa"/>
            <w:vAlign w:val="bottom"/>
          </w:tcPr>
          <w:p>
            <w:pPr>
              <w:spacing w:after="0"/>
              <w:rPr>
                <w:sz w:val="20"/>
                <w:szCs w:val="20"/>
                <w:color w:val="auto"/>
              </w:rPr>
            </w:pPr>
            <w:r>
              <w:rPr>
                <w:rFonts w:ascii="Arial" w:cs="Arial" w:eastAsia="Arial" w:hAnsi="Arial"/>
                <w:sz w:val="16"/>
                <w:szCs w:val="16"/>
                <w:color w:val="auto"/>
              </w:rPr>
              <w:t>Receivable from collaborative partners</w:t>
            </w:r>
          </w:p>
        </w:tc>
        <w:tc>
          <w:tcPr>
            <w:tcW w:w="4860" w:type="dxa"/>
            <w:vAlign w:val="bottom"/>
          </w:tcPr>
          <w:p>
            <w:pPr>
              <w:spacing w:after="0"/>
              <w:rPr>
                <w:sz w:val="22"/>
                <w:szCs w:val="22"/>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Australian tax incentive receivable</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Short-term investments</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Prepaid expenses and other current assets</w:t>
            </w:r>
          </w:p>
        </w:tc>
        <w:tc>
          <w:tcPr>
            <w:tcW w:w="4860" w:type="dxa"/>
            <w:vAlign w:val="bottom"/>
          </w:tcPr>
          <w:p>
            <w:pPr>
              <w:spacing w:after="0"/>
              <w:rPr>
                <w:sz w:val="23"/>
                <w:szCs w:val="23"/>
                <w:color w:val="auto"/>
              </w:rPr>
            </w:pPr>
          </w:p>
        </w:tc>
      </w:tr>
      <w:tr>
        <w:trPr>
          <w:trHeight w:val="270"/>
        </w:trPr>
        <w:tc>
          <w:tcPr>
            <w:tcW w:w="310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Long-term investments</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Long-term vendor deposits</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Restricted cash</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4860" w:type="dxa"/>
            <w:vAlign w:val="bottom"/>
          </w:tcPr>
          <w:p>
            <w:pPr>
              <w:spacing w:after="0"/>
              <w:rPr>
                <w:sz w:val="23"/>
                <w:szCs w:val="23"/>
                <w:color w:val="auto"/>
              </w:rPr>
            </w:pPr>
          </w:p>
        </w:tc>
      </w:tr>
      <w:tr>
        <w:trPr>
          <w:trHeight w:val="284"/>
        </w:trPr>
        <w:tc>
          <w:tcPr>
            <w:tcW w:w="310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4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4"/>
        </w:trPr>
        <w:tc>
          <w:tcPr>
            <w:tcW w:w="3100" w:type="dxa"/>
            <w:vAlign w:val="bottom"/>
          </w:tcPr>
          <w:p>
            <w:pPr>
              <w:spacing w:after="0"/>
              <w:rPr>
                <w:sz w:val="24"/>
                <w:szCs w:val="24"/>
                <w:color w:val="auto"/>
              </w:rPr>
            </w:pPr>
          </w:p>
        </w:tc>
        <w:tc>
          <w:tcPr>
            <w:tcW w:w="4860" w:type="dxa"/>
            <w:vAlign w:val="bottom"/>
          </w:tcPr>
          <w:p>
            <w:pPr>
              <w:jc w:val="right"/>
              <w:ind w:right="39"/>
              <w:spacing w:after="0"/>
              <w:rPr>
                <w:sz w:val="20"/>
                <w:szCs w:val="20"/>
                <w:color w:val="auto"/>
              </w:rPr>
            </w:pPr>
            <w:r>
              <w:rPr>
                <w:rFonts w:ascii="Arial" w:cs="Arial" w:eastAsia="Arial" w:hAnsi="Arial"/>
                <w:sz w:val="16"/>
                <w:szCs w:val="16"/>
                <w:b w:val="1"/>
                <w:bCs w:val="1"/>
                <w:color w:val="auto"/>
              </w:rPr>
              <w:t>LIABILITIES, CONVERTIBLE PREFERRED STOCK AND</w:t>
            </w:r>
          </w:p>
        </w:tc>
      </w:tr>
      <w:tr>
        <w:trPr>
          <w:trHeight w:val="216"/>
        </w:trPr>
        <w:tc>
          <w:tcPr>
            <w:tcW w:w="3100" w:type="dxa"/>
            <w:vAlign w:val="bottom"/>
          </w:tcPr>
          <w:p>
            <w:pPr>
              <w:spacing w:after="0"/>
              <w:rPr>
                <w:sz w:val="18"/>
                <w:szCs w:val="18"/>
                <w:color w:val="auto"/>
              </w:rPr>
            </w:pPr>
          </w:p>
        </w:tc>
        <w:tc>
          <w:tcPr>
            <w:tcW w:w="4860" w:type="dxa"/>
            <w:vAlign w:val="bottom"/>
          </w:tcPr>
          <w:p>
            <w:pPr>
              <w:jc w:val="right"/>
              <w:ind w:right="739"/>
              <w:spacing w:after="0"/>
              <w:rPr>
                <w:sz w:val="20"/>
                <w:szCs w:val="20"/>
                <w:color w:val="auto"/>
              </w:rPr>
            </w:pPr>
            <w:r>
              <w:rPr>
                <w:rFonts w:ascii="Arial" w:cs="Arial" w:eastAsia="Arial" w:hAnsi="Arial"/>
                <w:sz w:val="16"/>
                <w:szCs w:val="16"/>
                <w:b w:val="1"/>
                <w:bCs w:val="1"/>
                <w:color w:val="auto"/>
              </w:rPr>
              <w:t>STOCKHOLDERS’ EQUITY (DEFICIT)</w:t>
            </w:r>
          </w:p>
        </w:tc>
      </w:tr>
      <w:tr>
        <w:trPr>
          <w:trHeight w:val="257"/>
        </w:trPr>
        <w:tc>
          <w:tcPr>
            <w:tcW w:w="3100" w:type="dxa"/>
            <w:vAlign w:val="bottom"/>
          </w:tcPr>
          <w:p>
            <w:pPr>
              <w:spacing w:after="0"/>
              <w:rPr>
                <w:sz w:val="20"/>
                <w:szCs w:val="20"/>
                <w:color w:val="auto"/>
              </w:rPr>
            </w:pPr>
            <w:r>
              <w:rPr>
                <w:rFonts w:ascii="Arial" w:cs="Arial" w:eastAsia="Arial" w:hAnsi="Arial"/>
                <w:sz w:val="16"/>
                <w:szCs w:val="16"/>
                <w:color w:val="auto"/>
              </w:rPr>
              <w:t>Current liabilities:</w:t>
            </w:r>
          </w:p>
        </w:tc>
        <w:tc>
          <w:tcPr>
            <w:tcW w:w="4860" w:type="dxa"/>
            <w:vAlign w:val="bottom"/>
          </w:tcPr>
          <w:p>
            <w:pPr>
              <w:spacing w:after="0"/>
              <w:rPr>
                <w:sz w:val="22"/>
                <w:szCs w:val="22"/>
                <w:color w:val="auto"/>
              </w:rPr>
            </w:pPr>
          </w:p>
        </w:tc>
      </w:tr>
      <w:tr>
        <w:trPr>
          <w:trHeight w:val="284"/>
        </w:trPr>
        <w:tc>
          <w:tcPr>
            <w:tcW w:w="3100" w:type="dxa"/>
            <w:vAlign w:val="bottom"/>
          </w:tcPr>
          <w:p>
            <w:pPr>
              <w:spacing w:after="0"/>
              <w:rPr>
                <w:sz w:val="20"/>
                <w:szCs w:val="20"/>
                <w:color w:val="auto"/>
              </w:rPr>
            </w:pPr>
            <w:r>
              <w:rPr>
                <w:rFonts w:ascii="Arial" w:cs="Arial" w:eastAsia="Arial" w:hAnsi="Arial"/>
                <w:sz w:val="16"/>
                <w:szCs w:val="16"/>
                <w:color w:val="auto"/>
              </w:rPr>
              <w:t>Accounts payable</w:t>
            </w:r>
          </w:p>
        </w:tc>
        <w:tc>
          <w:tcPr>
            <w:tcW w:w="4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3100" w:type="dxa"/>
            <w:vAlign w:val="bottom"/>
          </w:tcPr>
          <w:p>
            <w:pPr>
              <w:spacing w:after="0"/>
              <w:rPr>
                <w:sz w:val="20"/>
                <w:szCs w:val="20"/>
                <w:color w:val="auto"/>
              </w:rPr>
            </w:pPr>
            <w:r>
              <w:rPr>
                <w:rFonts w:ascii="Arial" w:cs="Arial" w:eastAsia="Arial" w:hAnsi="Arial"/>
                <w:sz w:val="16"/>
                <w:szCs w:val="16"/>
                <w:color w:val="auto"/>
              </w:rPr>
              <w:t>Accrued expenses</w:t>
            </w:r>
          </w:p>
        </w:tc>
        <w:tc>
          <w:tcPr>
            <w:tcW w:w="4860" w:type="dxa"/>
            <w:vAlign w:val="bottom"/>
          </w:tcPr>
          <w:p>
            <w:pPr>
              <w:spacing w:after="0"/>
              <w:rPr>
                <w:sz w:val="22"/>
                <w:szCs w:val="22"/>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Notes payable, current portion</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Other current liabilities</w:t>
            </w:r>
          </w:p>
        </w:tc>
        <w:tc>
          <w:tcPr>
            <w:tcW w:w="4860" w:type="dxa"/>
            <w:vAlign w:val="bottom"/>
          </w:tcPr>
          <w:p>
            <w:pPr>
              <w:spacing w:after="0"/>
              <w:rPr>
                <w:sz w:val="23"/>
                <w:szCs w:val="23"/>
                <w:color w:val="auto"/>
              </w:rPr>
            </w:pPr>
          </w:p>
        </w:tc>
      </w:tr>
      <w:tr>
        <w:trPr>
          <w:trHeight w:val="270"/>
        </w:trPr>
        <w:tc>
          <w:tcPr>
            <w:tcW w:w="310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Notes payable, net of current portion</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Deferred rent</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Preferred stock warrant liabilities</w:t>
            </w:r>
          </w:p>
        </w:tc>
        <w:tc>
          <w:tcPr>
            <w:tcW w:w="4860" w:type="dxa"/>
            <w:vAlign w:val="bottom"/>
          </w:tcPr>
          <w:p>
            <w:pPr>
              <w:spacing w:after="0"/>
              <w:rPr>
                <w:sz w:val="23"/>
                <w:szCs w:val="23"/>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48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-3717290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-3374390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-3031490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-2688590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-2345055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-1513205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-1170305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-484505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-827405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-1993900</wp:posOffset>
            </wp:positionV>
            <wp:extent cx="7246620"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7" w:lineRule="exact"/>
        <w:rPr>
          <w:sz w:val="20"/>
          <w:szCs w:val="20"/>
          <w:color w:val="auto"/>
        </w:rPr>
      </w:pPr>
    </w:p>
    <w:p>
      <w:pPr>
        <w:ind w:left="40" w:right="920"/>
        <w:spacing w:after="0" w:line="293" w:lineRule="auto"/>
        <w:rPr>
          <w:sz w:val="20"/>
          <w:szCs w:val="20"/>
          <w:color w:val="auto"/>
        </w:rPr>
      </w:pPr>
      <w:r>
        <w:rPr>
          <w:rFonts w:ascii="Arial" w:cs="Arial" w:eastAsia="Arial" w:hAnsi="Arial"/>
          <w:sz w:val="16"/>
          <w:szCs w:val="16"/>
          <w:color w:val="auto"/>
        </w:rPr>
        <w:t>Series B convertible preferred stock, $0.001 par value, no shares and 3,963 authorized, issued and outstanding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820"/>
        <w:spacing w:after="0" w:line="328" w:lineRule="auto"/>
        <w:rPr>
          <w:sz w:val="20"/>
          <w:szCs w:val="20"/>
          <w:color w:val="auto"/>
        </w:rPr>
      </w:pPr>
      <w:r>
        <w:rPr>
          <w:rFonts w:ascii="Arial" w:cs="Arial" w:eastAsia="Arial" w:hAnsi="Arial"/>
          <w:sz w:val="15"/>
          <w:szCs w:val="15"/>
          <w:color w:val="auto"/>
        </w:rPr>
        <w:t>Series C convertible preferred stock, $0.001 par value, no shares and 1,887 shares authorized, no shares and 1,593 shares issued and outstanding at September 30, 2017 and December 31, 2016, respectively</w:t>
      </w:r>
    </w:p>
    <w:p>
      <w:pPr>
        <w:spacing w:after="0" w:line="1" w:lineRule="exact"/>
        <w:rPr>
          <w:sz w:val="20"/>
          <w:szCs w:val="20"/>
          <w:color w:val="auto"/>
        </w:rPr>
      </w:pPr>
    </w:p>
    <w:p>
      <w:pPr>
        <w:ind w:left="40" w:right="460"/>
        <w:spacing w:after="0" w:line="293" w:lineRule="auto"/>
        <w:rPr>
          <w:sz w:val="20"/>
          <w:szCs w:val="20"/>
          <w:color w:val="auto"/>
        </w:rPr>
      </w:pPr>
      <w:r>
        <w:rPr>
          <w:rFonts w:ascii="Arial" w:cs="Arial" w:eastAsia="Arial" w:hAnsi="Arial"/>
          <w:sz w:val="16"/>
          <w:szCs w:val="16"/>
          <w:color w:val="auto"/>
        </w:rPr>
        <w:t>Series C-1 convertible preferred stock, $0.001 par value, no shares and 474 shares authorized, issued and outstanding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 w:lineRule="exact"/>
        <w:rPr>
          <w:sz w:val="20"/>
          <w:szCs w:val="20"/>
          <w:color w:val="auto"/>
        </w:rPr>
      </w:pPr>
    </w:p>
    <w:p>
      <w:pPr>
        <w:ind w:left="40" w:right="460"/>
        <w:spacing w:after="0" w:line="293" w:lineRule="auto"/>
        <w:rPr>
          <w:sz w:val="20"/>
          <w:szCs w:val="20"/>
          <w:color w:val="auto"/>
        </w:rPr>
      </w:pPr>
      <w:r>
        <w:rPr>
          <w:rFonts w:ascii="Arial" w:cs="Arial" w:eastAsia="Arial" w:hAnsi="Arial"/>
          <w:sz w:val="16"/>
          <w:szCs w:val="16"/>
          <w:color w:val="auto"/>
        </w:rPr>
        <w:t>Series D convertible preferred stock, $0.001 par value, no shares and 5,491 shares authorized, issued and outstanding at September 30, 2017 and December 31, 2016, respectively</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80" w:lineRule="exact"/>
        <w:rPr>
          <w:sz w:val="20"/>
          <w:szCs w:val="20"/>
          <w:color w:val="auto"/>
        </w:rPr>
      </w:pPr>
    </w:p>
    <w:p>
      <w:pPr>
        <w:ind w:left="40" w:right="500"/>
        <w:spacing w:after="0" w:line="293" w:lineRule="auto"/>
        <w:rPr>
          <w:sz w:val="20"/>
          <w:szCs w:val="20"/>
          <w:color w:val="auto"/>
        </w:rPr>
      </w:pPr>
      <w:r>
        <w:rPr>
          <w:rFonts w:ascii="Arial" w:cs="Arial" w:eastAsia="Arial" w:hAnsi="Arial"/>
          <w:sz w:val="16"/>
          <w:szCs w:val="16"/>
          <w:color w:val="auto"/>
        </w:rPr>
        <w:t>Preferred stock, $0.001 par value, 10,000 shares and no shares authorized, issued or outstanding at September 30, 2017 and December 31, 2016, respectively</w:t>
      </w:r>
    </w:p>
    <w:p>
      <w:pPr>
        <w:spacing w:after="0" w:line="23" w:lineRule="exact"/>
        <w:rPr>
          <w:sz w:val="20"/>
          <w:szCs w:val="20"/>
          <w:color w:val="auto"/>
        </w:rPr>
      </w:pPr>
    </w:p>
    <w:p>
      <w:pPr>
        <w:ind w:left="40" w:right="1160"/>
        <w:spacing w:after="0" w:line="293" w:lineRule="auto"/>
        <w:rPr>
          <w:sz w:val="20"/>
          <w:szCs w:val="20"/>
          <w:color w:val="auto"/>
        </w:rPr>
      </w:pPr>
      <w:r>
        <w:rPr>
          <w:rFonts w:ascii="Arial" w:cs="Arial" w:eastAsia="Arial" w:hAnsi="Arial"/>
          <w:sz w:val="16"/>
          <w:szCs w:val="16"/>
          <w:color w:val="auto"/>
        </w:rPr>
        <w:t>Common stock, $0.001 par value, 500,000 and 17,214 authorized, 20,496 shares and 2,651 shares issued and outstanding at September 30, 2017 and December 31,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Additional paid in capital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deficit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520"/>
        <w:spacing w:after="0"/>
        <w:tabs>
          <w:tab w:leader="none" w:pos="7900" w:val="left"/>
        </w:tabs>
        <w:rPr>
          <w:sz w:val="20"/>
          <w:szCs w:val="20"/>
          <w:color w:val="auto"/>
        </w:rPr>
      </w:pPr>
      <w:r>
        <w:rPr>
          <w:rFonts w:ascii="Arial" w:cs="Arial" w:eastAsia="Arial" w:hAnsi="Arial"/>
          <w:sz w:val="16"/>
          <w:szCs w:val="16"/>
          <w:color w:val="auto"/>
        </w:rPr>
        <w:t>Total liabilities, convertible preferred stock and stockholders’ equity (deficit)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26,669</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51,232</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1,225</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1,486</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4,118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89,053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3,119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1,633</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120,327</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58,208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513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471</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999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46</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3,441</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121,945</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947"/>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2,557</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3,604</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3,429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5,000</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11,174</w:t>
            </w:r>
          </w:p>
        </w:tc>
        <w:tc>
          <w:tcPr>
            <w:tcW w:w="58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5,708</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9,269</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13,809</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147</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3,241</w:t>
            </w:r>
          </w:p>
        </w:tc>
      </w:tr>
      <w:tr>
        <w:trPr>
          <w:trHeight w:val="74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28,220</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6,452</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2,156</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40,688</w:t>
            </w:r>
          </w:p>
        </w:tc>
      </w:tr>
      <w:tr>
        <w:trPr>
          <w:trHeight w:val="74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3"/>
        </w:trPr>
        <w:tc>
          <w:tcPr>
            <w:tcW w:w="760" w:type="dxa"/>
            <w:vAlign w:val="bottom"/>
          </w:tcPr>
          <w:p>
            <w:pPr>
              <w:jc w:val="right"/>
              <w:ind w:right="159"/>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179,551</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16,672</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rPr>
              <w:t>(43)</w:t>
            </w:r>
          </w:p>
        </w:tc>
        <w:tc>
          <w:tcPr>
            <w:tcW w:w="58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60" w:type="dxa"/>
            <w:vAlign w:val="bottom"/>
          </w:tcPr>
          <w:p>
            <w:pPr>
              <w:jc w:val="right"/>
              <w:ind w:right="99"/>
              <w:spacing w:after="0"/>
              <w:rPr>
                <w:sz w:val="20"/>
                <w:szCs w:val="20"/>
                <w:color w:val="auto"/>
              </w:rPr>
            </w:pPr>
            <w:r>
              <w:rPr>
                <w:rFonts w:ascii="Arial" w:cs="Arial" w:eastAsia="Arial" w:hAnsi="Arial"/>
                <w:sz w:val="16"/>
                <w:szCs w:val="16"/>
                <w:color w:val="auto"/>
                <w:w w:val="93"/>
              </w:rPr>
              <w:t>(78,173)</w:t>
            </w: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(54,923)</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101,355</w:t>
            </w: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(38,248)</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760" w:type="dxa"/>
            <w:vAlign w:val="bottom"/>
          </w:tcPr>
          <w:p>
            <w:pPr>
              <w:jc w:val="right"/>
              <w:ind w:right="159"/>
              <w:spacing w:after="0"/>
              <w:rPr>
                <w:sz w:val="20"/>
                <w:szCs w:val="20"/>
                <w:color w:val="auto"/>
              </w:rPr>
            </w:pPr>
            <w:r>
              <w:rPr>
                <w:rFonts w:ascii="Arial" w:cs="Arial" w:eastAsia="Arial" w:hAnsi="Arial"/>
                <w:sz w:val="16"/>
                <w:szCs w:val="16"/>
                <w:color w:val="auto"/>
                <w:w w:val="86"/>
              </w:rPr>
              <w:t>121,945</w:t>
            </w: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62,180</w:t>
            </w:r>
          </w:p>
        </w:tc>
      </w:tr>
      <w:tr>
        <w:trPr>
          <w:trHeight w:val="33"/>
        </w:trPr>
        <w:tc>
          <w:tcPr>
            <w:tcW w:w="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-8255</wp:posOffset>
            </wp:positionV>
            <wp:extent cx="1097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-368300</wp:posOffset>
            </wp:positionV>
            <wp:extent cx="10979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-4887595</wp:posOffset>
            </wp:positionV>
            <wp:extent cx="1097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-5059045</wp:posOffset>
            </wp:positionV>
            <wp:extent cx="10979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9791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-6088380</wp:posOffset>
            </wp:positionV>
            <wp:extent cx="1097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60" w:space="720"/>
            <w:col w:w="2440"/>
          </w:cols>
          <w:pgMar w:left="240" w:top="364" w:right="239" w:bottom="1440" w:gutter="0" w:footer="0" w:header="0"/>
          <w:type w:val="continuous"/>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38" w:orient="portrait"/>
          <w:cols w:equalWidth="0" w:num="1">
            <w:col w:w="11420"/>
          </w:cols>
          <w:pgMar w:left="240" w:top="364"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Collaboration revenue</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3,214</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13,930</w:t>
            </w:r>
          </w:p>
        </w:tc>
        <w:tc>
          <w:tcPr>
            <w:tcW w:w="0" w:type="dxa"/>
            <w:vAlign w:val="bottom"/>
          </w:tcPr>
          <w:p>
            <w:pPr>
              <w:spacing w:after="0"/>
              <w:rPr>
                <w:sz w:val="1"/>
                <w:szCs w:val="1"/>
                <w:color w:val="auto"/>
              </w:rPr>
            </w:pPr>
          </w:p>
        </w:tc>
      </w:tr>
      <w:tr>
        <w:trPr>
          <w:trHeight w:val="204"/>
        </w:trPr>
        <w:tc>
          <w:tcPr>
            <w:tcW w:w="56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Research and development</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6,697</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3,282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21,837</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10,403</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2,390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1,007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6,793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3,378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9,087</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4,289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28,630</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13,781</w:t>
            </w:r>
          </w:p>
        </w:tc>
        <w:tc>
          <w:tcPr>
            <w:tcW w:w="0" w:type="dxa"/>
            <w:vAlign w:val="bottom"/>
          </w:tcPr>
          <w:p>
            <w:pPr>
              <w:spacing w:after="0"/>
              <w:rPr>
                <w:sz w:val="1"/>
                <w:szCs w:val="1"/>
                <w:color w:val="auto"/>
              </w:rPr>
            </w:pPr>
          </w:p>
        </w:tc>
      </w:tr>
      <w:tr>
        <w:trPr>
          <w:trHeight w:val="217"/>
        </w:trPr>
        <w:tc>
          <w:tcPr>
            <w:tcW w:w="5620" w:type="dxa"/>
            <w:vAlign w:val="bottom"/>
          </w:tcPr>
          <w:p>
            <w:pPr>
              <w:ind w:left="800"/>
              <w:spacing w:after="0"/>
              <w:rPr>
                <w:sz w:val="20"/>
                <w:szCs w:val="20"/>
                <w:color w:val="auto"/>
              </w:rPr>
            </w:pPr>
            <w:r>
              <w:rPr>
                <w:rFonts w:ascii="Arial" w:cs="Arial" w:eastAsia="Arial" w:hAnsi="Arial"/>
                <w:sz w:val="16"/>
                <w:szCs w:val="16"/>
                <w:color w:val="auto"/>
              </w:rPr>
              <w:t>Income (loss) from operations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(9,087)</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(1,075)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(21,630)</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CFF0FC"/>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6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6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5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0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480" w:type="dxa"/>
            <w:vAlign w:val="bottom"/>
            <w:shd w:val="clear" w:color="auto" w:fill="CFF0FC"/>
          </w:tcPr>
          <w:p>
            <w:pPr>
              <w:spacing w:after="0"/>
              <w:rPr>
                <w:sz w:val="5"/>
                <w:szCs w:val="5"/>
                <w:color w:val="auto"/>
              </w:rPr>
            </w:pPr>
          </w:p>
        </w:tc>
        <w:tc>
          <w:tcPr>
            <w:tcW w:w="88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32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1,106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Total other income (expense), net</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(1,579)</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7"/>
        </w:trPr>
        <w:tc>
          <w:tcPr>
            <w:tcW w:w="5620" w:type="dxa"/>
            <w:vAlign w:val="bottom"/>
          </w:tcPr>
          <w:p>
            <w:pPr>
              <w:ind w:left="760"/>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(9,090)</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(1,115)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(23,209)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Net income attributed to participating securities</w:t>
            </w:r>
          </w:p>
        </w:tc>
        <w:tc>
          <w:tcPr>
            <w:tcW w:w="320" w:type="dxa"/>
            <w:vAlign w:val="bottom"/>
            <w:tcBorders>
              <w:bottom w:val="single" w:sz="8" w:color="CFF0FC"/>
            </w:tcBorders>
            <w:shd w:val="clear" w:color="auto" w:fill="CFF0FC"/>
          </w:tcPr>
          <w:p>
            <w:pPr>
              <w:spacing w:after="0"/>
              <w:rPr>
                <w:sz w:val="23"/>
                <w:szCs w:val="23"/>
                <w:color w:val="auto"/>
              </w:rPr>
            </w:pP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FF0FC"/>
            </w:tcBorders>
            <w:shd w:val="clear" w:color="auto" w:fill="CFF0FC"/>
          </w:tcPr>
          <w:p>
            <w:pPr>
              <w:spacing w:after="0"/>
              <w:rPr>
                <w:sz w:val="23"/>
                <w:szCs w:val="23"/>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FF0FC"/>
            </w:tcBorders>
            <w:shd w:val="clear" w:color="auto" w:fill="CFF0FC"/>
          </w:tcPr>
          <w:p>
            <w:pPr>
              <w:spacing w:after="0"/>
              <w:rPr>
                <w:sz w:val="23"/>
                <w:szCs w:val="23"/>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17"/>
        </w:trPr>
        <w:tc>
          <w:tcPr>
            <w:tcW w:w="5620" w:type="dxa"/>
            <w:vAlign w:val="bottom"/>
          </w:tcPr>
          <w:p>
            <w:pPr>
              <w:ind w:left="520"/>
              <w:spacing w:after="0"/>
              <w:rPr>
                <w:sz w:val="20"/>
                <w:szCs w:val="20"/>
                <w:color w:val="auto"/>
              </w:rPr>
            </w:pPr>
            <w:r>
              <w:rPr>
                <w:rFonts w:ascii="Arial" w:cs="Arial" w:eastAsia="Arial" w:hAnsi="Arial"/>
                <w:sz w:val="16"/>
                <w:szCs w:val="16"/>
                <w:color w:val="auto"/>
              </w:rPr>
              <w:t>Net loss attributed to common stockholders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(9,090)</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(1,115)</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(23,209)</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Unrealized income (loss) on available for sale securities</w:t>
            </w:r>
          </w:p>
        </w:tc>
        <w:tc>
          <w:tcPr>
            <w:tcW w:w="32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620" w:type="dxa"/>
            <w:vAlign w:val="bottom"/>
          </w:tcPr>
          <w:p>
            <w:pPr>
              <w:ind w:left="76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FF0FC"/>
            </w:tcBorders>
            <w:shd w:val="clear" w:color="auto" w:fill="CFF0FC"/>
          </w:tcPr>
          <w:p>
            <w:pPr>
              <w:ind w:left="960"/>
              <w:spacing w:after="0"/>
              <w:rPr>
                <w:sz w:val="20"/>
                <w:szCs w:val="20"/>
                <w:color w:val="auto"/>
              </w:rPr>
            </w:pPr>
            <w:r>
              <w:rPr>
                <w:rFonts w:ascii="Arial" w:cs="Arial" w:eastAsia="Arial" w:hAnsi="Arial"/>
                <w:sz w:val="16"/>
                <w:szCs w:val="16"/>
                <w:color w:val="auto"/>
              </w:rPr>
              <w:t>Comprehensive loss</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(9,074)</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6"/>
              </w:rPr>
              <w:t>(1,115)</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(23,252)</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ind w:left="280"/>
              <w:spacing w:after="0"/>
              <w:rPr>
                <w:sz w:val="20"/>
                <w:szCs w:val="20"/>
                <w:color w:val="auto"/>
              </w:rPr>
            </w:pPr>
            <w:r>
              <w:rPr>
                <w:rFonts w:ascii="Arial" w:cs="Arial" w:eastAsia="Arial" w:hAnsi="Arial"/>
                <w:sz w:val="16"/>
                <w:szCs w:val="16"/>
                <w:color w:val="auto"/>
              </w:rPr>
              <w:t>Net loss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56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6"/>
                <w:szCs w:val="16"/>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7"/>
                <w:szCs w:val="17"/>
                <w:color w:val="auto"/>
              </w:rPr>
            </w:pPr>
          </w:p>
        </w:tc>
        <w:tc>
          <w:tcPr>
            <w:tcW w:w="860" w:type="dxa"/>
            <w:vAlign w:val="bottom"/>
          </w:tcPr>
          <w:p>
            <w:pPr>
              <w:jc w:val="right"/>
              <w:ind w:right="661"/>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620" w:type="dxa"/>
            <w:vAlign w:val="bottom"/>
            <w:shd w:val="clear" w:color="auto" w:fill="CFF0FC"/>
          </w:tcPr>
          <w:p>
            <w:pPr>
              <w:ind w:left="280"/>
              <w:spacing w:after="0" w:line="177" w:lineRule="exact"/>
              <w:rPr>
                <w:sz w:val="20"/>
                <w:szCs w:val="20"/>
                <w:color w:val="auto"/>
              </w:rPr>
            </w:pPr>
            <w:r>
              <w:rPr>
                <w:rFonts w:ascii="Arial" w:cs="Arial" w:eastAsia="Arial" w:hAnsi="Arial"/>
                <w:sz w:val="16"/>
                <w:szCs w:val="16"/>
                <w:color w:val="auto"/>
              </w:rPr>
              <w:t>Weighted-average number of shares outstanding:</w:t>
            </w: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6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5620" w:type="dxa"/>
            <w:vAlign w:val="bottom"/>
          </w:tcPr>
          <w:p>
            <w:pPr>
              <w:ind w:left="520"/>
              <w:spacing w:after="0"/>
              <w:rPr>
                <w:sz w:val="20"/>
                <w:szCs w:val="20"/>
                <w:color w:val="auto"/>
              </w:rPr>
            </w:pPr>
            <w:r>
              <w:rPr>
                <w:rFonts w:ascii="Arial" w:cs="Arial" w:eastAsia="Arial" w:hAnsi="Arial"/>
                <w:sz w:val="16"/>
                <w:szCs w:val="16"/>
                <w:color w:val="auto"/>
              </w:rPr>
              <w:t>Basic</w:t>
            </w:r>
          </w:p>
        </w:tc>
        <w:tc>
          <w:tcPr>
            <w:tcW w:w="32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20,382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2,636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18,668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73"/>
        </w:trPr>
        <w:tc>
          <w:tcPr>
            <w:tcW w:w="56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FF0FC"/>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FF0FC"/>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620" w:type="dxa"/>
            <w:vAlign w:val="bottom"/>
            <w:tcBorders>
              <w:bottom w:val="single" w:sz="8" w:color="CFF0FC"/>
            </w:tcBorders>
            <w:shd w:val="clear" w:color="auto" w:fill="CFF0FC"/>
          </w:tcPr>
          <w:p>
            <w:pPr>
              <w:ind w:left="520"/>
              <w:spacing w:after="0" w:line="177" w:lineRule="exact"/>
              <w:rPr>
                <w:sz w:val="20"/>
                <w:szCs w:val="20"/>
                <w:color w:val="auto"/>
              </w:rPr>
            </w:pPr>
            <w:r>
              <w:rPr>
                <w:rFonts w:ascii="Arial" w:cs="Arial" w:eastAsia="Arial" w:hAnsi="Arial"/>
                <w:sz w:val="16"/>
                <w:szCs w:val="16"/>
                <w:color w:val="auto"/>
              </w:rPr>
              <w:t>Diluted</w:t>
            </w: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16"/>
                <w:szCs w:val="16"/>
                <w:color w:val="auto"/>
              </w:rPr>
              <w:t>20,382</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w w:val="99"/>
              </w:rPr>
              <w:t>2,636</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color w:val="auto"/>
              </w:rPr>
              <w:t>18,668</w:t>
            </w:r>
          </w:p>
        </w:tc>
        <w:tc>
          <w:tcPr>
            <w:tcW w:w="1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3,467</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83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(23,209)</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Adjustments to reconcile net income (loss) to net cash used in operating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3,246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Change in fair value of liability for preferred stock warrants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Income from investments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Non-cash interest expense</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520"/>
              <w:spacing w:after="0"/>
              <w:rPr>
                <w:sz w:val="20"/>
                <w:szCs w:val="20"/>
                <w:color w:val="auto"/>
              </w:rPr>
            </w:pPr>
            <w:r>
              <w:rPr>
                <w:rFonts w:ascii="Arial" w:cs="Arial" w:eastAsia="Arial" w:hAnsi="Arial"/>
                <w:sz w:val="16"/>
                <w:szCs w:val="16"/>
                <w:color w:val="auto"/>
              </w:rPr>
              <w:t>Receivable from collaborative partners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Australian tax incentive receivable</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2,632</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(3,293)</w:t>
            </w:r>
          </w:p>
        </w:tc>
        <w:tc>
          <w:tcPr>
            <w:tcW w:w="0" w:type="dxa"/>
            <w:vAlign w:val="bottom"/>
          </w:tcPr>
          <w:p>
            <w:pPr>
              <w:spacing w:after="0"/>
              <w:rPr>
                <w:sz w:val="1"/>
                <w:szCs w:val="1"/>
                <w:color w:val="auto"/>
              </w:rPr>
            </w:pPr>
          </w:p>
        </w:tc>
      </w:tr>
      <w:tr>
        <w:trPr>
          <w:trHeight w:val="237"/>
        </w:trPr>
        <w:tc>
          <w:tcPr>
            <w:tcW w:w="834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37"/>
        </w:trPr>
        <w:tc>
          <w:tcPr>
            <w:tcW w:w="8340" w:type="dxa"/>
            <w:vAlign w:val="bottom"/>
          </w:tcPr>
          <w:p>
            <w:pPr>
              <w:ind w:left="52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6"/>
                <w:szCs w:val="16"/>
                <w:color w:val="auto"/>
              </w:rPr>
              <w:t>Deferred revenue</w:t>
            </w:r>
          </w:p>
        </w:tc>
        <w:tc>
          <w:tcPr>
            <w:tcW w:w="360" w:type="dxa"/>
            <w:vAlign w:val="bottom"/>
            <w:tcBorders>
              <w:bottom w:val="single" w:sz="8" w:color="CFF0FC"/>
            </w:tcBorders>
            <w:shd w:val="clear" w:color="auto" w:fill="CFF0FC"/>
          </w:tcPr>
          <w:p>
            <w:pPr>
              <w:spacing w:after="0"/>
              <w:rPr>
                <w:sz w:val="23"/>
                <w:szCs w:val="23"/>
                <w:color w:val="auto"/>
              </w:rPr>
            </w:pPr>
          </w:p>
        </w:tc>
        <w:tc>
          <w:tcPr>
            <w:tcW w:w="12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(14,628)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Acquisition of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(110,701)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Sales and maturities of investments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20,866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(90,001)</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initial public offering, net of underwriters fees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80,213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Proceeds from issuance of common stock, upon the exercise of stock options</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Proceeds from issuance of common stock, upon the exercise of warrants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536</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Payments for repurchase of common stock</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Payments for offering costs</w:t>
            </w:r>
          </w:p>
        </w:tc>
        <w:tc>
          <w:tcPr>
            <w:tcW w:w="36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12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17"/>
        </w:trPr>
        <w:tc>
          <w:tcPr>
            <w:tcW w:w="8340" w:type="dxa"/>
            <w:vAlign w:val="bottom"/>
          </w:tcPr>
          <w:p>
            <w:pPr>
              <w:ind w:left="760"/>
              <w:spacing w:after="0"/>
              <w:rPr>
                <w:sz w:val="20"/>
                <w:szCs w:val="20"/>
                <w:color w:val="auto"/>
              </w:rPr>
            </w:pPr>
            <w:r>
              <w:rPr>
                <w:rFonts w:ascii="Arial" w:cs="Arial" w:eastAsia="Arial" w:hAnsi="Arial"/>
                <w:sz w:val="16"/>
                <w:szCs w:val="16"/>
                <w:color w:val="auto"/>
              </w:rPr>
              <w:t>Net cash provided by (used in) financing activities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80,066</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FF0FC"/>
            </w:tcBorders>
            <w:shd w:val="clear" w:color="auto" w:fill="CFF0FC"/>
          </w:tcPr>
          <w:p>
            <w:pPr>
              <w:ind w:left="1020"/>
              <w:spacing w:after="0"/>
              <w:rPr>
                <w:sz w:val="20"/>
                <w:szCs w:val="20"/>
                <w:color w:val="auto"/>
              </w:rPr>
            </w:pPr>
            <w:r>
              <w:rPr>
                <w:rFonts w:ascii="Arial" w:cs="Arial" w:eastAsia="Arial" w:hAnsi="Arial"/>
                <w:sz w:val="16"/>
                <w:szCs w:val="16"/>
                <w:color w:val="auto"/>
              </w:rPr>
              <w:t>Net decrease in cash, cash equivalents, and restricted cash</w:t>
            </w:r>
          </w:p>
        </w:tc>
        <w:tc>
          <w:tcPr>
            <w:tcW w:w="36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(24,563)</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(4,550)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51,292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51,744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26,729</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47,194</w:t>
            </w:r>
          </w:p>
        </w:tc>
        <w:tc>
          <w:tcPr>
            <w:tcW w:w="0" w:type="dxa"/>
            <w:vAlign w:val="bottom"/>
          </w:tcPr>
          <w:p>
            <w:pPr>
              <w:spacing w:after="0"/>
              <w:rPr>
                <w:sz w:val="1"/>
                <w:szCs w:val="1"/>
                <w:color w:val="auto"/>
              </w:rPr>
            </w:pPr>
          </w:p>
        </w:tc>
      </w:tr>
      <w:tr>
        <w:trPr>
          <w:trHeight w:val="20"/>
        </w:trPr>
        <w:tc>
          <w:tcPr>
            <w:tcW w:w="834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6"/>
                <w:szCs w:val="16"/>
                <w:b w:val="1"/>
                <w:bCs w:val="1"/>
                <w:color w:val="auto"/>
              </w:rPr>
              <w:t>SUPPLEMENTAL DISCLOSURE OF CASH FLOW</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60"/>
              <w:spacing w:after="0"/>
              <w:rPr>
                <w:sz w:val="20"/>
                <w:szCs w:val="20"/>
                <w:color w:val="auto"/>
              </w:rPr>
            </w:pPr>
            <w:r>
              <w:rPr>
                <w:rFonts w:ascii="Arial" w:cs="Arial" w:eastAsia="Arial" w:hAnsi="Arial"/>
                <w:sz w:val="16"/>
                <w:szCs w:val="16"/>
                <w:b w:val="1"/>
                <w:bCs w:val="1"/>
                <w:color w:val="auto"/>
              </w:rPr>
              <w:t>INFORMATION</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6"/>
                <w:szCs w:val="16"/>
                <w:color w:val="auto"/>
              </w:rPr>
              <w:t>Interest paid</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6"/>
                <w:szCs w:val="16"/>
                <w:color w:val="auto"/>
              </w:rPr>
              <w:t>Amounts accrued for property and equipment</w:t>
            </w: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Amounts accrued for offering costs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Reclassification of warrants to equity</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4,607</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in vitro, the natural process of antibody generation. We currently generate revenue from our collaborative research and development arrangements.</w:t>
      </w:r>
    </w:p>
    <w:p>
      <w:pPr>
        <w:spacing w:after="0" w:line="18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September 30, 2017, have an accumulated deficit of $78.2 million. Through September 30, 2017,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Initial Public Offering and Related Transactions</w:t>
      </w:r>
    </w:p>
    <w:p>
      <w:pPr>
        <w:spacing w:after="0" w:line="117"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Proceeds from our initial public offering net of underwriting discounts and commissions were $80.2 million.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each of the following occurred in connection with the completion of the IPO on January 31, 2017:</w:t>
      </w:r>
    </w:p>
    <w:p>
      <w:pPr>
        <w:spacing w:after="0" w:line="117" w:lineRule="exact"/>
        <w:rPr>
          <w:sz w:val="20"/>
          <w:szCs w:val="20"/>
          <w:color w:val="auto"/>
        </w:rPr>
      </w:pPr>
    </w:p>
    <w:p>
      <w:pPr>
        <w:ind w:left="900" w:hanging="487"/>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of all outstanding shares of convertible preferred stock into 11,520,698 shares of common stock; and</w:t>
      </w:r>
    </w:p>
    <w:p>
      <w:pPr>
        <w:spacing w:after="0" w:line="117" w:lineRule="exact"/>
        <w:rPr>
          <w:rFonts w:ascii="Arial" w:cs="Arial" w:eastAsia="Arial" w:hAnsi="Arial"/>
          <w:sz w:val="18"/>
          <w:szCs w:val="18"/>
          <w:color w:val="auto"/>
        </w:rPr>
      </w:pPr>
    </w:p>
    <w:p>
      <w:pPr>
        <w:ind w:left="880" w:right="140" w:hanging="440"/>
        <w:spacing w:after="0" w:line="277"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conversion of warrants to purchase 377,195 shares of convertible preferred stock into warrants to purchase 377,195 shares of common stock and the resultant reclassification of the warrant liability to additional paid-in capital.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right="20" w:firstLine="446"/>
        <w:spacing w:after="0" w:line="342" w:lineRule="auto"/>
        <w:rPr>
          <w:sz w:val="20"/>
          <w:szCs w:val="20"/>
          <w:color w:val="auto"/>
        </w:rPr>
      </w:pPr>
      <w:r>
        <w:rPr>
          <w:rFonts w:ascii="Arial" w:cs="Arial" w:eastAsia="Arial" w:hAnsi="Arial"/>
          <w:sz w:val="16"/>
          <w:szCs w:val="16"/>
          <w:color w:val="auto"/>
        </w:rPr>
        <w:t>On January 13, 2017, we amended and restated our certificate of incorporation to effect a one for seven reverse stock split of every outstanding share of our preferred and common stock. The financial statements and accompanying footnotes have been retroactively restated to reflect the reverse stock split.</w:t>
      </w:r>
    </w:p>
    <w:p>
      <w:pPr>
        <w:spacing w:after="0" w:line="228" w:lineRule="exact"/>
        <w:rPr>
          <w:sz w:val="20"/>
          <w:szCs w:val="20"/>
          <w:color w:val="auto"/>
        </w:rPr>
      </w:pPr>
    </w:p>
    <w:p>
      <w:pPr>
        <w:ind w:left="260" w:right="7840" w:hanging="252"/>
        <w:spacing w:after="0" w:line="378" w:lineRule="auto"/>
        <w:tabs>
          <w:tab w:leader="none" w:pos="197"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46"/>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Operating results for the nine months ended September 30, 2017 are not necessarily indicative of the results that may be expected for the year ending December 31, 2017. The financial statements should be read 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conjunction with our audited financial statements for the year ended December 31, 2016, included in our Annual Form 10-K.</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The accompanying consolidated financial statements include us and our wholly-owned Australian subsidiary, which was established in March 2015. All intercompany accounts and transactions have been eliminated in consolidation. We operate in one reportable segment and our functional and reporting currency is the U.S. dollar.</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446"/>
        <w:spacing w:after="0" w:line="297"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Our actual results could differ from these estimates under different assumptions or conditions.</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 Term and Long Term Investments</w:t>
      </w:r>
    </w:p>
    <w:p>
      <w:pPr>
        <w:spacing w:after="0" w:line="117"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Unrealized gains and losses, deemed temporary in nature, are reported as a component of accumulated other comprehensive income (loss), net of tax. A decline in the fair value of any security below cost that is deemed other than temporary results in a charge to earnings and the corresponding establishment of a new cost basis for the security. Dividend and interest income are recognized when earned. Realized gains and losses are included in earnings and are derived using the specific identification method for determining the cost of securities sold.</w:t>
      </w: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Financial instruments that potentially subject us to a concentration of credit risk consist of cash and cash equivalents and certain investments in money market funds,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77" w:lineRule="exact"/>
        <w:rPr>
          <w:sz w:val="20"/>
          <w:szCs w:val="20"/>
          <w:color w:val="auto"/>
        </w:rPr>
      </w:pPr>
    </w:p>
    <w:p>
      <w:pPr>
        <w:ind w:right="260" w:firstLine="486"/>
        <w:spacing w:after="0" w:line="308" w:lineRule="auto"/>
        <w:rPr>
          <w:sz w:val="20"/>
          <w:szCs w:val="20"/>
          <w:color w:val="auto"/>
        </w:rPr>
      </w:pPr>
      <w:r>
        <w:rPr>
          <w:rFonts w:ascii="Arial" w:cs="Arial" w:eastAsia="Arial" w:hAnsi="Arial"/>
          <w:sz w:val="17"/>
          <w:szCs w:val="17"/>
          <w:color w:val="auto"/>
        </w:rPr>
        <w:t>Comprehensive loss represents all changes in stockholders’ equity (deficit) except those resulting from distributions to stockholders. Our unrealized losses on investments represent the only component of other comprehensive loss that is excluded from the reported net income (loss).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Net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6" w:right="239" w:bottom="1440" w:gutter="0" w:footer="0" w:header="0"/>
        </w:sectPr>
      </w:pPr>
    </w:p>
    <w:bookmarkStart w:id="7" w:name="page8"/>
    <w:bookmarkEnd w:id="7"/>
    <w:p>
      <w:pPr>
        <w:ind w:right="740"/>
        <w:spacing w:after="0" w:line="277" w:lineRule="auto"/>
        <w:rPr>
          <w:sz w:val="20"/>
          <w:szCs w:val="20"/>
          <w:color w:val="auto"/>
        </w:rPr>
      </w:pPr>
      <w:r>
        <w:rPr>
          <w:rFonts w:ascii="Arial" w:cs="Arial" w:eastAsia="Arial" w:hAnsi="Arial"/>
          <w:sz w:val="18"/>
          <w:szCs w:val="18"/>
          <w:color w:val="auto"/>
        </w:rPr>
        <w:t>participating securities, which include participation rights in undistributed earnings, are subtracted from net income to determine total earnings to be attributed to common stockholders.</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Diluted net loss per share includes any dilutive effect from outstanding stock options and warrants using the treasury stock method. Computations for basic and diluted net loss per common share are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0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CCF0FC"/>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0F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5620" w:type="dxa"/>
            <w:vAlign w:val="bottom"/>
            <w:tcBorders>
              <w:bottom w:val="single" w:sz="8" w:color="CCF0FC"/>
            </w:tcBorders>
            <w:shd w:val="clear" w:color="auto" w:fill="CCF0FC"/>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CCF0FC"/>
            </w:tcBorders>
            <w:shd w:val="clear" w:color="auto" w:fill="CCF0FC"/>
          </w:tcPr>
          <w:p>
            <w:pPr>
              <w:spacing w:after="0"/>
              <w:rPr>
                <w:sz w:val="21"/>
                <w:szCs w:val="21"/>
                <w:color w:val="auto"/>
              </w:rPr>
            </w:pPr>
          </w:p>
        </w:tc>
        <w:tc>
          <w:tcPr>
            <w:tcW w:w="106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CCF0FC"/>
            </w:tcBorders>
            <w:shd w:val="clear" w:color="auto" w:fill="CCF0FC"/>
          </w:tcPr>
          <w:p>
            <w:pPr>
              <w:spacing w:after="0"/>
              <w:rPr>
                <w:sz w:val="21"/>
                <w:szCs w:val="21"/>
                <w:color w:val="auto"/>
              </w:rPr>
            </w:pPr>
          </w:p>
        </w:tc>
        <w:tc>
          <w:tcPr>
            <w:tcW w:w="90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CCF0FC"/>
            </w:tcBorders>
            <w:shd w:val="clear" w:color="auto" w:fill="CCF0FC"/>
          </w:tcPr>
          <w:p>
            <w:pPr>
              <w:spacing w:after="0"/>
              <w:rPr>
                <w:sz w:val="21"/>
                <w:szCs w:val="21"/>
                <w:color w:val="auto"/>
              </w:rPr>
            </w:pPr>
          </w:p>
        </w:tc>
        <w:tc>
          <w:tcPr>
            <w:tcW w:w="10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CCF0FC"/>
            </w:tcBorders>
            <w:shd w:val="clear" w:color="auto" w:fill="CCF0FC"/>
          </w:tcPr>
          <w:p>
            <w:pPr>
              <w:spacing w:after="0"/>
              <w:rPr>
                <w:sz w:val="21"/>
                <w:szCs w:val="21"/>
                <w:color w:val="auto"/>
              </w:rPr>
            </w:pPr>
          </w:p>
        </w:tc>
        <w:tc>
          <w:tcPr>
            <w:tcW w:w="900" w:type="dxa"/>
            <w:vAlign w:val="bottom"/>
            <w:tcBorders>
              <w:bottom w:val="single" w:sz="8" w:color="CCF0FC"/>
            </w:tcBorders>
            <w:shd w:val="clear" w:color="auto" w:fill="CCF0FC"/>
          </w:tcPr>
          <w:p>
            <w:pPr>
              <w:spacing w:after="0"/>
              <w:rPr>
                <w:sz w:val="21"/>
                <w:szCs w:val="21"/>
                <w:color w:val="auto"/>
              </w:rPr>
            </w:pP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(23,209)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F0FC"/>
            </w:tcBorders>
            <w:shd w:val="clear" w:color="auto" w:fill="CCF0FC"/>
          </w:tcPr>
          <w:p>
            <w:pPr>
              <w:ind w:left="220"/>
              <w:spacing w:after="0"/>
              <w:rPr>
                <w:sz w:val="20"/>
                <w:szCs w:val="20"/>
                <w:color w:val="auto"/>
              </w:rPr>
            </w:pPr>
            <w:r>
              <w:rPr>
                <w:rFonts w:ascii="Arial" w:cs="Arial" w:eastAsia="Arial" w:hAnsi="Arial"/>
                <w:sz w:val="18"/>
                <w:szCs w:val="18"/>
                <w:color w:val="auto"/>
              </w:rPr>
              <w:t>Net income attributed to participating securities</w:t>
            </w:r>
          </w:p>
        </w:tc>
        <w:tc>
          <w:tcPr>
            <w:tcW w:w="320" w:type="dxa"/>
            <w:vAlign w:val="bottom"/>
            <w:tcBorders>
              <w:bottom w:val="single" w:sz="8" w:color="CCF0FC"/>
            </w:tcBorders>
            <w:shd w:val="clear" w:color="auto" w:fill="CCF0FC"/>
          </w:tcPr>
          <w:p>
            <w:pPr>
              <w:spacing w:after="0"/>
              <w:rPr>
                <w:sz w:val="23"/>
                <w:szCs w:val="23"/>
                <w:color w:val="auto"/>
              </w:rPr>
            </w:pPr>
          </w:p>
        </w:tc>
        <w:tc>
          <w:tcPr>
            <w:tcW w:w="118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F0FC"/>
            </w:tcBorders>
            <w:shd w:val="clear" w:color="auto" w:fill="CCF0FC"/>
          </w:tcPr>
          <w:p>
            <w:pPr>
              <w:spacing w:after="0"/>
              <w:rPr>
                <w:sz w:val="23"/>
                <w:szCs w:val="23"/>
                <w:color w:val="auto"/>
              </w:rPr>
            </w:pPr>
          </w:p>
        </w:tc>
        <w:tc>
          <w:tcPr>
            <w:tcW w:w="100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0FC"/>
            </w:tcBorders>
            <w:shd w:val="clear" w:color="auto" w:fill="CCF0FC"/>
          </w:tcPr>
          <w:p>
            <w:pPr>
              <w:spacing w:after="0"/>
              <w:rPr>
                <w:sz w:val="23"/>
                <w:szCs w:val="23"/>
                <w:color w:val="auto"/>
              </w:rPr>
            </w:pPr>
          </w:p>
        </w:tc>
        <w:tc>
          <w:tcPr>
            <w:tcW w:w="114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F0FC"/>
            </w:tcBorders>
            <w:shd w:val="clear" w:color="auto" w:fill="CCF0FC"/>
          </w:tcPr>
          <w:p>
            <w:pPr>
              <w:spacing w:after="0"/>
              <w:rPr>
                <w:sz w:val="23"/>
                <w:szCs w:val="23"/>
                <w:color w:val="auto"/>
              </w:rPr>
            </w:pPr>
          </w:p>
        </w:tc>
        <w:tc>
          <w:tcPr>
            <w:tcW w:w="900" w:type="dxa"/>
            <w:vAlign w:val="bottom"/>
            <w:tcBorders>
              <w:bottom w:val="single" w:sz="8" w:color="CCF0FC"/>
            </w:tcBorders>
            <w:shd w:val="clear" w:color="auto" w:fill="CCF0FC"/>
          </w:tcPr>
          <w:p>
            <w:pPr>
              <w:jc w:val="right"/>
              <w:spacing w:after="0"/>
              <w:rPr>
                <w:sz w:val="20"/>
                <w:szCs w:val="20"/>
                <w:color w:val="auto"/>
              </w:rPr>
            </w:pPr>
            <w:r>
              <w:rPr>
                <w:rFonts w:ascii="Arial" w:cs="Arial" w:eastAsia="Arial" w:hAnsi="Arial"/>
                <w:sz w:val="18"/>
                <w:szCs w:val="18"/>
                <w:color w:val="auto"/>
              </w:rPr>
              <w:t>(319)</w:t>
            </w: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Net loss attributed to common stockholders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(23,209)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F0FC"/>
            </w:tcBorders>
            <w:shd w:val="clear" w:color="auto" w:fill="CCF0FC"/>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bottom w:val="single" w:sz="8" w:color="CCF0FC"/>
            </w:tcBorders>
            <w:shd w:val="clear" w:color="auto" w:fill="CCF0FC"/>
          </w:tcPr>
          <w:p>
            <w:pPr>
              <w:spacing w:after="0"/>
              <w:rPr>
                <w:sz w:val="21"/>
                <w:szCs w:val="21"/>
                <w:color w:val="auto"/>
              </w:rPr>
            </w:pPr>
          </w:p>
        </w:tc>
        <w:tc>
          <w:tcPr>
            <w:tcW w:w="106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CCF0FC"/>
            </w:tcBorders>
            <w:shd w:val="clear" w:color="auto" w:fill="CCF0FC"/>
          </w:tcPr>
          <w:p>
            <w:pPr>
              <w:spacing w:after="0"/>
              <w:rPr>
                <w:sz w:val="21"/>
                <w:szCs w:val="21"/>
                <w:color w:val="auto"/>
              </w:rPr>
            </w:pPr>
          </w:p>
        </w:tc>
        <w:tc>
          <w:tcPr>
            <w:tcW w:w="90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CCF0FC"/>
            </w:tcBorders>
            <w:shd w:val="clear" w:color="auto" w:fill="CCF0FC"/>
          </w:tcPr>
          <w:p>
            <w:pPr>
              <w:spacing w:after="0"/>
              <w:rPr>
                <w:sz w:val="21"/>
                <w:szCs w:val="21"/>
                <w:color w:val="auto"/>
              </w:rPr>
            </w:pPr>
          </w:p>
        </w:tc>
        <w:tc>
          <w:tcPr>
            <w:tcW w:w="10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CCF0FC"/>
            </w:tcBorders>
            <w:shd w:val="clear" w:color="auto" w:fill="CCF0FC"/>
          </w:tcPr>
          <w:p>
            <w:pPr>
              <w:spacing w:after="0"/>
              <w:rPr>
                <w:sz w:val="21"/>
                <w:szCs w:val="21"/>
                <w:color w:val="auto"/>
              </w:rPr>
            </w:pPr>
          </w:p>
        </w:tc>
        <w:tc>
          <w:tcPr>
            <w:tcW w:w="900" w:type="dxa"/>
            <w:vAlign w:val="bottom"/>
            <w:tcBorders>
              <w:bottom w:val="single" w:sz="8" w:color="CCF0FC"/>
            </w:tcBorders>
            <w:shd w:val="clear" w:color="auto" w:fill="CCF0FC"/>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18,668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2,633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F0FC"/>
            </w:tcBorders>
            <w:shd w:val="clear" w:color="auto" w:fill="CCF0FC"/>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CCF0FC"/>
            </w:tcBorders>
            <w:shd w:val="clear" w:color="auto" w:fill="CCF0FC"/>
          </w:tcPr>
          <w:p>
            <w:pPr>
              <w:spacing w:after="0"/>
              <w:rPr>
                <w:sz w:val="21"/>
                <w:szCs w:val="21"/>
                <w:color w:val="auto"/>
              </w:rPr>
            </w:pPr>
          </w:p>
        </w:tc>
        <w:tc>
          <w:tcPr>
            <w:tcW w:w="106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CCF0FC"/>
            </w:tcBorders>
            <w:shd w:val="clear" w:color="auto" w:fill="CCF0FC"/>
          </w:tcPr>
          <w:p>
            <w:pPr>
              <w:spacing w:after="0"/>
              <w:rPr>
                <w:sz w:val="21"/>
                <w:szCs w:val="21"/>
                <w:color w:val="auto"/>
              </w:rPr>
            </w:pPr>
          </w:p>
        </w:tc>
        <w:tc>
          <w:tcPr>
            <w:tcW w:w="900" w:type="dxa"/>
            <w:vAlign w:val="bottom"/>
            <w:tcBorders>
              <w:bottom w:val="single" w:sz="8" w:color="CCF0FC"/>
            </w:tcBorders>
            <w:shd w:val="clear" w:color="auto" w:fill="CCF0FC"/>
          </w:tcPr>
          <w:p>
            <w:pPr>
              <w:spacing w:after="0"/>
              <w:rPr>
                <w:sz w:val="21"/>
                <w:szCs w:val="21"/>
                <w:color w:val="auto"/>
              </w:rPr>
            </w:pP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CCF0FC"/>
            </w:tcBorders>
            <w:shd w:val="clear" w:color="auto" w:fill="CCF0FC"/>
          </w:tcPr>
          <w:p>
            <w:pPr>
              <w:spacing w:after="0"/>
              <w:rPr>
                <w:sz w:val="21"/>
                <w:szCs w:val="21"/>
                <w:color w:val="auto"/>
              </w:rPr>
            </w:pPr>
          </w:p>
        </w:tc>
        <w:tc>
          <w:tcPr>
            <w:tcW w:w="1020" w:type="dxa"/>
            <w:vAlign w:val="bottom"/>
            <w:tcBorders>
              <w:bottom w:val="single" w:sz="8" w:color="CCF0FC"/>
            </w:tcBorders>
            <w:shd w:val="clear" w:color="auto" w:fill="CCF0FC"/>
          </w:tcPr>
          <w:p>
            <w:pPr>
              <w:spacing w:after="0"/>
              <w:rPr>
                <w:sz w:val="21"/>
                <w:szCs w:val="21"/>
                <w:color w:val="auto"/>
              </w:rPr>
            </w:pP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CCF0FC"/>
            </w:tcBorders>
            <w:shd w:val="clear" w:color="auto" w:fill="CCF0FC"/>
          </w:tcPr>
          <w:p>
            <w:pPr>
              <w:spacing w:after="0"/>
              <w:rPr>
                <w:sz w:val="21"/>
                <w:szCs w:val="21"/>
                <w:color w:val="auto"/>
              </w:rPr>
            </w:pPr>
          </w:p>
        </w:tc>
        <w:tc>
          <w:tcPr>
            <w:tcW w:w="900" w:type="dxa"/>
            <w:vAlign w:val="bottom"/>
            <w:tcBorders>
              <w:bottom w:val="single" w:sz="8" w:color="CCF0FC"/>
            </w:tcBorders>
            <w:shd w:val="clear" w:color="auto" w:fill="CCF0FC"/>
          </w:tcPr>
          <w:p>
            <w:pPr>
              <w:spacing w:after="0"/>
              <w:rPr>
                <w:sz w:val="21"/>
                <w:szCs w:val="21"/>
                <w:color w:val="auto"/>
              </w:rPr>
            </w:pPr>
          </w:p>
        </w:tc>
      </w:tr>
      <w:tr>
        <w:trPr>
          <w:trHeight w:val="243"/>
        </w:trPr>
        <w:tc>
          <w:tcPr>
            <w:tcW w:w="562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804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8"/>
                <w:szCs w:val="18"/>
                <w:color w:val="auto"/>
              </w:rPr>
              <w:t>Warrants</w:t>
            </w:r>
          </w:p>
        </w:tc>
        <w:tc>
          <w:tcPr>
            <w:tcW w:w="320" w:type="dxa"/>
            <w:vAlign w:val="bottom"/>
            <w:tcBorders>
              <w:bottom w:val="single" w:sz="8" w:color="CCF0FC"/>
            </w:tcBorders>
            <w:shd w:val="clear" w:color="auto" w:fill="CCF0FC"/>
          </w:tcPr>
          <w:p>
            <w:pPr>
              <w:spacing w:after="0"/>
              <w:rPr>
                <w:sz w:val="23"/>
                <w:szCs w:val="23"/>
                <w:color w:val="auto"/>
              </w:rPr>
            </w:pPr>
          </w:p>
        </w:tc>
        <w:tc>
          <w:tcPr>
            <w:tcW w:w="118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F0FC"/>
            </w:tcBorders>
            <w:shd w:val="clear" w:color="auto" w:fill="CCF0FC"/>
          </w:tcPr>
          <w:p>
            <w:pPr>
              <w:spacing w:after="0"/>
              <w:rPr>
                <w:sz w:val="23"/>
                <w:szCs w:val="23"/>
                <w:color w:val="auto"/>
              </w:rPr>
            </w:pPr>
          </w:p>
        </w:tc>
        <w:tc>
          <w:tcPr>
            <w:tcW w:w="100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F0FC"/>
            </w:tcBorders>
            <w:shd w:val="clear" w:color="auto" w:fill="CCF0FC"/>
          </w:tcPr>
          <w:p>
            <w:pPr>
              <w:spacing w:after="0"/>
              <w:rPr>
                <w:sz w:val="23"/>
                <w:szCs w:val="23"/>
                <w:color w:val="auto"/>
              </w:rPr>
            </w:pPr>
          </w:p>
        </w:tc>
        <w:tc>
          <w:tcPr>
            <w:tcW w:w="1140" w:type="dxa"/>
            <w:vAlign w:val="bottom"/>
            <w:tcBorders>
              <w:bottom w:val="single" w:sz="8" w:color="CCF0FC"/>
            </w:tcBorders>
            <w:gridSpan w:val="2"/>
            <w:shd w:val="clear" w:color="auto" w:fill="CCF0FC"/>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F0FC"/>
            </w:tcBorders>
            <w:shd w:val="clear" w:color="auto" w:fill="CCF0FC"/>
          </w:tcPr>
          <w:p>
            <w:pPr>
              <w:spacing w:after="0"/>
              <w:rPr>
                <w:sz w:val="23"/>
                <w:szCs w:val="23"/>
                <w:color w:val="auto"/>
              </w:rPr>
            </w:pPr>
          </w:p>
        </w:tc>
        <w:tc>
          <w:tcPr>
            <w:tcW w:w="900" w:type="dxa"/>
            <w:vAlign w:val="bottom"/>
            <w:tcBorders>
              <w:bottom w:val="single" w:sz="8" w:color="CCF0FC"/>
            </w:tcBorders>
            <w:shd w:val="clear" w:color="auto" w:fill="CCF0FC"/>
          </w:tcPr>
          <w:p>
            <w:pPr>
              <w:jc w:val="right"/>
              <w:ind w:right="12"/>
              <w:spacing w:after="0"/>
              <w:rPr>
                <w:sz w:val="20"/>
                <w:szCs w:val="20"/>
                <w:color w:val="auto"/>
              </w:rPr>
            </w:pPr>
            <w:r>
              <w:rPr>
                <w:rFonts w:ascii="Arial" w:cs="Arial" w:eastAsia="Arial" w:hAnsi="Arial"/>
                <w:sz w:val="18"/>
                <w:szCs w:val="18"/>
                <w:color w:val="auto"/>
              </w:rPr>
              <w:t>30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20,382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18,668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3,467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620" w:type="dxa"/>
            <w:vAlign w:val="bottom"/>
            <w:shd w:val="clear" w:color="auto" w:fill="CCF0FC"/>
          </w:tcPr>
          <w:p>
            <w:pPr>
              <w:spacing w:after="0"/>
              <w:rPr>
                <w:sz w:val="19"/>
                <w:szCs w:val="19"/>
                <w:color w:val="auto"/>
              </w:rPr>
            </w:pPr>
          </w:p>
        </w:tc>
        <w:tc>
          <w:tcPr>
            <w:tcW w:w="320" w:type="dxa"/>
            <w:vAlign w:val="bottom"/>
            <w:shd w:val="clear" w:color="auto" w:fill="CCF0FC"/>
          </w:tcPr>
          <w:p>
            <w:pPr>
              <w:spacing w:after="0"/>
              <w:rPr>
                <w:sz w:val="19"/>
                <w:szCs w:val="19"/>
                <w:color w:val="auto"/>
              </w:rPr>
            </w:pPr>
          </w:p>
        </w:tc>
        <w:tc>
          <w:tcPr>
            <w:tcW w:w="106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c>
          <w:tcPr>
            <w:tcW w:w="460" w:type="dxa"/>
            <w:vAlign w:val="bottom"/>
            <w:shd w:val="clear" w:color="auto" w:fill="CCF0FC"/>
          </w:tcPr>
          <w:p>
            <w:pPr>
              <w:spacing w:after="0"/>
              <w:rPr>
                <w:sz w:val="19"/>
                <w:szCs w:val="19"/>
                <w:color w:val="auto"/>
              </w:rPr>
            </w:pPr>
          </w:p>
        </w:tc>
        <w:tc>
          <w:tcPr>
            <w:tcW w:w="900" w:type="dxa"/>
            <w:vAlign w:val="bottom"/>
            <w:shd w:val="clear" w:color="auto" w:fill="CCF0FC"/>
          </w:tcPr>
          <w:p>
            <w:pPr>
              <w:spacing w:after="0"/>
              <w:rPr>
                <w:sz w:val="19"/>
                <w:szCs w:val="19"/>
                <w:color w:val="auto"/>
              </w:rPr>
            </w:pPr>
          </w:p>
        </w:tc>
        <w:tc>
          <w:tcPr>
            <w:tcW w:w="100" w:type="dxa"/>
            <w:vAlign w:val="bottom"/>
            <w:shd w:val="clear" w:color="auto" w:fill="CCF0FC"/>
          </w:tcPr>
          <w:p>
            <w:pPr>
              <w:spacing w:after="0"/>
              <w:rPr>
                <w:sz w:val="19"/>
                <w:szCs w:val="19"/>
                <w:color w:val="auto"/>
              </w:rPr>
            </w:pPr>
          </w:p>
        </w:tc>
        <w:tc>
          <w:tcPr>
            <w:tcW w:w="340" w:type="dxa"/>
            <w:vAlign w:val="bottom"/>
            <w:shd w:val="clear" w:color="auto" w:fill="CCF0FC"/>
          </w:tcPr>
          <w:p>
            <w:pPr>
              <w:spacing w:after="0"/>
              <w:rPr>
                <w:sz w:val="19"/>
                <w:szCs w:val="19"/>
                <w:color w:val="auto"/>
              </w:rPr>
            </w:pPr>
          </w:p>
        </w:tc>
        <w:tc>
          <w:tcPr>
            <w:tcW w:w="1020" w:type="dxa"/>
            <w:vAlign w:val="bottom"/>
            <w:shd w:val="clear" w:color="auto" w:fill="CCF0FC"/>
          </w:tcPr>
          <w:p>
            <w:pPr>
              <w:spacing w:after="0"/>
              <w:rPr>
                <w:sz w:val="19"/>
                <w:szCs w:val="19"/>
                <w:color w:val="auto"/>
              </w:rPr>
            </w:pPr>
          </w:p>
        </w:tc>
        <w:tc>
          <w:tcPr>
            <w:tcW w:w="120" w:type="dxa"/>
            <w:vAlign w:val="bottom"/>
            <w:shd w:val="clear" w:color="auto" w:fill="CCF0FC"/>
          </w:tcPr>
          <w:p>
            <w:pPr>
              <w:spacing w:after="0"/>
              <w:rPr>
                <w:sz w:val="19"/>
                <w:szCs w:val="19"/>
                <w:color w:val="auto"/>
              </w:rPr>
            </w:pPr>
          </w:p>
        </w:tc>
        <w:tc>
          <w:tcPr>
            <w:tcW w:w="460" w:type="dxa"/>
            <w:vAlign w:val="bottom"/>
            <w:shd w:val="clear" w:color="auto" w:fill="CCF0FC"/>
          </w:tcPr>
          <w:p>
            <w:pPr>
              <w:spacing w:after="0"/>
              <w:rPr>
                <w:sz w:val="19"/>
                <w:szCs w:val="19"/>
                <w:color w:val="auto"/>
              </w:rPr>
            </w:pPr>
          </w:p>
        </w:tc>
        <w:tc>
          <w:tcPr>
            <w:tcW w:w="900" w:type="dxa"/>
            <w:vAlign w:val="bottom"/>
            <w:shd w:val="clear" w:color="auto" w:fill="CCF0FC"/>
          </w:tcPr>
          <w:p>
            <w:pPr>
              <w:spacing w:after="0"/>
              <w:rPr>
                <w:sz w:val="19"/>
                <w:szCs w:val="19"/>
                <w:color w:val="auto"/>
              </w:rPr>
            </w:pPr>
          </w:p>
        </w:tc>
      </w:tr>
      <w:tr>
        <w:trPr>
          <w:trHeight w:val="304"/>
        </w:trPr>
        <w:tc>
          <w:tcPr>
            <w:tcW w:w="5620" w:type="dxa"/>
            <w:vAlign w:val="bottom"/>
            <w:tcBorders>
              <w:bottom w:val="single" w:sz="8" w:color="CCF0FC"/>
            </w:tcBorders>
          </w:tcPr>
          <w:p>
            <w:pPr>
              <w:ind w:left="120"/>
              <w:spacing w:after="0"/>
              <w:rPr>
                <w:sz w:val="20"/>
                <w:szCs w:val="20"/>
                <w:color w:val="auto"/>
              </w:rPr>
            </w:pPr>
            <w:r>
              <w:rPr>
                <w:rFonts w:ascii="Arial" w:cs="Arial" w:eastAsia="Arial" w:hAnsi="Arial"/>
                <w:sz w:val="18"/>
                <w:szCs w:val="18"/>
                <w:color w:val="auto"/>
              </w:rPr>
              <w:t>Net loss per share,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F0FC"/>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F0FC"/>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F0FC"/>
            </w:tcBorders>
          </w:tcPr>
          <w:p>
            <w:pPr>
              <w:spacing w:after="0"/>
              <w:rPr>
                <w:sz w:val="24"/>
                <w:szCs w:val="24"/>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51"/>
        </w:trPr>
        <w:tc>
          <w:tcPr>
            <w:tcW w:w="5620" w:type="dxa"/>
            <w:vAlign w:val="bottom"/>
            <w:tcBorders>
              <w:bottom w:val="single" w:sz="8" w:color="CCF0FC"/>
            </w:tcBorders>
            <w:shd w:val="clear" w:color="auto" w:fill="CCF0FC"/>
          </w:tcPr>
          <w:p>
            <w:pPr>
              <w:ind w:left="120"/>
              <w:spacing w:after="0"/>
              <w:rPr>
                <w:sz w:val="20"/>
                <w:szCs w:val="20"/>
                <w:color w:val="auto"/>
              </w:rPr>
            </w:pPr>
            <w:r>
              <w:rPr>
                <w:rFonts w:ascii="Arial" w:cs="Arial" w:eastAsia="Arial" w:hAnsi="Arial"/>
                <w:sz w:val="18"/>
                <w:szCs w:val="18"/>
                <w:color w:val="auto"/>
              </w:rPr>
              <w:t>Net loss per share, diluted</w:t>
            </w:r>
          </w:p>
        </w:tc>
        <w:tc>
          <w:tcPr>
            <w:tcW w:w="320" w:type="dxa"/>
            <w:vAlign w:val="bottom"/>
            <w:tcBorders>
              <w:bottom w:val="single" w:sz="8" w:color="auto"/>
            </w:tcBorders>
            <w:shd w:val="clear" w:color="auto" w:fill="CC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auto"/>
            </w:tcBorders>
            <w:shd w:val="clear" w:color="auto" w:fill="CC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F0FC"/>
            </w:tcBorders>
            <w:shd w:val="clear" w:color="auto" w:fill="CCF0FC"/>
          </w:tcPr>
          <w:p>
            <w:pPr>
              <w:spacing w:after="0"/>
              <w:rPr>
                <w:sz w:val="21"/>
                <w:szCs w:val="21"/>
                <w:color w:val="auto"/>
              </w:rPr>
            </w:pPr>
          </w:p>
        </w:tc>
        <w:tc>
          <w:tcPr>
            <w:tcW w:w="340" w:type="dxa"/>
            <w:vAlign w:val="bottom"/>
            <w:tcBorders>
              <w:bottom w:val="single" w:sz="8" w:color="auto"/>
            </w:tcBorders>
            <w:shd w:val="clear" w:color="auto" w:fill="CCF0FC"/>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F0FC"/>
            </w:tcBorders>
            <w:shd w:val="clear" w:color="auto" w:fill="CCF0FC"/>
          </w:tcPr>
          <w:p>
            <w:pPr>
              <w:spacing w:after="0"/>
              <w:rPr>
                <w:sz w:val="21"/>
                <w:szCs w:val="21"/>
                <w:color w:val="auto"/>
              </w:rPr>
            </w:pPr>
          </w:p>
        </w:tc>
        <w:tc>
          <w:tcPr>
            <w:tcW w:w="460" w:type="dxa"/>
            <w:vAlign w:val="bottom"/>
            <w:tcBorders>
              <w:bottom w:val="single" w:sz="8" w:color="auto"/>
            </w:tcBorders>
            <w:shd w:val="clear" w:color="auto" w:fill="CCF0FC"/>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F0FC"/>
          </w:tcPr>
          <w:p>
            <w:pPr>
              <w:jc w:val="right"/>
              <w:ind w:right="12"/>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446"/>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3"/>
              </w:rPr>
              <w:t>Three Months Ended</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15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87"/>
        </w:trPr>
        <w:tc>
          <w:tcPr>
            <w:tcW w:w="562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1560" w:type="dxa"/>
            <w:vAlign w:val="bottom"/>
            <w:tcBorders>
              <w:bottom w:val="single" w:sz="8" w:color="auto"/>
            </w:tcBorders>
            <w:gridSpan w:val="3"/>
            <w:vMerge w:val="continue"/>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84"/>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Warrants to purchase common stock</w:t>
            </w:r>
          </w:p>
        </w:tc>
        <w:tc>
          <w:tcPr>
            <w:tcW w:w="840" w:type="dxa"/>
            <w:vAlign w:val="bottom"/>
          </w:tcPr>
          <w:p>
            <w:pPr>
              <w:spacing w:after="0"/>
              <w:rPr>
                <w:sz w:val="21"/>
                <w:szCs w:val="21"/>
                <w:color w:val="auto"/>
              </w:rPr>
            </w:pPr>
          </w:p>
        </w:tc>
        <w:tc>
          <w:tcPr>
            <w:tcW w:w="1560" w:type="dxa"/>
            <w:vAlign w:val="bottom"/>
            <w:gridSpan w:val="3"/>
          </w:tcPr>
          <w:p>
            <w:pPr>
              <w:jc w:val="right"/>
              <w:ind w:right="11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FF0FC"/>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FF0FC"/>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8"/>
                <w:szCs w:val="18"/>
                <w:color w:val="auto"/>
                <w:w w:val="84"/>
              </w:rPr>
              <w:t>1,755</w:t>
            </w:r>
          </w:p>
        </w:tc>
        <w:tc>
          <w:tcPr>
            <w:tcW w:w="12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922</w:t>
            </w:r>
          </w:p>
        </w:tc>
        <w:tc>
          <w:tcPr>
            <w:tcW w:w="14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 xml:space="preserve">In March 2016, the Financial Accounting Standards Board (the “FASB”) issued Accounting Standards Update (“ASU”) 2016-09,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 Improvements to Employee Share-Based Payment Accounting</w:t>
      </w:r>
      <w:r>
        <w:rPr>
          <w:rFonts w:ascii="Arial" w:cs="Arial" w:eastAsia="Arial" w:hAnsi="Arial"/>
          <w:sz w:val="17"/>
          <w:szCs w:val="17"/>
          <w:color w:val="auto"/>
        </w:rPr>
        <w:t>. Under the new guidance, additional paid-in capital pools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eliminated and entities will be required to recognize the income tax effects of share-based awards in the income statement when share-based awards vest or are settled. ASU 2016-09 also changes the classification of excess tax benefits on the statement of cash flows. It also will allow an employer to repurchase more of an employee's shares than it can currently for tax withholding purposes without triggering liability accounting and to make a policy election to either account for forfeitures as they occur or to continue the current practice of estimating forfeitures at the time of grant. ASU 2016-09 became effective for annual reporting periods beginning January 1, 2017, including interim periods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8" w:name="page9"/>
    <w:bookmarkEnd w:id="8"/>
    <w:p>
      <w:pPr>
        <w:ind w:right="80"/>
        <w:spacing w:after="0" w:line="264" w:lineRule="auto"/>
        <w:rPr>
          <w:sz w:val="20"/>
          <w:szCs w:val="20"/>
          <w:color w:val="auto"/>
        </w:rPr>
      </w:pPr>
      <w:r>
        <w:rPr>
          <w:rFonts w:ascii="Arial" w:cs="Arial" w:eastAsia="Arial" w:hAnsi="Arial"/>
          <w:sz w:val="18"/>
          <w:szCs w:val="18"/>
          <w:color w:val="auto"/>
        </w:rPr>
        <w:t>thereafter. Upon adoption of this standard in January 2017, we recognized a cumulative increase of $41,000 to our accumulated deficit as a result of a change in accounting policy, due to our transition from calculating an estimated forfeiture rate at grant date to recording actual forfeitures as they occur. We did not record any other adjustments upon adoption of this standard.</w:t>
      </w:r>
    </w:p>
    <w:p>
      <w:pPr>
        <w:spacing w:after="0" w:line="181" w:lineRule="exact"/>
        <w:rPr>
          <w:sz w:val="20"/>
          <w:szCs w:val="20"/>
          <w:color w:val="auto"/>
        </w:rPr>
      </w:pPr>
    </w:p>
    <w:p>
      <w:pPr>
        <w:ind w:right="160" w:firstLine="446"/>
        <w:spacing w:after="0" w:line="27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which requires companies to include cash and cash equivalents that have restrictions on withdrawal or use in total cash and cash equivalents on the statement of cash flows. ASU 2016-18 becomes effective for annual reporting periods beginning January 1, 2018, including interim periods thereafter; early adoption is permitted, including adoption in an interim period. Upon early adoption of this standard in January 2017, we adjusted our consolidated statement of cash flows to include $60,000 in restricted cash in the beginning and ending cash balance. We did not record any other adjustments upon adoption of this standard.</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will transition this standard using the modified retrospective approach for our annual reporting period beginning January 1, 2018. While we are continuing to assess all potential impacts of the standard, we currently believe the most significant impacts relate to our accounting for variable consideration including revenues related to contingent “milestone” based payments and our disclosures required under the new standard as it relates to our two ongoing collaboration agreements, TESARO and Celgene. Application of the new standard requires that variable consideration be recognized to the extent that it is probable that a significant reversal in the amount of revenue will not occur when the uncertainty associated with the variable consideration is subsequently resolved. Accordingly, we may be required to recognize milestone payments earlier in the period in which we determine a significant reversal will not occur, rather than when the milestone is achieved. However, we have reviewed the TESARO and Celgene agreements and have determined that given the nature of potential milestones owed to us under these agreements, and the inherent risk involved in developing drugs, we believe that the majority of potential milestones will not be recognizable as of the standard adoption date. Additionally, while we currently disaggregate our revenue disclosures by collaborative agreement, additional discussion surrounding significant estimates made by management will be required.</w:t>
      </w:r>
    </w:p>
    <w:p>
      <w:pPr>
        <w:spacing w:after="0" w:line="175" w:lineRule="exact"/>
        <w:rPr>
          <w:sz w:val="20"/>
          <w:szCs w:val="20"/>
          <w:color w:val="auto"/>
        </w:rPr>
      </w:pPr>
    </w:p>
    <w:p>
      <w:pPr>
        <w:ind w:firstLine="44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intend to adopt this standard as of January 1, 2018 and do not anticipate this standard will have a material impact on our consolidated financial statements.</w:t>
      </w:r>
    </w:p>
    <w:p>
      <w:pPr>
        <w:spacing w:after="0" w:line="165" w:lineRule="exact"/>
        <w:rPr>
          <w:sz w:val="20"/>
          <w:szCs w:val="20"/>
          <w:color w:val="auto"/>
        </w:rPr>
      </w:pPr>
    </w:p>
    <w:p>
      <w:pPr>
        <w:ind w:right="380" w:firstLine="446"/>
        <w:spacing w:after="0" w:line="312"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have begun analyzing recently executed contracts for embedded leases and have begun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right="60"/>
        <w:spacing w:after="0" w:line="277" w:lineRule="auto"/>
        <w:rPr>
          <w:sz w:val="20"/>
          <w:szCs w:val="20"/>
          <w:color w:val="auto"/>
        </w:rPr>
      </w:pPr>
      <w:r>
        <w:rPr>
          <w:rFonts w:ascii="Arial" w:cs="Arial" w:eastAsia="Arial" w:hAnsi="Arial"/>
          <w:sz w:val="18"/>
          <w:szCs w:val="18"/>
          <w:color w:val="auto"/>
        </w:rPr>
        <w:t>review historical contracts that are still in effect for 2017, including our outstanding lease agreements. We continue to assess the impact that this standard will have on our consolidated financial statements.</w:t>
      </w:r>
    </w:p>
    <w:p>
      <w:pPr>
        <w:spacing w:after="0" w:line="170"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xml:space="preserve"> which provides further guidance as to what constitutes a modification to the terms of shared based compensation, in order to create consistency in practice amongst all entities. ASU 2017-09 becomes effective for annual reporting periods beginning after December 15, 2017, including interim periods thereafter; early adoption is permitted, including adoption in an interim period. We intend to adopt this standard as of January 1, 2018, and do not anticipate this standard will have a material impact on our consolidated financial statements.</w:t>
      </w:r>
    </w:p>
    <w:p>
      <w:pPr>
        <w:spacing w:after="0" w:line="292" w:lineRule="exact"/>
        <w:rPr>
          <w:sz w:val="20"/>
          <w:szCs w:val="20"/>
          <w:color w:val="auto"/>
        </w:rPr>
      </w:pPr>
    </w:p>
    <w:p>
      <w:pPr>
        <w:ind w:left="260" w:right="7040" w:hanging="252"/>
        <w:spacing w:after="0" w:line="378" w:lineRule="auto"/>
        <w:tabs>
          <w:tab w:leader="none" w:pos="19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Balance Sheet Accounts and Supplemental Disclosures </w:t>
      </w:r>
      <w:r>
        <w:rPr>
          <w:rFonts w:ascii="Arial" w:cs="Arial" w:eastAsia="Arial" w:hAnsi="Arial"/>
          <w:sz w:val="18"/>
          <w:szCs w:val="18"/>
          <w:b w:val="1"/>
          <w:bCs w:val="1"/>
          <w:i w:val="1"/>
          <w:iCs w:val="1"/>
          <w:color w:val="auto"/>
        </w:rPr>
        <w:t>Property and Equipment</w:t>
      </w: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16"/>
                <w:szCs w:val="16"/>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Laboratory equipment</w:t>
            </w: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3,488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(3,931)</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Accrued Expenses</w:t>
            </w: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220" w:type="dxa"/>
            <w:vAlign w:val="bottom"/>
          </w:tcPr>
          <w:p>
            <w:pPr>
              <w:spacing w:after="0"/>
              <w:rPr>
                <w:sz w:val="24"/>
                <w:szCs w:val="24"/>
                <w:color w:val="auto"/>
              </w:rPr>
            </w:pPr>
          </w:p>
        </w:tc>
        <w:tc>
          <w:tcPr>
            <w:tcW w:w="1600" w:type="dxa"/>
            <w:vAlign w:val="bottom"/>
          </w:tcPr>
          <w:p>
            <w:pPr>
              <w:jc w:val="right"/>
              <w:ind w:right="233"/>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1,257</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Accrued research and contract manufacturing expenses</w:t>
            </w: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
        </w:trPr>
        <w:tc>
          <w:tcPr>
            <w:tcW w:w="76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right="7240" w:hanging="252"/>
        <w:spacing w:after="0" w:line="375" w:lineRule="auto"/>
        <w:tabs>
          <w:tab w:leader="none" w:pos="197"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Collaborative Research and Development Agreements TESARO Collaboration</w:t>
      </w:r>
    </w:p>
    <w:p>
      <w:pPr>
        <w:spacing w:after="0" w:line="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Amendment No. 1 to the Agreement to add an antibody discovery program against an undisclosed fourth target for an upfront license fee of $2.0 million.</w:t>
      </w:r>
    </w:p>
    <w:p>
      <w:pPr>
        <w:spacing w:after="0" w:line="178"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For each development program, we are eligible to receive milestone payments of up to $18.0 million if certain preclinical and clinical trial events are achieved by TESARO, up to an additional $90.0 million if certain U.S. and European regulatory submissions and approvals in multiple indications are achieved, and up to an additional $165.0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million upon the achievement of specified levels of annual worldwide net sales. We will also be eligible to receive tiered single-digit royalties related to worldwide net sales of products developed under the collaboration. Unless earlier terminated by either party upon specified circumstances, the agreement will terminate, with respect to each specific developed product, upon the latter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were recognized was extended through December 31, 2016.</w:t>
      </w:r>
    </w:p>
    <w:p>
      <w:pPr>
        <w:spacing w:after="0" w:line="16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 xml:space="preserve">During the year ended December 31, 2015, we achieved two $1.0 million milestones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$77,000 and $0.2 million during the three and nine months ended September 30, 2016.</w:t>
      </w:r>
    </w:p>
    <w:p>
      <w:pPr>
        <w:spacing w:after="0" w:line="187" w:lineRule="exact"/>
        <w:rPr>
          <w:sz w:val="20"/>
          <w:szCs w:val="20"/>
          <w:color w:val="auto"/>
        </w:rPr>
      </w:pPr>
    </w:p>
    <w:p>
      <w:pPr>
        <w:jc w:val="both"/>
        <w:ind w:right="420" w:firstLine="446"/>
        <w:spacing w:after="0" w:line="264"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for which we recognized $0.3 million and $3.6 million during the three and nine months ended September 30, 2016. The $4.0 million milestone payment was received in February 2016.</w:t>
      </w:r>
    </w:p>
    <w:p>
      <w:pPr>
        <w:spacing w:after="0" w:line="18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May 2016, TESARO received clearance of their IND from the FDA for AnaptysBio-generated anti-TIM3 antagonist antibody (TSR-022) resulting in us earning a $4.0 million milestone payment, for which we recognized $0.3 million and $3.6 million during the three and nine months ended September 30, 2016. The $4.0 million milestone payment was received in June 2016.</w:t>
      </w:r>
    </w:p>
    <w:p>
      <w:pPr>
        <w:spacing w:after="0" w:line="181" w:lineRule="exact"/>
        <w:rPr>
          <w:sz w:val="20"/>
          <w:szCs w:val="20"/>
          <w:color w:val="auto"/>
        </w:rPr>
      </w:pPr>
    </w:p>
    <w:p>
      <w:pPr>
        <w:jc w:val="both"/>
        <w:ind w:right="520" w:firstLine="446"/>
        <w:spacing w:after="0" w:line="264" w:lineRule="auto"/>
        <w:rPr>
          <w:sz w:val="20"/>
          <w:szCs w:val="20"/>
          <w:color w:val="auto"/>
        </w:rPr>
      </w:pPr>
      <w:r>
        <w:rPr>
          <w:rFonts w:ascii="Arial" w:cs="Arial" w:eastAsia="Arial" w:hAnsi="Arial"/>
          <w:sz w:val="18"/>
          <w:szCs w:val="18"/>
          <w:color w:val="auto"/>
        </w:rPr>
        <w:t xml:space="preserve">In September 2016, TESARO advanced initiation of </w:t>
      </w:r>
      <w:r>
        <w:rPr>
          <w:rFonts w:ascii="Arial" w:cs="Arial" w:eastAsia="Arial" w:hAnsi="Arial"/>
          <w:sz w:val="18"/>
          <w:szCs w:val="18"/>
          <w:i w:val="1"/>
          <w:iCs w:val="1"/>
          <w:color w:val="auto"/>
        </w:rPr>
        <w:t>in vivo toxicology</w:t>
      </w:r>
      <w:r>
        <w:rPr>
          <w:rFonts w:ascii="Arial" w:cs="Arial" w:eastAsia="Arial" w:hAnsi="Arial"/>
          <w:sz w:val="18"/>
          <w:szCs w:val="18"/>
          <w:color w:val="auto"/>
        </w:rPr>
        <w:t xml:space="preserve"> studies, using GLPs, for an AnaptysBio-generated anti-LAG-3 antagonist antibody (TSR-033) program resulting in us earning a $1.0 million milestone payment, for which we recognized $0.9 million during the three and nine months ended September 30, 2016. The $1.0 million milestone was received in September 2016.</w:t>
      </w:r>
    </w:p>
    <w:p>
      <w:pPr>
        <w:spacing w:after="0" w:line="181"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In April 2017, TESARO initiated a registration program for an AnaptysBio-generated anti-PD-1 antagonist antibody (TSR-042) resulting in a $3.0 million milestone payment being earned. We recognized the $3.0 million payment as revenue during the nine months ended September 30, 2017. The $3.0 million payment was received in May 2017.</w:t>
      </w:r>
    </w:p>
    <w:p>
      <w:pPr>
        <w:spacing w:after="0" w:line="100"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In June 2017, TESARO received clearance of their IND from the FDA for an AnaptysBio-generated anti-LAG-3 antagonist antibody (TSR-033) resulting in us earning a $4.0 million milestone payment. We recognized the $4.0 million payment as revenue during the nine months ended September 30, 2017. The $4.0 million payment was received in June 2017.</w:t>
      </w:r>
    </w:p>
    <w:p>
      <w:pPr>
        <w:spacing w:after="0" w:line="181"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We recognized no revenue under this agreement during the three months ended September 30, 2017. Revenue recognized under this agreement aggregated $3.2 million during the three months ended September 30, 2016, which includes $1.7 million related to milestones earned, $0.8 million in funding for research and development, $0.7 million for the amortization of the upfront fee.</w:t>
      </w:r>
    </w:p>
    <w:p>
      <w:pPr>
        <w:spacing w:after="0" w:line="181" w:lineRule="exact"/>
        <w:rPr>
          <w:sz w:val="20"/>
          <w:szCs w:val="20"/>
          <w:color w:val="auto"/>
        </w:rPr>
      </w:pPr>
    </w:p>
    <w:p>
      <w:pPr>
        <w:ind w:right="60" w:firstLine="446"/>
        <w:spacing w:after="0" w:line="312" w:lineRule="auto"/>
        <w:rPr>
          <w:sz w:val="20"/>
          <w:szCs w:val="20"/>
          <w:color w:val="auto"/>
        </w:rPr>
      </w:pPr>
      <w:r>
        <w:rPr>
          <w:rFonts w:ascii="Arial" w:cs="Arial" w:eastAsia="Arial" w:hAnsi="Arial"/>
          <w:sz w:val="16"/>
          <w:szCs w:val="16"/>
          <w:color w:val="auto"/>
        </w:rPr>
        <w:t>We recognized $7.0 million in revenue under this agreement during the nine months ended September 30, 2017 related to two milestones earned. Revenue recognized under this agreement aggregated $13.4 million during the nine months ended September 30, 2016, which includes $8.4 million related to milestones earned, $3.0 million in funding for research and development services and $2.0 million for the amortization of the upfront fee.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90" w:lineRule="exact"/>
        <w:rPr>
          <w:sz w:val="20"/>
          <w:szCs w:val="20"/>
          <w:color w:val="auto"/>
        </w:rPr>
      </w:pPr>
    </w:p>
    <w:p>
      <w:pPr>
        <w:jc w:val="both"/>
        <w:ind w:right="120" w:firstLine="44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93"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2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nine months ended September 30, 2016. The $0.5 million milestone payment was received in June 2016.</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revenue recognized under this agreement during the three and nine months ended September 30,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On December 24, 2014, we entered into a Loan and Security Agreement (as amended from time to time, the “Loan Agreement”) with a bank and a financial institution whereby we may borrow up to $15.0 million in three separate draws of $5.0 million each. The Term A Loans, for an aggregate of $5.0 million, were drawn on December 24, 2014 and each bear a fixed rate of interest of 6.97%. The Term B Loans for an aggregate of $5.0 million were initially available for draw through December 31, 2015, contingent upon our first multi-dose PK/toxicology studies on at least two development programs and the Term C Loans for an aggregate of $5.0 million were initially available for draw through December 31, 2016, contingent upon receiving FDA approval on IND submission on at least two development programs.</w:t>
      </w:r>
    </w:p>
    <w:p>
      <w:pPr>
        <w:spacing w:after="0" w:line="193"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41,208 shares of Series C Preferred Stock at an exercise price of $4.55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In January 2016, the Loan Agreement was amended to combine Term B Loans and Term C Loans for a total of $10.0 million available for draw through December 31, 2016 and delay the beginning of our Term A Loans’ principal repayments from February 1, 2016 until February 1, 2017. The Term B Loans and Term C Loans became available for draw on July 1, 2016. If the Term B Loans and Term C Loans were issued, they would bear interest at the greater of 6.95% or the 3-month LIBOR plus 6.72%, with principal payments beginning February 1, 2017 and with final maturity in January 2019.</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December 2016, we further amended the Loan Agreement to (i) allow for the Term B Loans and Term C Loans to be drawn on December 30, 2016,</w:t>
      </w:r>
    </w:p>
    <w:p>
      <w:pPr>
        <w:spacing w:after="0" w:line="46" w:lineRule="exact"/>
        <w:rPr>
          <w:sz w:val="20"/>
          <w:szCs w:val="20"/>
          <w:color w:val="auto"/>
        </w:rPr>
      </w:pPr>
    </w:p>
    <w:p>
      <w:pPr>
        <w:ind w:right="20" w:firstLine="8"/>
        <w:spacing w:after="0" w:line="261"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 principal repayments of all Term Loans until February 1, 2018 and (iii) amend the interest rate for each Term Loan. The Term B Loans and the Term C Loans were drawn 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2" w:name="page13"/>
    <w:bookmarkEnd w:id="12"/>
    <w:p>
      <w:pPr>
        <w:jc w:val="both"/>
        <w:ind w:right="120"/>
        <w:spacing w:after="0" w:line="264" w:lineRule="auto"/>
        <w:rPr>
          <w:sz w:val="20"/>
          <w:szCs w:val="20"/>
          <w:color w:val="auto"/>
        </w:rPr>
      </w:pPr>
      <w:r>
        <w:rPr>
          <w:rFonts w:ascii="Arial" w:cs="Arial" w:eastAsia="Arial" w:hAnsi="Arial"/>
          <w:sz w:val="18"/>
          <w:szCs w:val="18"/>
          <w:color w:val="auto"/>
        </w:rPr>
        <w:t>December 30, 2016. As of September 30, 2017, the Term Loans are due in four monthly interest-only payments through January 2018, followed by 24 equal monthly principal and interest payments beginning February 1, 2018, with final maturity in January 2020. Each Loan bears interest equal to the greater of 3-month U.S. LIBOR plus 6.37% or 7.3%. The interest rate was 7.69% as of September 30, 2017.</w:t>
      </w:r>
    </w:p>
    <w:p>
      <w:pPr>
        <w:spacing w:after="0" w:line="181"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In connection with the issuance of the Term B &amp; C Loans, we issued detachable, fully vested warrants to purchase an aggregate of 82,416 shares of Series C Preferred Stock at an exercise price of $4.55 per share to the lenders, which are subject to change under anti-dilution provisions. The warrants are exercisable at any time through December 2026. The grant-date fair value of the warrants of $0.9 million was recorded as a liability, with a reduction to the carrying value of the Term B &amp; C Loans, and which is recognized as additional interest expense over the remaining term of the Loans. The initial fair value of the warrants was determined using the Black-Scholes option pricing model with the following assumptions: a stock price volatility of 79.2%, an expected life equal to the contractual term of the warrants of ten years and a risk-free interest rate of 2.45%. As discussed in Note 7 below, all of the outstanding warrants to purchase shares of preferred stock automatically converted into warrants to purchase shares of common stock in connection with the IPO and are accounted for as equity from the conversion date forward. All warrants related to Term Loans were exercised during the nine months ended September 30, 2017.</w:t>
      </w:r>
    </w:p>
    <w:p>
      <w:pPr>
        <w:spacing w:after="0" w:line="166" w:lineRule="exact"/>
        <w:rPr>
          <w:sz w:val="20"/>
          <w:szCs w:val="20"/>
          <w:color w:val="auto"/>
        </w:rPr>
      </w:pPr>
    </w:p>
    <w:p>
      <w:pPr>
        <w:ind w:right="240" w:firstLine="446"/>
        <w:spacing w:after="0" w:line="312" w:lineRule="auto"/>
        <w:rPr>
          <w:sz w:val="20"/>
          <w:szCs w:val="20"/>
          <w:color w:val="auto"/>
        </w:rPr>
      </w:pPr>
      <w:r>
        <w:rPr>
          <w:rFonts w:ascii="Arial" w:cs="Arial" w:eastAsia="Arial" w:hAnsi="Arial"/>
          <w:sz w:val="16"/>
          <w:szCs w:val="16"/>
          <w:color w:val="auto"/>
        </w:rPr>
        <w:t>As of September 30, 2017, the carrying amount of the Term Loans were $14.3 million, which is net of discounts of $0.7 million and of which $5.0 million is classified as current liabilities as of September 30, 2017. The effective interest rate on the Term Loans at September 30, 2017 was 12.08%. As of September 30, 2017, future principal maturities of the Term Loans were $6.9 million, $7.5 million and $0.6 million in 2018, 2019 and 2020, respectively.</w:t>
      </w:r>
    </w:p>
    <w:p>
      <w:pPr>
        <w:spacing w:after="0" w:line="147"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Term Loans are secured by a first priority interest in most of our assets, excluding intellectual property. As of September 30, 2017, we were in compliance with the covenants contained in the Loan Agreement.</w:t>
      </w:r>
    </w:p>
    <w:p>
      <w:pPr>
        <w:spacing w:after="0" w:line="275" w:lineRule="exact"/>
        <w:rPr>
          <w:sz w:val="20"/>
          <w:szCs w:val="20"/>
          <w:color w:val="auto"/>
        </w:rPr>
      </w:pPr>
    </w:p>
    <w:p>
      <w:pPr>
        <w:ind w:left="260" w:right="6520" w:hanging="252"/>
        <w:spacing w:after="0" w:line="503" w:lineRule="auto"/>
        <w:tabs>
          <w:tab w:leader="none" w:pos="19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and Available for Sale Investments </w:t>
      </w:r>
      <w:r>
        <w:rPr>
          <w:rFonts w:ascii="Arial" w:cs="Arial" w:eastAsia="Arial" w:hAnsi="Arial"/>
          <w:sz w:val="18"/>
          <w:szCs w:val="18"/>
          <w:b w:val="1"/>
          <w:bCs w:val="1"/>
          <w:i w:val="1"/>
          <w:iCs w:val="1"/>
          <w:color w:val="auto"/>
        </w:rPr>
        <w:t>Fair Value Measurements</w:t>
      </w:r>
    </w:p>
    <w:p>
      <w:pPr>
        <w:spacing w:after="0" w:line="1"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Our financial instruments consist principally of cash, cash equivalents, restricted cash, short-term and long-term investments, receivables, accounts payable, notes payable and, through January 31, 2017, preferred stock warrant liabilities. Certain of our financial assets and liabilities have been recorded at fair value in the consolidated balance sheet in accordance with the accounting standards for fair value measurements.</w:t>
      </w:r>
    </w:p>
    <w:p>
      <w:pPr>
        <w:spacing w:after="0" w:line="166"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73"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Level 3 - Unobservable inputs that are supported by little or no market activities, therefore requiring an entity to develop its own assumptions.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3" w:name="page14"/>
    <w:bookmarkEnd w:id="13"/>
    <w:p>
      <w:pPr>
        <w:ind w:left="38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17"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9"/>
              </w:rPr>
              <w:t>Fair Value Measurements at End of Period Using:</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Quoted Market</w:t>
            </w:r>
          </w:p>
        </w:tc>
        <w:tc>
          <w:tcPr>
            <w:tcW w:w="18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4"/>
                <w:szCs w:val="14"/>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Other Observable</w:t>
            </w:r>
          </w:p>
        </w:tc>
        <w:tc>
          <w:tcPr>
            <w:tcW w:w="26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3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9"/>
              </w:rPr>
              <w:t>Inputs</w:t>
            </w:r>
          </w:p>
        </w:tc>
        <w:tc>
          <w:tcPr>
            <w:tcW w:w="0" w:type="dxa"/>
            <w:vAlign w:val="bottom"/>
          </w:tcPr>
          <w:p>
            <w:pPr>
              <w:spacing w:after="0"/>
              <w:rPr>
                <w:sz w:val="1"/>
                <w:szCs w:val="1"/>
                <w:color w:val="auto"/>
              </w:rPr>
            </w:pPr>
          </w:p>
        </w:tc>
      </w:tr>
      <w:tr>
        <w:trPr>
          <w:trHeight w:val="192"/>
        </w:trPr>
        <w:tc>
          <w:tcPr>
            <w:tcW w:w="4700" w:type="dxa"/>
            <w:vAlign w:val="bottom"/>
            <w:gridSpan w:val="4"/>
            <w:vMerge w:val="continue"/>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4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4700" w:type="dxa"/>
            <w:vAlign w:val="bottom"/>
            <w:tcBorders>
              <w:top w:val="single" w:sz="8" w:color="CFF0FC"/>
            </w:tcBorders>
            <w:gridSpan w:val="4"/>
            <w:shd w:val="clear" w:color="auto" w:fill="CFF0FC"/>
          </w:tcPr>
          <w:p>
            <w:pPr>
              <w:ind w:left="40"/>
              <w:spacing w:after="0" w:line="189" w:lineRule="exact"/>
              <w:rPr>
                <w:sz w:val="20"/>
                <w:szCs w:val="20"/>
                <w:color w:val="auto"/>
              </w:rPr>
            </w:pPr>
            <w:r>
              <w:rPr>
                <w:rFonts w:ascii="Arial" w:cs="Arial" w:eastAsia="Arial" w:hAnsi="Arial"/>
                <w:sz w:val="18"/>
                <w:szCs w:val="18"/>
                <w:b w:val="1"/>
                <w:bCs w:val="1"/>
                <w:color w:val="auto"/>
              </w:rPr>
              <w:t>At September 30, 2017</w:t>
            </w:r>
          </w:p>
        </w:tc>
        <w:tc>
          <w:tcPr>
            <w:tcW w:w="10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3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4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FF0FC"/>
            </w:tcBorders>
            <w:shd w:val="clear" w:color="auto" w:fill="CFF0FC"/>
          </w:tcPr>
          <w:p>
            <w:pPr>
              <w:spacing w:after="0"/>
              <w:rPr>
                <w:sz w:val="5"/>
                <w:szCs w:val="5"/>
                <w:color w:val="auto"/>
              </w:rPr>
            </w:pPr>
          </w:p>
        </w:tc>
        <w:tc>
          <w:tcPr>
            <w:tcW w:w="1680" w:type="dxa"/>
            <w:vAlign w:val="bottom"/>
            <w:tcBorders>
              <w:top w:val="single" w:sz="8" w:color="auto"/>
            </w:tcBorders>
            <w:shd w:val="clear" w:color="auto" w:fill="CFF0FC"/>
          </w:tcPr>
          <w:p>
            <w:pPr>
              <w:spacing w:after="0"/>
              <w:rPr>
                <w:sz w:val="5"/>
                <w:szCs w:val="5"/>
                <w:color w:val="auto"/>
              </w:rPr>
            </w:pPr>
          </w:p>
        </w:tc>
        <w:tc>
          <w:tcPr>
            <w:tcW w:w="60" w:type="dxa"/>
            <w:vAlign w:val="bottom"/>
            <w:tcBorders>
              <w:top w:val="single" w:sz="8" w:color="auto"/>
            </w:tcBorders>
            <w:shd w:val="clear" w:color="auto" w:fill="CFF0FC"/>
          </w:tcPr>
          <w:p>
            <w:pPr>
              <w:spacing w:after="0"/>
              <w:rPr>
                <w:sz w:val="5"/>
                <w:szCs w:val="5"/>
                <w:color w:val="auto"/>
              </w:rPr>
            </w:pPr>
          </w:p>
        </w:tc>
        <w:tc>
          <w:tcPr>
            <w:tcW w:w="2920" w:type="dxa"/>
            <w:vAlign w:val="bottom"/>
            <w:tcBorders>
              <w:top w:val="single" w:sz="8" w:color="CFF0FC"/>
            </w:tcBorders>
            <w:shd w:val="clear" w:color="auto" w:fill="CFF0FC"/>
          </w:tcPr>
          <w:p>
            <w:pPr>
              <w:spacing w:after="0"/>
              <w:rPr>
                <w:sz w:val="5"/>
                <w:szCs w:val="5"/>
                <w:color w:val="auto"/>
              </w:rPr>
            </w:pPr>
          </w:p>
        </w:tc>
        <w:tc>
          <w:tcPr>
            <w:tcW w:w="1000" w:type="dxa"/>
            <w:vAlign w:val="bottom"/>
            <w:tcBorders>
              <w:top w:val="single" w:sz="8" w:color="CFF0FC"/>
            </w:tcBorders>
            <w:shd w:val="clear" w:color="auto" w:fill="CFF0FC"/>
          </w:tcPr>
          <w:p>
            <w:pPr>
              <w:spacing w:after="0"/>
              <w:rPr>
                <w:sz w:val="5"/>
                <w:szCs w:val="5"/>
                <w:color w:val="auto"/>
              </w:rPr>
            </w:pPr>
          </w:p>
        </w:tc>
        <w:tc>
          <w:tcPr>
            <w:tcW w:w="6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20" w:type="dxa"/>
            <w:vAlign w:val="bottom"/>
            <w:tcBorders>
              <w:top w:val="single" w:sz="8" w:color="CFF0FC"/>
            </w:tcBorders>
            <w:shd w:val="clear" w:color="auto" w:fill="CFF0FC"/>
          </w:tcPr>
          <w:p>
            <w:pPr>
              <w:spacing w:after="0"/>
              <w:rPr>
                <w:sz w:val="5"/>
                <w:szCs w:val="5"/>
                <w:color w:val="auto"/>
              </w:rPr>
            </w:pPr>
          </w:p>
        </w:tc>
        <w:tc>
          <w:tcPr>
            <w:tcW w:w="138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CFF0FC"/>
            </w:tcBorders>
            <w:shd w:val="clear" w:color="auto" w:fill="CFF0FC"/>
          </w:tcPr>
          <w:p>
            <w:pPr>
              <w:spacing w:after="0"/>
              <w:rPr>
                <w:sz w:val="5"/>
                <w:szCs w:val="5"/>
                <w:color w:val="auto"/>
              </w:rPr>
            </w:pPr>
          </w:p>
        </w:tc>
        <w:tc>
          <w:tcPr>
            <w:tcW w:w="260" w:type="dxa"/>
            <w:vAlign w:val="bottom"/>
            <w:tcBorders>
              <w:top w:val="single" w:sz="8" w:color="CFF0FC"/>
            </w:tcBorders>
            <w:shd w:val="clear" w:color="auto" w:fill="CFF0FC"/>
          </w:tcPr>
          <w:p>
            <w:pPr>
              <w:spacing w:after="0"/>
              <w:rPr>
                <w:sz w:val="5"/>
                <w:szCs w:val="5"/>
                <w:color w:val="auto"/>
              </w:rPr>
            </w:pPr>
          </w:p>
        </w:tc>
        <w:tc>
          <w:tcPr>
            <w:tcW w:w="134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17,936</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17,936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(3)</w:t>
            </w:r>
          </w:p>
        </w:tc>
        <w:tc>
          <w:tcPr>
            <w:tcW w:w="10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44,023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44,023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(2)</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12,712</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12,712</w:t>
            </w:r>
          </w:p>
        </w:tc>
        <w:tc>
          <w:tcPr>
            <w:tcW w:w="1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(3)</w:t>
            </w:r>
          </w:p>
        </w:tc>
        <w:tc>
          <w:tcPr>
            <w:tcW w:w="1000" w:type="dxa"/>
            <w:vAlign w:val="bottom"/>
          </w:tcPr>
          <w:p>
            <w:pPr>
              <w:spacing w:after="0"/>
              <w:rPr>
                <w:sz w:val="24"/>
                <w:szCs w:val="24"/>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33,317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33,317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00" w:type="dxa"/>
            <w:vAlign w:val="bottom"/>
            <w:gridSpan w:val="4"/>
            <w:shd w:val="clear" w:color="auto" w:fill="CFF0FC"/>
          </w:tcPr>
          <w:p>
            <w:pPr>
              <w:ind w:left="40"/>
              <w:spacing w:after="0" w:line="202" w:lineRule="exact"/>
              <w:rPr>
                <w:sz w:val="20"/>
                <w:szCs w:val="20"/>
                <w:color w:val="auto"/>
              </w:rPr>
            </w:pPr>
            <w:r>
              <w:rPr>
                <w:rFonts w:ascii="Arial" w:cs="Arial" w:eastAsia="Arial" w:hAnsi="Arial"/>
                <w:sz w:val="18"/>
                <w:szCs w:val="18"/>
                <w:b w:val="1"/>
                <w:bCs w:val="1"/>
                <w:color w:val="auto"/>
              </w:rPr>
              <w:t>At December 31, 2016</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FF0FC"/>
            </w:tcBorders>
            <w:shd w:val="clear" w:color="auto" w:fill="CFF0FC"/>
          </w:tcPr>
          <w:p>
            <w:pPr>
              <w:spacing w:after="0"/>
              <w:rPr>
                <w:sz w:val="4"/>
                <w:szCs w:val="4"/>
                <w:color w:val="auto"/>
              </w:rPr>
            </w:pPr>
          </w:p>
        </w:tc>
        <w:tc>
          <w:tcPr>
            <w:tcW w:w="1680" w:type="dxa"/>
            <w:vAlign w:val="bottom"/>
            <w:tcBorders>
              <w:top w:val="single" w:sz="8" w:color="auto"/>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92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38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14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3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700" w:type="dxa"/>
            <w:vAlign w:val="bottom"/>
            <w:gridSpan w:val="4"/>
          </w:tcPr>
          <w:p>
            <w:pPr>
              <w:ind w:left="40"/>
              <w:spacing w:after="0" w:line="28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31,955</w:t>
            </w:r>
          </w:p>
        </w:tc>
        <w:tc>
          <w:tcPr>
            <w:tcW w:w="100" w:type="dxa"/>
            <w:vAlign w:val="bottom"/>
          </w:tcPr>
          <w:p>
            <w:pPr>
              <w:spacing w:after="0"/>
              <w:rPr>
                <w:sz w:val="24"/>
                <w:szCs w:val="24"/>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31,955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700" w:type="dxa"/>
            <w:vAlign w:val="bottom"/>
            <w:gridSpan w:val="4"/>
            <w:shd w:val="clear" w:color="auto" w:fill="CFF0FC"/>
          </w:tcPr>
          <w:p>
            <w:pPr>
              <w:ind w:left="40"/>
              <w:spacing w:after="0" w:line="283" w:lineRule="exact"/>
              <w:rPr>
                <w:sz w:val="20"/>
                <w:szCs w:val="20"/>
                <w:color w:val="auto"/>
              </w:rPr>
            </w:pPr>
            <w:r>
              <w:rPr>
                <w:rFonts w:ascii="Arial" w:cs="Arial" w:eastAsia="Arial" w:hAnsi="Arial"/>
                <w:sz w:val="18"/>
                <w:szCs w:val="18"/>
                <w:color w:val="auto"/>
              </w:rPr>
              <w:t>Mutual funds</w:t>
            </w:r>
            <w:r>
              <w:rPr>
                <w:rFonts w:ascii="Arial" w:cs="Arial" w:eastAsia="Arial" w:hAnsi="Arial"/>
                <w:sz w:val="25"/>
                <w:szCs w:val="25"/>
                <w:color w:val="auto"/>
                <w:vertAlign w:val="superscript"/>
              </w:rPr>
              <w:t>(1)</w:t>
            </w:r>
          </w:p>
        </w:tc>
        <w:tc>
          <w:tcPr>
            <w:tcW w:w="10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87"/>
              </w:rPr>
              <w:t>17,620</w:t>
            </w: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3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17,620</w:t>
            </w:r>
          </w:p>
        </w:tc>
        <w:tc>
          <w:tcPr>
            <w:tcW w:w="10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4"/>
          </w:tcPr>
          <w:p>
            <w:pPr>
              <w:ind w:left="40"/>
              <w:spacing w:after="0"/>
              <w:rPr>
                <w:sz w:val="20"/>
                <w:szCs w:val="20"/>
                <w:color w:val="auto"/>
              </w:rPr>
            </w:pPr>
            <w:r>
              <w:rPr>
                <w:rFonts w:ascii="Arial" w:cs="Arial" w:eastAsia="Arial" w:hAnsi="Arial"/>
                <w:sz w:val="18"/>
                <w:szCs w:val="18"/>
                <w:color w:val="auto"/>
              </w:rPr>
              <w:t>Preferred stock warrant liabilities</w:t>
            </w: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722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3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Included in cash and cash equivalents, and restricted cash in the accompanying consolidated balance sheets.</w:t>
      </w:r>
    </w:p>
    <w:p>
      <w:pPr>
        <w:spacing w:after="0" w:line="28" w:lineRule="exact"/>
        <w:rPr>
          <w:rFonts w:ascii="Arial" w:cs="Arial" w:eastAsia="Arial" w:hAnsi="Arial"/>
          <w:sz w:val="25"/>
          <w:szCs w:val="25"/>
          <w:color w:val="auto"/>
          <w:vertAlign w:val="superscript"/>
        </w:rPr>
      </w:pPr>
    </w:p>
    <w:p>
      <w:pPr>
        <w:ind w:left="460" w:hanging="452"/>
        <w:spacing w:after="0" w:line="186" w:lineRule="auto"/>
        <w:tabs>
          <w:tab w:leader="none" w:pos="4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Included in short-term or long-term investments in the accompanying consolidated balance sheets depending on the respective maturity date.</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Included in short-term investments in the accompanying consolidated balance sheets.</w:t>
      </w:r>
    </w:p>
    <w:p>
      <w:pPr>
        <w:spacing w:after="0" w:line="256"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181" w:lineRule="exact"/>
        <w:rPr>
          <w:sz w:val="20"/>
          <w:szCs w:val="20"/>
          <w:color w:val="auto"/>
        </w:rPr>
      </w:pPr>
    </w:p>
    <w:p>
      <w:pPr>
        <w:jc w:val="both"/>
        <w:ind w:right="260" w:firstLine="446"/>
        <w:spacing w:after="0" w:line="312" w:lineRule="auto"/>
        <w:rPr>
          <w:sz w:val="20"/>
          <w:szCs w:val="20"/>
          <w:color w:val="auto"/>
        </w:rPr>
      </w:pPr>
      <w:r>
        <w:rPr>
          <w:rFonts w:ascii="Arial" w:cs="Arial" w:eastAsia="Arial" w:hAnsi="Arial"/>
          <w:sz w:val="16"/>
          <w:szCs w:val="16"/>
          <w:i w:val="1"/>
          <w:iCs w:val="1"/>
          <w:color w:val="auto"/>
        </w:rPr>
        <w:t xml:space="preserve">Warrant Liabilities. </w:t>
      </w:r>
      <w:r>
        <w:rPr>
          <w:rFonts w:ascii="Arial" w:cs="Arial" w:eastAsia="Arial" w:hAnsi="Arial"/>
          <w:sz w:val="16"/>
          <w:szCs w:val="16"/>
          <w:color w:val="auto"/>
        </w:rPr>
        <w:t>Our preferred stock warrants were accounted for as derivative liabilities and measured at fair value on a recurring basis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2017 as they contained features that were either not afforded equity classification or embodied risks that were not clearly and closely related to host contracts. We estimated the fair value of these derivatives utilizing the Black-Scholes option-pricing model, which requires Level 3 inputs.</w:t>
      </w:r>
    </w:p>
    <w:p>
      <w:pPr>
        <w:spacing w:after="0" w:line="147"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As discussed in Note 7 below, all of the outstanding warrants to purchase shares of preferred stock automatically converted into warrants to purchase shares of common stock in connection with the IPO and are accounted for as equity from the conversion date forward. Prior to the conversion, we estimated the fair value of convertible preferred stock warrants at the time of issuance and subsequent remeasurement using the Black-Scholes option-pricing model at each reporting date.</w:t>
      </w:r>
    </w:p>
    <w:p>
      <w:pPr>
        <w:spacing w:after="0" w:line="187" w:lineRule="exact"/>
        <w:rPr>
          <w:sz w:val="20"/>
          <w:szCs w:val="20"/>
          <w:color w:val="auto"/>
        </w:rPr>
      </w:pPr>
    </w:p>
    <w:p>
      <w:pPr>
        <w:jc w:val="both"/>
        <w:ind w:right="200" w:firstLine="44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ind w:left="50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 as of January 31, 2017, the conversion date, and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4"/>
                <w:szCs w:val="14"/>
                <w:color w:val="auto"/>
              </w:rPr>
            </w:pPr>
          </w:p>
        </w:tc>
        <w:tc>
          <w:tcPr>
            <w:tcW w:w="1320" w:type="dxa"/>
            <w:vAlign w:val="bottom"/>
          </w:tcPr>
          <w:p>
            <w:pPr>
              <w:jc w:val="right"/>
              <w:ind w:right="274"/>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Fair value of preferred stock</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ind w:right="114"/>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FF0FC"/>
            </w:tcBorders>
            <w:shd w:val="clear" w:color="auto" w:fill="CFF0FC"/>
          </w:tcPr>
          <w:p>
            <w:pPr>
              <w:jc w:val="right"/>
              <w:ind w:right="94"/>
              <w:spacing w:after="0"/>
              <w:rPr>
                <w:sz w:val="20"/>
                <w:szCs w:val="20"/>
                <w:color w:val="auto"/>
              </w:rPr>
            </w:pPr>
            <w:r>
              <w:rPr>
                <w:rFonts w:ascii="Arial" w:cs="Arial" w:eastAsia="Arial" w:hAnsi="Arial"/>
                <w:sz w:val="18"/>
                <w:szCs w:val="18"/>
                <w:color w:val="auto"/>
              </w:rPr>
              <w:t>12.67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Exercise price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4.55</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28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2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Dividend Yield</w:t>
            </w:r>
          </w:p>
        </w:tc>
        <w:tc>
          <w:tcPr>
            <w:tcW w:w="2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gridSpan w:val="2"/>
            <w:shd w:val="clear" w:color="auto" w:fill="CFF0FC"/>
          </w:tcPr>
          <w:p>
            <w:pPr>
              <w:ind w:left="9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Contractual term (in years)</w:t>
            </w:r>
          </w:p>
        </w:tc>
        <w:tc>
          <w:tcPr>
            <w:tcW w:w="280" w:type="dxa"/>
            <w:vAlign w:val="bottom"/>
          </w:tcPr>
          <w:p>
            <w:pPr>
              <w:spacing w:after="0"/>
              <w:rPr>
                <w:sz w:val="21"/>
                <w:szCs w:val="21"/>
                <w:color w:val="auto"/>
              </w:rPr>
            </w:pPr>
          </w:p>
        </w:tc>
        <w:tc>
          <w:tcPr>
            <w:tcW w:w="1280" w:type="dxa"/>
            <w:vAlign w:val="bottom"/>
          </w:tcPr>
          <w:p>
            <w:pPr>
              <w:jc w:val="right"/>
              <w:ind w:right="114"/>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3.8</w:t>
            </w:r>
          </w:p>
        </w:tc>
      </w:tr>
      <w:tr>
        <w:trPr>
          <w:trHeight w:val="27"/>
        </w:trPr>
        <w:tc>
          <w:tcPr>
            <w:tcW w:w="8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measurement date fair value per share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9.65</w:t>
            </w:r>
          </w:p>
        </w:tc>
      </w:tr>
      <w:tr>
        <w:trPr>
          <w:trHeight w:val="27"/>
        </w:trPr>
        <w:tc>
          <w:tcPr>
            <w:tcW w:w="820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Preferred Stock Warrant Liabilities:</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gains (losses) included in other expense</w:t>
            </w:r>
          </w:p>
        </w:tc>
        <w:tc>
          <w:tcPr>
            <w:tcW w:w="36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335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Reclassification of warrant liabilities to equity</w:t>
            </w:r>
          </w:p>
        </w:tc>
        <w:tc>
          <w:tcPr>
            <w:tcW w:w="36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4,607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Ending balance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(1,214)</w:t>
            </w:r>
          </w:p>
        </w:tc>
      </w:tr>
      <w:tr>
        <w:trPr>
          <w:trHeight w:val="20"/>
        </w:trPr>
        <w:tc>
          <w:tcPr>
            <w:tcW w:w="83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other financial instruments estimated as of September 30, 2017 and December 31, 2016 are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920" w:type="dxa"/>
            <w:vAlign w:val="bottom"/>
            <w:tcBorders>
              <w:bottom w:val="single" w:sz="8" w:color="auto"/>
            </w:tcBorders>
          </w:tcPr>
          <w:p>
            <w:pPr>
              <w:spacing w:after="0"/>
              <w:rPr>
                <w:sz w:val="16"/>
                <w:szCs w:val="16"/>
                <w:color w:val="auto"/>
              </w:rPr>
            </w:pPr>
          </w:p>
        </w:tc>
      </w:tr>
      <w:tr>
        <w:trPr>
          <w:trHeight w:val="166"/>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4"/>
                <w:szCs w:val="1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560" w:type="dxa"/>
            <w:vAlign w:val="bottom"/>
          </w:tcPr>
          <w:p>
            <w:pPr>
              <w:spacing w:after="0"/>
              <w:rPr>
                <w:sz w:val="14"/>
                <w:szCs w:val="14"/>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center"/>
              <w:ind w:right="462"/>
              <w:spacing w:after="0"/>
              <w:rPr>
                <w:sz w:val="20"/>
                <w:szCs w:val="20"/>
                <w:color w:val="auto"/>
              </w:rPr>
            </w:pPr>
            <w:r>
              <w:rPr>
                <w:rFonts w:ascii="Arial" w:cs="Arial" w:eastAsia="Arial" w:hAnsi="Arial"/>
                <w:sz w:val="14"/>
                <w:szCs w:val="14"/>
                <w:b w:val="1"/>
                <w:bCs w:val="1"/>
                <w:color w:val="auto"/>
                <w:w w:val="90"/>
              </w:rPr>
              <w:t>Value</w:t>
            </w:r>
          </w:p>
        </w:tc>
      </w:tr>
      <w:tr>
        <w:trPr>
          <w:trHeight w:val="243"/>
        </w:trPr>
        <w:tc>
          <w:tcPr>
            <w:tcW w:w="516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Notes payable</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8"/>
                <w:szCs w:val="18"/>
                <w:color w:val="auto"/>
              </w:rPr>
              <w:t>14,269</w:t>
            </w:r>
          </w:p>
        </w:tc>
        <w:tc>
          <w:tcPr>
            <w:tcW w:w="12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15,642</w:t>
            </w:r>
          </w:p>
        </w:tc>
        <w:tc>
          <w:tcPr>
            <w:tcW w:w="100" w:type="dxa"/>
            <w:vAlign w:val="bottom"/>
            <w:tcBorders>
              <w:top w:val="single" w:sz="8" w:color="CFF0FC"/>
            </w:tcBorders>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13,809</w:t>
            </w:r>
          </w:p>
        </w:tc>
        <w:tc>
          <w:tcPr>
            <w:tcW w:w="100" w:type="dxa"/>
            <w:vAlign w:val="bottom"/>
            <w:tcBorders>
              <w:top w:val="single" w:sz="8" w:color="CFF0FC"/>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ind w:right="22"/>
              <w:spacing w:after="0"/>
              <w:rPr>
                <w:sz w:val="20"/>
                <w:szCs w:val="20"/>
                <w:color w:val="auto"/>
              </w:rPr>
            </w:pPr>
            <w:r>
              <w:rPr>
                <w:rFonts w:ascii="Arial" w:cs="Arial" w:eastAsia="Arial" w:hAnsi="Arial"/>
                <w:sz w:val="18"/>
                <w:szCs w:val="18"/>
                <w:color w:val="auto"/>
              </w:rPr>
              <w:t>15,531</w:t>
            </w:r>
          </w:p>
        </w:tc>
      </w:tr>
      <w:tr>
        <w:trPr>
          <w:trHeight w:val="27"/>
        </w:trPr>
        <w:tc>
          <w:tcPr>
            <w:tcW w:w="516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methods and assumptions were used to estimate the fair value of our notes payable:</w:t>
      </w:r>
    </w:p>
    <w:p>
      <w:pPr>
        <w:spacing w:after="0" w:line="225"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5" w:name="page16"/>
    <w:bookmarkEnd w:id="15"/>
    <w:p>
      <w:pPr>
        <w:ind w:left="260"/>
        <w:spacing w:after="0"/>
        <w:rPr>
          <w:sz w:val="20"/>
          <w:szCs w:val="20"/>
          <w:color w:val="auto"/>
        </w:rPr>
      </w:pPr>
      <w:r>
        <w:rPr>
          <w:rFonts w:ascii="Arial" w:cs="Arial" w:eastAsia="Arial" w:hAnsi="Arial"/>
          <w:sz w:val="18"/>
          <w:szCs w:val="18"/>
          <w:b w:val="1"/>
          <w:bCs w:val="1"/>
          <w:i w:val="1"/>
          <w:iCs w:val="1"/>
          <w:color w:val="auto"/>
        </w:rPr>
        <w:t>Available for Sale Investments</w:t>
      </w:r>
    </w:p>
    <w:p>
      <w:pPr>
        <w:spacing w:after="0" w:line="117"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In February 2017, we began investing our excess cash in agency securities, debt instruments of financial institutions and corporations, or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cash equivalents, short-term and long-term investments, as of September 30, 2017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4"/>
                <w:szCs w:val="14"/>
                <w:color w:val="auto"/>
              </w:rPr>
            </w:pPr>
          </w:p>
        </w:tc>
        <w:tc>
          <w:tcPr>
            <w:tcW w:w="120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FF0FC"/>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Unrealized Gains</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1"/>
              </w:rPr>
              <w:t>Unrealized Losses</w:t>
            </w:r>
          </w:p>
        </w:tc>
        <w:tc>
          <w:tcPr>
            <w:tcW w:w="1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Agency securities</w:t>
            </w:r>
            <w:r>
              <w:rPr>
                <w:rFonts w:ascii="Arial" w:cs="Arial" w:eastAsia="Arial" w:hAnsi="Arial"/>
                <w:sz w:val="25"/>
                <w:szCs w:val="25"/>
                <w:color w:val="auto"/>
                <w:vertAlign w:val="superscript"/>
              </w:rPr>
              <w:t>(1)</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12,724</w:t>
            </w:r>
          </w:p>
        </w:tc>
        <w:tc>
          <w:tcPr>
            <w:tcW w:w="120" w:type="dxa"/>
            <w:vAlign w:val="bottom"/>
            <w:shd w:val="clear" w:color="auto" w:fill="CFF0FC"/>
          </w:tcPr>
          <w:p>
            <w:pPr>
              <w:spacing w:after="0"/>
              <w:rPr>
                <w:sz w:val="23"/>
                <w:szCs w:val="23"/>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12,712</w:t>
            </w:r>
          </w:p>
        </w:tc>
        <w:tc>
          <w:tcPr>
            <w:tcW w:w="0" w:type="dxa"/>
            <w:vAlign w:val="bottom"/>
          </w:tcPr>
          <w:p>
            <w:pPr>
              <w:spacing w:after="0"/>
              <w:rPr>
                <w:sz w:val="1"/>
                <w:szCs w:val="1"/>
                <w:color w:val="auto"/>
              </w:rPr>
            </w:pPr>
          </w:p>
        </w:tc>
      </w:tr>
      <w:tr>
        <w:trPr>
          <w:trHeight w:val="270"/>
        </w:trPr>
        <w:tc>
          <w:tcPr>
            <w:tcW w:w="5160" w:type="dxa"/>
            <w:vAlign w:val="bottom"/>
          </w:tcPr>
          <w:p>
            <w:pPr>
              <w:ind w:left="40"/>
              <w:spacing w:after="0" w:line="270" w:lineRule="exact"/>
              <w:rPr>
                <w:sz w:val="20"/>
                <w:szCs w:val="20"/>
                <w:color w:val="auto"/>
              </w:rPr>
            </w:pPr>
            <w:r>
              <w:rPr>
                <w:rFonts w:ascii="Arial" w:cs="Arial" w:eastAsia="Arial" w:hAnsi="Arial"/>
                <w:sz w:val="18"/>
                <w:szCs w:val="18"/>
                <w:color w:val="auto"/>
              </w:rPr>
              <w:t>Commercial and corporate obligations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33,330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33,317</w:t>
            </w:r>
          </w:p>
        </w:tc>
        <w:tc>
          <w:tcPr>
            <w:tcW w:w="0" w:type="dxa"/>
            <w:vAlign w:val="bottom"/>
          </w:tcPr>
          <w:p>
            <w:pPr>
              <w:spacing w:after="0"/>
              <w:rPr>
                <w:sz w:val="1"/>
                <w:szCs w:val="1"/>
                <w:color w:val="auto"/>
              </w:rPr>
            </w:pPr>
          </w:p>
        </w:tc>
      </w:tr>
      <w:tr>
        <w:trPr>
          <w:trHeight w:val="270"/>
        </w:trPr>
        <w:tc>
          <w:tcPr>
            <w:tcW w:w="5160" w:type="dxa"/>
            <w:vAlign w:val="bottom"/>
            <w:shd w:val="clear" w:color="auto" w:fill="CFF0FC"/>
          </w:tcPr>
          <w:p>
            <w:pPr>
              <w:ind w:left="40"/>
              <w:spacing w:after="0" w:line="270"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5"/>
                <w:szCs w:val="25"/>
                <w:color w:val="auto"/>
                <w:vertAlign w:val="superscript"/>
              </w:rPr>
              <w:t>(3)</w:t>
            </w:r>
          </w:p>
        </w:tc>
        <w:tc>
          <w:tcPr>
            <w:tcW w:w="26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44,041</w:t>
            </w:r>
          </w:p>
        </w:tc>
        <w:tc>
          <w:tcPr>
            <w:tcW w:w="12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3"/>
                <w:szCs w:val="23"/>
                <w:color w:val="auto"/>
              </w:rPr>
            </w:pPr>
          </w:p>
        </w:tc>
        <w:tc>
          <w:tcPr>
            <w:tcW w:w="280" w:type="dxa"/>
            <w:vAlign w:val="bottom"/>
            <w:tcBorders>
              <w:bottom w:val="single" w:sz="8" w:color="auto"/>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44,023</w:t>
            </w:r>
          </w:p>
        </w:tc>
        <w:tc>
          <w:tcPr>
            <w:tcW w:w="0" w:type="dxa"/>
            <w:vAlign w:val="bottom"/>
          </w:tcPr>
          <w:p>
            <w:pPr>
              <w:spacing w:after="0"/>
              <w:rPr>
                <w:sz w:val="1"/>
                <w:szCs w:val="1"/>
                <w:color w:val="auto"/>
              </w:rPr>
            </w:pPr>
          </w:p>
        </w:tc>
      </w:tr>
      <w:tr>
        <w:trPr>
          <w:trHeight w:val="237"/>
        </w:trPr>
        <w:tc>
          <w:tcPr>
            <w:tcW w:w="5160" w:type="dxa"/>
            <w:vAlign w:val="bottom"/>
          </w:tcPr>
          <w:p>
            <w:pPr>
              <w:ind w:left="260"/>
              <w:spacing w:after="0"/>
              <w:rPr>
                <w:sz w:val="20"/>
                <w:szCs w:val="20"/>
                <w:color w:val="auto"/>
              </w:rPr>
            </w:pPr>
            <w:r>
              <w:rPr>
                <w:rFonts w:ascii="Arial" w:cs="Arial" w:eastAsia="Arial" w:hAnsi="Arial"/>
                <w:sz w:val="18"/>
                <w:szCs w:val="18"/>
                <w:color w:val="auto"/>
              </w:rPr>
              <w:t>Total available-for-sale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90,095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90,052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-728345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-728345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4232910</wp:posOffset>
            </wp:positionH>
            <wp:positionV relativeFrom="paragraph">
              <wp:posOffset>-728345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63" w:lineRule="exact"/>
        <w:rPr>
          <w:sz w:val="20"/>
          <w:szCs w:val="20"/>
          <w:color w:val="auto"/>
        </w:rPr>
      </w:pPr>
    </w:p>
    <w:p>
      <w:pPr>
        <w:ind w:left="460" w:right="220" w:hanging="452"/>
        <w:spacing w:after="0" w:line="216" w:lineRule="auto"/>
        <w:tabs>
          <w:tab w:leader="none" w:pos="4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Of our outstanding agency securities, $11.7 million have maturity dates of less than one year and $1.0 million have a maturity date of between one to two years as of September 30, 2017.</w:t>
      </w:r>
    </w:p>
    <w:p>
      <w:pPr>
        <w:spacing w:after="0" w:line="1" w:lineRule="exact"/>
        <w:rPr>
          <w:rFonts w:ascii="Arial" w:cs="Arial" w:eastAsia="Arial" w:hAnsi="Arial"/>
          <w:sz w:val="25"/>
          <w:szCs w:val="25"/>
          <w:color w:val="auto"/>
          <w:vertAlign w:val="superscript"/>
        </w:rPr>
      </w:pPr>
    </w:p>
    <w:p>
      <w:pPr>
        <w:ind w:left="460" w:hanging="452"/>
        <w:spacing w:after="0" w:line="211" w:lineRule="auto"/>
        <w:tabs>
          <w:tab w:leader="none" w:pos="4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Of our outstanding commercial and corporate obligations, $33.3 million have maturity dates of less than one year as of September 30, 2017.</w:t>
      </w:r>
    </w:p>
    <w:p>
      <w:pPr>
        <w:spacing w:after="0" w:line="2" w:lineRule="exact"/>
        <w:rPr>
          <w:rFonts w:ascii="Arial" w:cs="Arial" w:eastAsia="Arial" w:hAnsi="Arial"/>
          <w:sz w:val="24"/>
          <w:szCs w:val="24"/>
          <w:color w:val="auto"/>
          <w:vertAlign w:val="superscript"/>
        </w:rPr>
      </w:pPr>
    </w:p>
    <w:p>
      <w:pPr>
        <w:ind w:left="460" w:hanging="452"/>
        <w:spacing w:after="0" w:line="186" w:lineRule="auto"/>
        <w:tabs>
          <w:tab w:leader="none" w:pos="46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Of our outstanding U.S. Treasury securities $44.0 million have maturity dates of less than one year as of September 30, 2017.</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and Preferred Stock</w:t>
      </w:r>
    </w:p>
    <w:p>
      <w:pPr>
        <w:spacing w:after="0" w:line="11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On January 13, 2017, we amended our Certificate of Incorporation to increase the number of authorized shares of common stock to 60,000,000 with a par value of $0.001 per share and decrease the number of authorized shares of preferred stock to 11,520,698 with a par value of $0.001 per share. Subsequently, on January 31, 2017, upon completion of our IPO, we amended our Certificate of Incorporation to increase the number of authorized shares of common stock to 500,000,000 with a par value of $0.001 and decrease the number of authorized shares of preferred stock to 10,000,000 with a par value of $0.001 per share.</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440" w:firstLine="446"/>
        <w:spacing w:after="0" w:line="342" w:lineRule="auto"/>
        <w:rPr>
          <w:sz w:val="20"/>
          <w:szCs w:val="20"/>
          <w:color w:val="auto"/>
        </w:rPr>
      </w:pPr>
      <w:r>
        <w:rPr>
          <w:rFonts w:ascii="Arial" w:cs="Arial" w:eastAsia="Arial" w:hAnsi="Arial"/>
          <w:sz w:val="16"/>
          <w:szCs w:val="16"/>
          <w:color w:val="auto"/>
        </w:rPr>
        <w:t>Of the 500,000,000 shares of common stock authorized, 20,496,288 shares were issued and outstanding as of September 30, 2017. Common stock reserved for future issuance upon the exercise, issuance or conversion of the respective equity instruments at September 30,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Issued and Outstanding: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1600" w:type="dxa"/>
            <w:vAlign w:val="bottom"/>
          </w:tcPr>
          <w:p>
            <w:pPr>
              <w:jc w:val="right"/>
              <w:spacing w:after="0"/>
              <w:rPr>
                <w:sz w:val="20"/>
                <w:szCs w:val="20"/>
                <w:color w:val="auto"/>
              </w:rPr>
            </w:pPr>
            <w:r>
              <w:rPr>
                <w:rFonts w:ascii="Arial" w:cs="Arial" w:eastAsia="Arial" w:hAnsi="Arial"/>
                <w:sz w:val="18"/>
                <w:szCs w:val="18"/>
                <w:color w:val="auto"/>
              </w:rPr>
              <w:t>2,459,379</w:t>
            </w: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Warrants for shares of common stock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Shares reserved for future award grants</w:t>
            </w:r>
          </w:p>
        </w:tc>
        <w:tc>
          <w:tcPr>
            <w:tcW w:w="1600" w:type="dxa"/>
            <w:vAlign w:val="bottom"/>
          </w:tcPr>
          <w:p>
            <w:pPr>
              <w:jc w:val="right"/>
              <w:spacing w:after="0"/>
              <w:rPr>
                <w:sz w:val="20"/>
                <w:szCs w:val="20"/>
                <w:color w:val="auto"/>
              </w:rPr>
            </w:pPr>
            <w:r>
              <w:rPr>
                <w:rFonts w:ascii="Arial" w:cs="Arial" w:eastAsia="Arial" w:hAnsi="Arial"/>
                <w:sz w:val="18"/>
                <w:szCs w:val="18"/>
                <w:color w:val="auto"/>
              </w:rPr>
              <w:t>1,368,431</w:t>
            </w:r>
          </w:p>
        </w:tc>
      </w:tr>
      <w:tr>
        <w:trPr>
          <w:trHeight w:val="27"/>
        </w:trPr>
        <w:tc>
          <w:tcPr>
            <w:tcW w:w="98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3,846,237</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 Exercises</w:t>
      </w:r>
    </w:p>
    <w:p>
      <w:pPr>
        <w:spacing w:after="0" w:line="117"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During the nine months ended September 30, 2017, warrants for the purchase of 476,251 shares of common stock were exercised, of which 358,342 were exercised by a net exercise method. As a result, we issued 397,445 shares of common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9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Equity Incentive Plans</w:t>
      </w:r>
    </w:p>
    <w:p>
      <w:pPr>
        <w:spacing w:after="0" w:line="3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On January 12, 2017, our board of directors and stockholders approved and adopted the 2017 Equity Incentive Plan or the 2017 Plan. The 2017 Plan became effective upon the execution and delivery of the underwriting agreement for our initial public offering on January 26, 2017, and replaced our existing 2006 Equity Incentive Plan, or the 2006 Plan. Under the 2017 Plan we may grant stock options, stock appreciation rights, restricted stock, restricted stock units and other awards to individuals who are then our employees, officers, directors or consultants. A total of 1,955,506 shares of common stock were initially reserved for issuance under the 2017 plan, including 308,343 that were rolled over from the 2006 Plan. In addition, the number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w:t>
      </w:r>
    </w:p>
    <w:p>
      <w:pPr>
        <w:spacing w:after="0" w:line="59"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As of September 30, 2017, there were 2,459,379 options outstanding to purchase shares of common stock and 1,368,431 shares of common stock reserved for future stock awards under the 2017 Plan.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On January 12, 2017, our board of directors and stockholders approved and adopted the 2017 Employee Stock Purchase Plan or the ESPP. The ESPP became effective up the execution and delivery of the underwriting agreement for our initial public offering on January 26, 2017. A total of 218,000 shares of common stock are initially reserved for issuance under the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right="160" w:firstLine="446"/>
        <w:spacing w:after="0" w:line="286" w:lineRule="auto"/>
        <w:rPr>
          <w:sz w:val="20"/>
          <w:szCs w:val="20"/>
          <w:color w:val="auto"/>
        </w:rPr>
      </w:pPr>
      <w:r>
        <w:rPr>
          <w:rFonts w:ascii="Arial" w:cs="Arial" w:eastAsia="Arial" w:hAnsi="Arial"/>
          <w:sz w:val="17"/>
          <w:szCs w:val="17"/>
          <w:color w:val="auto"/>
        </w:rPr>
        <w:t>Stock options granted to employees and non-employees generally vest over a four-year period while stock options granted to directors vest over a one year period. Each have a maximum term of ten years from the date of grant, subject to earlier cancellation prior to vesting upon cessation of service to us. A summary of the activity related to stock option awards during the nine months ended September 30, 2017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1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320" w:type="dxa"/>
            <w:vAlign w:val="bottom"/>
          </w:tcPr>
          <w:p>
            <w:pPr>
              <w:spacing w:after="0"/>
              <w:rPr>
                <w:sz w:val="14"/>
                <w:szCs w:val="14"/>
                <w:color w:val="auto"/>
              </w:rPr>
            </w:pPr>
          </w:p>
        </w:tc>
        <w:tc>
          <w:tcPr>
            <w:tcW w:w="1380" w:type="dxa"/>
            <w:vAlign w:val="bottom"/>
            <w:vMerge w:val="restart"/>
          </w:tcPr>
          <w:p>
            <w:pPr>
              <w:jc w:val="center"/>
              <w:ind w:right="222"/>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3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Price per</w:t>
            </w:r>
          </w:p>
        </w:tc>
        <w:tc>
          <w:tcPr>
            <w:tcW w:w="1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2"/>
                <w:szCs w:val="12"/>
                <w:color w:val="auto"/>
              </w:rPr>
            </w:pPr>
          </w:p>
        </w:tc>
        <w:tc>
          <w:tcPr>
            <w:tcW w:w="138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FF0F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7"/>
              </w:rPr>
              <w:t>Share</w:t>
            </w:r>
          </w:p>
        </w:tc>
        <w:tc>
          <w:tcPr>
            <w:tcW w:w="100" w:type="dxa"/>
            <w:vAlign w:val="bottom"/>
            <w:tcBorders>
              <w:bottom w:val="single" w:sz="8" w:color="CFF0FC"/>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January 1, 2017</w:t>
            </w:r>
          </w:p>
        </w:tc>
        <w:tc>
          <w:tcPr>
            <w:tcW w:w="172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1,879,428</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1,061,106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Exercises</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(176,859)</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Forfeitures and cancellations</w:t>
            </w:r>
          </w:p>
        </w:tc>
        <w:tc>
          <w:tcPr>
            <w:tcW w:w="1720" w:type="dxa"/>
            <w:vAlign w:val="bottom"/>
          </w:tcPr>
          <w:p>
            <w:pPr>
              <w:jc w:val="right"/>
              <w:spacing w:after="0"/>
              <w:rPr>
                <w:sz w:val="20"/>
                <w:szCs w:val="20"/>
                <w:color w:val="auto"/>
              </w:rPr>
            </w:pPr>
            <w:r>
              <w:rPr>
                <w:rFonts w:ascii="Arial" w:cs="Arial" w:eastAsia="Arial" w:hAnsi="Arial"/>
                <w:sz w:val="18"/>
                <w:szCs w:val="18"/>
                <w:color w:val="auto"/>
              </w:rPr>
              <w:t>(304,296)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Borders>
              <w:bottom w:val="single" w:sz="8" w:color="CFF0FC"/>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150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7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138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Outstanding at September 30, 2017</w:t>
            </w:r>
          </w:p>
        </w:tc>
        <w:tc>
          <w:tcPr>
            <w:tcW w:w="1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2,459,379</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FF0FC"/>
            </w:tcBorders>
            <w:shd w:val="clear" w:color="auto" w:fill="CFF0FC"/>
          </w:tcPr>
          <w:p>
            <w:pPr>
              <w:jc w:val="right"/>
              <w:ind w:right="17"/>
              <w:spacing w:after="0"/>
              <w:rPr>
                <w:sz w:val="20"/>
                <w:szCs w:val="20"/>
                <w:color w:val="auto"/>
              </w:rPr>
            </w:pPr>
            <w:r>
              <w:rPr>
                <w:rFonts w:ascii="Arial" w:cs="Arial" w:eastAsia="Arial" w:hAnsi="Arial"/>
                <w:sz w:val="18"/>
                <w:szCs w:val="18"/>
                <w:color w:val="auto"/>
              </w:rPr>
              <w:t>11.17</w:t>
            </w:r>
          </w:p>
        </w:tc>
        <w:tc>
          <w:tcPr>
            <w:tcW w:w="100" w:type="dxa"/>
            <w:vAlign w:val="bottom"/>
            <w:tcBorders>
              <w:bottom w:val="single" w:sz="8" w:color="CFF0FC"/>
            </w:tcBorders>
            <w:shd w:val="clear" w:color="auto" w:fill="CFF0FC"/>
          </w:tcPr>
          <w:p>
            <w:pPr>
              <w:spacing w:after="0"/>
              <w:rPr>
                <w:sz w:val="22"/>
                <w:szCs w:val="22"/>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FF0FC"/>
            </w:tcBorders>
            <w:shd w:val="clear" w:color="auto" w:fill="CFF0FC"/>
          </w:tcPr>
          <w:p>
            <w:pPr>
              <w:jc w:val="right"/>
              <w:ind w:right="22"/>
              <w:spacing w:after="0"/>
              <w:rPr>
                <w:sz w:val="20"/>
                <w:szCs w:val="20"/>
                <w:color w:val="auto"/>
              </w:rPr>
            </w:pPr>
            <w:r>
              <w:rPr>
                <w:rFonts w:ascii="Arial" w:cs="Arial" w:eastAsia="Arial" w:hAnsi="Arial"/>
                <w:sz w:val="18"/>
                <w:szCs w:val="18"/>
                <w:color w:val="auto"/>
              </w:rPr>
              <w:t>58,481.0</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Exercisable at September 30, 2017</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vMerge w:val="continue"/>
          </w:tcPr>
          <w:p>
            <w:pPr>
              <w:spacing w:after="0"/>
              <w:rPr>
                <w:sz w:val="21"/>
                <w:szCs w:val="21"/>
                <w:color w:val="auto"/>
              </w:rPr>
            </w:pPr>
          </w:p>
        </w:tc>
        <w:tc>
          <w:tcPr>
            <w:tcW w:w="1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1,079,968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22"/>
              <w:spacing w:after="0"/>
              <w:rPr>
                <w:sz w:val="20"/>
                <w:szCs w:val="20"/>
                <w:color w:val="auto"/>
              </w:rPr>
            </w:pPr>
            <w:r>
              <w:rPr>
                <w:rFonts w:ascii="Arial" w:cs="Arial" w:eastAsia="Arial" w:hAnsi="Arial"/>
                <w:sz w:val="18"/>
                <w:szCs w:val="18"/>
                <w:color w:val="auto"/>
              </w:rPr>
              <w:t>34,404.9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Total cash received from the exercise of stock options was approximately $0.8 million during the nine months ended September 30, 2017. As a result of the adoption of ASU 2016-09 and the elimination of a forfeiture rate as discussed in Note 2 above, all options outstanding are considered expected to fully vest.</w:t>
      </w:r>
    </w:p>
    <w:p>
      <w:pPr>
        <w:spacing w:after="0" w:line="181"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Certain stock option grants under the 2006 Plan provide for exercise of the stock option prior to vesting. Shares of common stock issued upon exercise of unvested options are subject to repurchase by us at the respective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8" w:right="239" w:bottom="1440" w:gutter="0" w:footer="0" w:header="0"/>
        </w:sectPr>
      </w:pPr>
    </w:p>
    <w:bookmarkStart w:id="17" w:name="page18"/>
    <w:bookmarkEnd w:id="17"/>
    <w:p>
      <w:pPr>
        <w:ind w:right="200"/>
        <w:spacing w:after="0" w:line="277" w:lineRule="auto"/>
        <w:rPr>
          <w:sz w:val="20"/>
          <w:szCs w:val="20"/>
          <w:color w:val="auto"/>
        </w:rPr>
      </w:pPr>
      <w:r>
        <w:rPr>
          <w:rFonts w:ascii="Arial" w:cs="Arial" w:eastAsia="Arial" w:hAnsi="Arial"/>
          <w:sz w:val="18"/>
          <w:szCs w:val="18"/>
          <w:color w:val="auto"/>
        </w:rPr>
        <w:t>original exercise price until vested. Consideration received for the exercise of unvested stock options is recorded as a liability and reclassified into equity as the related award vests.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08"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0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13335</wp:posOffset>
            </wp:positionV>
            <wp:extent cx="21780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0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Expected dividend yield</w:t>
            </w:r>
          </w:p>
        </w:tc>
        <w:tc>
          <w:tcPr>
            <w:tcW w:w="10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04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6.25</w:t>
            </w:r>
          </w:p>
        </w:tc>
      </w:tr>
      <w:tr>
        <w:trPr>
          <w:trHeight w:val="27"/>
        </w:trPr>
        <w:tc>
          <w:tcPr>
            <w:tcW w:w="7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104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3"/>
              </w:rPr>
              <w:t>22.54</w:t>
            </w: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3.64</w:t>
            </w:r>
          </w:p>
        </w:tc>
      </w:tr>
      <w:tr>
        <w:trPr>
          <w:trHeight w:val="27"/>
        </w:trPr>
        <w:tc>
          <w:tcPr>
            <w:tcW w:w="79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260" w:type="dxa"/>
            <w:vAlign w:val="bottom"/>
            <w:shd w:val="clear" w:color="auto" w:fill="CFF0FC"/>
          </w:tcPr>
          <w:p>
            <w:pPr>
              <w:spacing w:after="0"/>
              <w:rPr>
                <w:sz w:val="2"/>
                <w:szCs w:val="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1,061,106 and 278,910 stock options granted during the nine months ended September 30, 2017 and 2016, respectively.</w:t>
      </w:r>
    </w:p>
    <w:p>
      <w:pPr>
        <w:spacing w:after="0" w:line="17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determine the appropriate, risk free interest rate, expected term for employee stock based awards, contractual term for non-employee stock based awards, and volatility assumptions. The weighted-average expected option term for employee and director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89" w:lineRule="exact"/>
        <w:rPr>
          <w:sz w:val="20"/>
          <w:szCs w:val="20"/>
          <w:color w:val="auto"/>
        </w:rPr>
      </w:pPr>
    </w:p>
    <w:p>
      <w:pPr>
        <w:ind w:right="900" w:firstLine="446"/>
        <w:spacing w:after="0" w:line="277" w:lineRule="auto"/>
        <w:rPr>
          <w:sz w:val="20"/>
          <w:szCs w:val="20"/>
          <w:color w:val="auto"/>
        </w:rPr>
      </w:pPr>
      <w:r>
        <w:rPr>
          <w:rFonts w:ascii="Arial" w:cs="Arial" w:eastAsia="Arial" w:hAnsi="Arial"/>
          <w:sz w:val="18"/>
          <w:szCs w:val="18"/>
          <w:color w:val="auto"/>
        </w:rPr>
        <w:t>Total non-cash stock-based compensation expense for all stock awards that was recognized in the consolidated statements of operations and comprehensive loss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ind w:left="640"/>
              <w:spacing w:after="0"/>
              <w:rPr>
                <w:sz w:val="20"/>
                <w:szCs w:val="20"/>
                <w:color w:val="auto"/>
              </w:rPr>
            </w:pPr>
            <w:r>
              <w:rPr>
                <w:rFonts w:ascii="Arial" w:cs="Arial" w:eastAsia="Arial" w:hAnsi="Arial"/>
                <w:sz w:val="14"/>
                <w:szCs w:val="14"/>
                <w:b w:val="1"/>
                <w:bCs w:val="1"/>
                <w:color w:val="auto"/>
                <w:w w:val="95"/>
              </w:rPr>
              <w:t>Three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8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282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590</w:t>
            </w:r>
          </w:p>
        </w:tc>
      </w:tr>
      <w:tr>
        <w:trPr>
          <w:trHeight w:val="27"/>
        </w:trPr>
        <w:tc>
          <w:tcPr>
            <w:tcW w:w="47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FF0FC"/>
            </w:tcBorders>
            <w:shd w:val="clear" w:color="auto" w:fill="CFF0FC"/>
          </w:tcPr>
          <w:p>
            <w:pPr>
              <w:jc w:val="right"/>
              <w:ind w:right="19"/>
              <w:spacing w:after="0"/>
              <w:rPr>
                <w:sz w:val="20"/>
                <w:szCs w:val="20"/>
                <w:color w:val="auto"/>
              </w:rPr>
            </w:pPr>
            <w:r>
              <w:rPr>
                <w:rFonts w:ascii="Arial" w:cs="Arial" w:eastAsia="Arial" w:hAnsi="Arial"/>
                <w:sz w:val="18"/>
                <w:szCs w:val="18"/>
                <w:color w:val="auto"/>
              </w:rPr>
              <w:t>3,246</w:t>
            </w:r>
          </w:p>
        </w:tc>
        <w:tc>
          <w:tcPr>
            <w:tcW w:w="1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CFF0FC"/>
            </w:tcBorders>
            <w:shd w:val="clear" w:color="auto" w:fill="CFF0FC"/>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FF0FC"/>
            </w:tcBorders>
            <w:shd w:val="clear" w:color="auto" w:fill="CFF0FC"/>
          </w:tcPr>
          <w:p>
            <w:pPr>
              <w:jc w:val="right"/>
              <w:ind w:right="14"/>
              <w:spacing w:after="0"/>
              <w:rPr>
                <w:sz w:val="20"/>
                <w:szCs w:val="20"/>
                <w:color w:val="auto"/>
              </w:rPr>
            </w:pPr>
            <w:r>
              <w:rPr>
                <w:rFonts w:ascii="Arial" w:cs="Arial" w:eastAsia="Arial" w:hAnsi="Arial"/>
                <w:sz w:val="18"/>
                <w:szCs w:val="18"/>
                <w:color w:val="auto"/>
              </w:rPr>
              <w:t>872</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At September 30, 2017, there was $12.2 million of unrecognized compensation cost related to unvested stock option awards, which is expected to be recognized over a remaining weighted average vesting period of 2.7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43.5% and 45.0% refundable tax incentive for qualified research and development activities during fiscal 2017 and fiscal 2016, respectively. For the three months ended September 30, 2017 and 2016, $0.2 million and $3.2 million, respectively, were recorded as a reduction to research and development expenses in the consolidated statements of operations and comprehensive income (loss). For the nine months ended September 30, 2017 and 2016, $1.4 million and $6.2 million, respectively, were recorded as a reduction to research and development expenses in the consolidated statements of operations and comprehensive income (loss). As of September 30, 2017 our tax incentive receivable from the Australian government was $1.5 million. We received $4.6 million and $3.0 million in cash during the nine months ended September 30, 2017 and 2016,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On October 17, 2017, we completed an underwritten public offering selling 3,000,000 shares of common stock. All shares were offered by us at a price to the public of $68.50 per share. The aggregate net proceeds received by us from the offering were $194.7 million, net of underwriting discounts and commissions. As part of the underwritten public offering, the underwriters have the option to exercise an additional 450,000 shares of common stock within 30 days of the offering.</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8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consolidated financial statements and related notes for the three and nine months ended September 30, 2017, included in Part I, Item 1 of this report and with our audited consolidated financial statements and related notes thereto for the year ended December 31, 2016, included in the Company’s Form 10-K. This discussion and other parts of this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elsewhere in this report.</w:t>
      </w:r>
    </w:p>
    <w:p>
      <w:pPr>
        <w:spacing w:after="0" w:line="18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As used in this Quarterly Report on Form 10-Q, the terms “AnaptysBio,” “the Company,” “we,” “us,” and “our” refer to AnaptysBio, Inc. and, where appropriate, its consolidated subsidiary, unless the context indicates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t>
      </w:r>
      <w:r>
        <w:rPr>
          <w:rFonts w:ascii="Arial" w:cs="Arial" w:eastAsia="Arial" w:hAnsi="Arial"/>
          <w:sz w:val="17"/>
          <w:szCs w:val="17"/>
          <w:color w:val="231F20"/>
        </w:rPr>
        <w:t>We have completed a Phase 1 trial of ANB020 in healthy volunteers in Australia,</w:t>
      </w:r>
      <w:r>
        <w:rPr>
          <w:rFonts w:ascii="Arial" w:cs="Arial" w:eastAsia="Arial" w:hAnsi="Arial"/>
          <w:sz w:val="17"/>
          <w:szCs w:val="17"/>
          <w:color w:val="auto"/>
        </w:rPr>
        <w:t xml:space="preserve"> </w:t>
      </w:r>
      <w:r>
        <w:rPr>
          <w:rFonts w:ascii="Arial" w:cs="Arial" w:eastAsia="Arial" w:hAnsi="Arial"/>
          <w:sz w:val="17"/>
          <w:szCs w:val="17"/>
          <w:color w:val="231F20"/>
        </w:rPr>
        <w:t xml:space="preserve">the results </w:t>
      </w:r>
      <w:r>
        <w:rPr>
          <w:rFonts w:ascii="Arial" w:cs="Arial" w:eastAsia="Arial" w:hAnsi="Arial"/>
          <w:sz w:val="17"/>
          <w:szCs w:val="17"/>
          <w:color w:val="000000"/>
        </w:rPr>
        <w:t>of which were presented at the 2017 American Academy of Dermatology Annual Meeting and the American Academy of Allergy, Asthma and</w:t>
      </w:r>
      <w:r>
        <w:rPr>
          <w:rFonts w:ascii="Arial" w:cs="Arial" w:eastAsia="Arial" w:hAnsi="Arial"/>
          <w:sz w:val="17"/>
          <w:szCs w:val="17"/>
          <w:color w:val="231F20"/>
        </w:rPr>
        <w:t xml:space="preserve"> </w:t>
      </w:r>
      <w:r>
        <w:rPr>
          <w:rFonts w:ascii="Arial" w:cs="Arial" w:eastAsia="Arial" w:hAnsi="Arial"/>
          <w:sz w:val="17"/>
          <w:szCs w:val="17"/>
          <w:color w:val="000000"/>
        </w:rPr>
        <w:t xml:space="preserve">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000000"/>
        </w:rPr>
        <w:t>ex vivo</w:t>
      </w:r>
      <w:r>
        <w:rPr>
          <w:rFonts w:ascii="Arial" w:cs="Arial" w:eastAsia="Arial" w:hAnsi="Arial"/>
          <w:sz w:val="17"/>
          <w:szCs w:val="17"/>
          <w:color w:val="000000"/>
        </w:rPr>
        <w:t xml:space="preserve"> pharmacodynamic assay. We have subsequently completed enrollment of a Phase 2a trial of ANB020 in 12 moderate-to-severe adult atopic dermatitis patients</w:t>
      </w:r>
      <w:r>
        <w:rPr>
          <w:rFonts w:ascii="Arial" w:cs="Arial" w:eastAsia="Arial" w:hAnsi="Arial"/>
          <w:sz w:val="17"/>
          <w:szCs w:val="17"/>
          <w:color w:val="231F20"/>
        </w:rPr>
        <w:t>, under an approved Clinical Trial</w:t>
      </w:r>
      <w:r>
        <w:rPr>
          <w:rFonts w:ascii="Arial" w:cs="Arial" w:eastAsia="Arial" w:hAnsi="Arial"/>
          <w:sz w:val="17"/>
          <w:szCs w:val="17"/>
          <w:color w:val="000000"/>
        </w:rPr>
        <w:t xml:space="preserve"> </w:t>
      </w:r>
      <w:r>
        <w:rPr>
          <w:rFonts w:ascii="Arial" w:cs="Arial" w:eastAsia="Arial" w:hAnsi="Arial"/>
          <w:sz w:val="17"/>
          <w:szCs w:val="17"/>
          <w:color w:val="231F20"/>
        </w:rPr>
        <w:t>Authorisation, or CTA, with the U.K. Medicines and Healthcare Products Regulatory Agency, or MHRA, and announced top-line data from an interim analysis of this trial in October 2017.</w:t>
      </w:r>
    </w:p>
    <w:p>
      <w:pPr>
        <w:spacing w:after="0" w:line="178"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0" w:name="page21"/>
    <w:bookmarkEnd w:id="20"/>
    <w:p>
      <w:pPr>
        <w:ind w:right="100" w:firstLine="446"/>
        <w:spacing w:after="0" w:line="270" w:lineRule="auto"/>
        <w:rPr>
          <w:sz w:val="20"/>
          <w:szCs w:val="20"/>
          <w:color w:val="auto"/>
        </w:rPr>
      </w:pPr>
      <w:r>
        <w:rPr>
          <w:rFonts w:ascii="Arial" w:cs="Arial" w:eastAsia="Arial" w:hAnsi="Arial"/>
          <w:sz w:val="17"/>
          <w:szCs w:val="17"/>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 reached EASI-50 and pruritus was reduced by 28%, which was sustained until Day 57 when 75% of patients achieved EASI-50; pruritus was reduced by 22% at Day 57. All 12 patients achieved EASI-50 at one or more time points through Day 57 post-ANB020 administration. Exploratory biomarker assessment indicated 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23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231F20"/>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As of October 31, 2017, 75 percent of the patients have been enrolled and top-line data are expected in the first quarter of 2018.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second quarter of 2018.</w:t>
      </w:r>
    </w:p>
    <w:p>
      <w:pPr>
        <w:spacing w:after="0" w:line="178"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 xml:space="preserve">ANB019 inhibits the interleukin-36 receptor, or IL-36R, for the treatment of rare inflammatory diseases including generalized pustular psoriasis, or GPP, and palmo-plantar pustular psoriasis, or PPP. </w:t>
      </w:r>
      <w:r>
        <w:rPr>
          <w:rFonts w:ascii="Arial" w:cs="Arial" w:eastAsia="Arial" w:hAnsi="Arial"/>
          <w:sz w:val="17"/>
          <w:szCs w:val="17"/>
          <w:color w:val="231F20"/>
        </w:rPr>
        <w:t>We are currently conducting, under an approved Clinical Trial Notification, or CTN, a Phase 1 clinical trial</w:t>
      </w:r>
      <w:r>
        <w:rPr>
          <w:rFonts w:ascii="Arial" w:cs="Arial" w:eastAsia="Arial" w:hAnsi="Arial"/>
          <w:sz w:val="17"/>
          <w:szCs w:val="17"/>
          <w:color w:val="auto"/>
        </w:rPr>
        <w:t xml:space="preserve"> </w:t>
      </w:r>
      <w:r>
        <w:rPr>
          <w:rFonts w:ascii="Arial" w:cs="Arial" w:eastAsia="Arial" w:hAnsi="Arial"/>
          <w:sz w:val="17"/>
          <w:szCs w:val="17"/>
          <w:color w:val="231F20"/>
        </w:rPr>
        <w:t xml:space="preserve">in healthy volunteers, </w:t>
      </w:r>
      <w:r>
        <w:rPr>
          <w:rFonts w:ascii="Arial" w:cs="Arial" w:eastAsia="Arial" w:hAnsi="Arial"/>
          <w:sz w:val="17"/>
          <w:szCs w:val="17"/>
          <w:color w:val="000000"/>
        </w:rPr>
        <w:t>where 54 subjects are dosed with ANB019 and 18 are dosed with placebo in single and multi-dose cohorts at various subcutaneous and</w:t>
      </w:r>
      <w:r>
        <w:rPr>
          <w:rFonts w:ascii="Arial" w:cs="Arial" w:eastAsia="Arial" w:hAnsi="Arial"/>
          <w:sz w:val="17"/>
          <w:szCs w:val="17"/>
          <w:color w:val="231F20"/>
        </w:rPr>
        <w:t xml:space="preserve"> </w:t>
      </w:r>
      <w:r>
        <w:rPr>
          <w:rFonts w:ascii="Arial" w:cs="Arial" w:eastAsia="Arial" w:hAnsi="Arial"/>
          <w:sz w:val="17"/>
          <w:szCs w:val="17"/>
          <w:color w:val="000000"/>
        </w:rPr>
        <w:t>intravenously administered dose levels. In November 2017, we announced positive top-line results from an interim analysis, which showed favorable safety, pharmacokinetics and pharmacodynamic properties that support advancement of ANB019 into Phase 2 studies for generalized pustular psoriasis and palmo-plantar pustular psoriasis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9" w:lineRule="exact"/>
        <w:rPr>
          <w:sz w:val="20"/>
          <w:szCs w:val="20"/>
          <w:color w:val="auto"/>
        </w:rPr>
      </w:pPr>
    </w:p>
    <w:p>
      <w:pPr>
        <w:jc w:val="both"/>
        <w:ind w:right="40" w:firstLine="446"/>
        <w:spacing w:after="0" w:line="264" w:lineRule="auto"/>
        <w:rPr>
          <w:sz w:val="20"/>
          <w:szCs w:val="20"/>
          <w:color w:val="auto"/>
        </w:rPr>
      </w:pPr>
      <w:r>
        <w:rPr>
          <w:rFonts w:ascii="Arial" w:cs="Arial" w:eastAsia="Arial" w:hAnsi="Arial"/>
          <w:sz w:val="18"/>
          <w:szCs w:val="18"/>
          <w:color w:val="auto"/>
        </w:rPr>
        <w:t xml:space="preserve">In addition to our wholly-owned antibody programs, multiple AnaptysBio-developed antibody programs have been advanced to preclinical and clinical milestones under our collaborations. Our collaborations include an immuno-oncology-focused collaboration with </w:t>
      </w:r>
      <w:r>
        <w:rPr>
          <w:rFonts w:ascii="Arial" w:cs="Arial" w:eastAsia="Arial" w:hAnsi="Arial"/>
          <w:sz w:val="18"/>
          <w:szCs w:val="18"/>
          <w:color w:val="231F20"/>
        </w:rPr>
        <w:t>TESARO, Inc. and TESARO Development,</w:t>
      </w:r>
      <w:r>
        <w:rPr>
          <w:rFonts w:ascii="Arial" w:cs="Arial" w:eastAsia="Arial" w:hAnsi="Arial"/>
          <w:sz w:val="18"/>
          <w:szCs w:val="18"/>
          <w:color w:val="auto"/>
        </w:rPr>
        <w:t xml:space="preserve"> </w:t>
      </w:r>
      <w:r>
        <w:rPr>
          <w:rFonts w:ascii="Arial" w:cs="Arial" w:eastAsia="Arial" w:hAnsi="Arial"/>
          <w:sz w:val="18"/>
          <w:szCs w:val="18"/>
          <w:color w:val="231F20"/>
        </w:rPr>
        <w:t xml:space="preserve">Ltd., or collectively, TESARO </w:t>
      </w:r>
      <w:r>
        <w:rPr>
          <w:rFonts w:ascii="Arial" w:cs="Arial" w:eastAsia="Arial" w:hAnsi="Arial"/>
          <w:sz w:val="18"/>
          <w:szCs w:val="18"/>
          <w:color w:val="000000"/>
        </w:rPr>
        <w:t>and an inflammation-focused collaboration with Celgene Corporation, or Celgene.</w:t>
      </w:r>
    </w:p>
    <w:p>
      <w:pPr>
        <w:spacing w:after="0" w:line="235"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231F20"/>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 anti-LAG-3 antibody (TSR-033), and TESARO has initiated IND-enabling preclinical studies for an AnaptysBio generated PD-1/LAG-3 bispecific antibody, which has exhibited similar levels of T-cell activation in vitro as a combination of TSR-042 and TSR-033.</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ind w:right="120" w:firstLine="446"/>
        <w:spacing w:after="0" w:line="277" w:lineRule="auto"/>
        <w:rPr>
          <w:sz w:val="20"/>
          <w:szCs w:val="20"/>
          <w:color w:val="auto"/>
        </w:rPr>
      </w:pPr>
      <w:r>
        <w:rPr>
          <w:rFonts w:ascii="Arial" w:cs="Arial" w:eastAsia="Arial" w:hAnsi="Arial"/>
          <w:sz w:val="18"/>
          <w:szCs w:val="18"/>
          <w:color w:val="auto"/>
        </w:rPr>
        <w:t>Under our Celgene partnership, Celgene is conducting a Phase 1 study of an AnaptysBio-generated anti-PD-1 agonist antibody (CC-90006) in healthy volunteers, and an undisclosed second AnaptysBio-generated antibody is currently under preclinical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151765</wp:posOffset>
            </wp:positionV>
            <wp:extent cx="5351145" cy="2984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5114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As of September 30, 2017, we had an accumulated deficit of $78.2 million primarily as a result of losses incurred since our inception in 2005. Although we reported net income of $3.5 million during the year ended December 31, 2014,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On January 31, 2017, we completed an initial public offering, or IPO, selling 5,750,000 shares of common stock at $15.00 per share, which included 750,000 shares sold pursuant to the exercise of the underwriters' options to purchase additional shares. Proceeds from our initial public offering net of underwriting discounts and commissions were $80.2 million.</w:t>
      </w:r>
    </w:p>
    <w:p>
      <w:pPr>
        <w:spacing w:after="0" w:line="73"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the underwriters have the option to exercise an additional 450,000 shares of common stock within 30 days of the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380" w:firstLine="446"/>
        <w:spacing w:after="0" w:line="264" w:lineRule="auto"/>
        <w:rPr>
          <w:sz w:val="20"/>
          <w:szCs w:val="20"/>
          <w:color w:val="auto"/>
        </w:rPr>
      </w:pPr>
      <w:r>
        <w:rPr>
          <w:rFonts w:ascii="Arial" w:cs="Arial" w:eastAsia="Arial" w:hAnsi="Arial"/>
          <w:sz w:val="18"/>
          <w:szCs w:val="18"/>
          <w:color w:val="auto"/>
        </w:rPr>
        <w:t>We have not generated any revenue from product sales. Our revenue has been derived from amortization of upfront payments, research and development funding and milestone payments under collaboration and license agreements with our collaborators. From inception through September 30, 2017, we have received $73.6 million in non-dilutive funding from our collaborators.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60" w:firstLine="446"/>
        <w:spacing w:after="0" w:line="308" w:lineRule="auto"/>
        <w:rPr>
          <w:sz w:val="20"/>
          <w:szCs w:val="20"/>
          <w:color w:val="auto"/>
        </w:rPr>
      </w:pPr>
      <w:r>
        <w:rPr>
          <w:rFonts w:ascii="Arial" w:cs="Arial" w:eastAsia="Arial" w:hAnsi="Arial"/>
          <w:sz w:val="17"/>
          <w:szCs w:val="17"/>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38" w:lineRule="exact"/>
        <w:rPr>
          <w:sz w:val="20"/>
          <w:szCs w:val="20"/>
          <w:color w:val="auto"/>
        </w:rPr>
      </w:pPr>
    </w:p>
    <w:p>
      <w:pPr>
        <w:ind w:left="880" w:right="80" w:hanging="440"/>
        <w:spacing w:after="0" w:line="308" w:lineRule="auto"/>
        <w:tabs>
          <w:tab w:leader="none" w:pos="8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arrangements with third-parties, such as Contract Research Organizations, or CROs, consultants, members of our scientific and therapeutic advisory boards, and Contract Manufacturing Organizations, or CMOs;</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17"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60" w:firstLine="44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 xml:space="preserve">We are conducting research and development activities primarily on inflammation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and pharmacology studies, drug product manufacturing and clinical trials.</w:t>
      </w:r>
    </w:p>
    <w:p>
      <w:pPr>
        <w:spacing w:after="0" w:line="17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 xml:space="preserve">We have conducted initial clinical trials for ANB020 and are conducting initial clinical trials for ANB019 in Australia to rapidly enter into first-in-human studies and benefit from research and development-related financial incentives related to the development of ANB020 and ANB019. We </w:t>
      </w:r>
      <w:r>
        <w:rPr>
          <w:rFonts w:ascii="Arial" w:cs="Arial" w:eastAsia="Arial" w:hAnsi="Arial"/>
          <w:sz w:val="18"/>
          <w:szCs w:val="18"/>
          <w:color w:val="231F20"/>
        </w:rPr>
        <w:t>have fully</w:t>
      </w:r>
      <w:r>
        <w:rPr>
          <w:rFonts w:ascii="Arial" w:cs="Arial" w:eastAsia="Arial" w:hAnsi="Arial"/>
          <w:sz w:val="18"/>
          <w:szCs w:val="18"/>
          <w:color w:val="auto"/>
        </w:rPr>
        <w:t xml:space="preserve"> </w:t>
      </w:r>
      <w:r>
        <w:rPr>
          <w:rFonts w:ascii="Arial" w:cs="Arial" w:eastAsia="Arial" w:hAnsi="Arial"/>
          <w:sz w:val="18"/>
          <w:szCs w:val="18"/>
          <w:color w:val="231F20"/>
        </w:rPr>
        <w:t xml:space="preserve">enrolled a Phase 2a trial of ANB020 in patients with moderate-to-severe adult atopic dermatitis, are continuing to enroll in </w:t>
      </w:r>
      <w:r>
        <w:rPr>
          <w:rFonts w:ascii="Arial" w:cs="Arial" w:eastAsia="Arial" w:hAnsi="Arial"/>
          <w:sz w:val="18"/>
          <w:szCs w:val="18"/>
          <w:color w:val="000000"/>
        </w:rPr>
        <w:t>our ongoing</w:t>
      </w:r>
      <w:r>
        <w:rPr>
          <w:rFonts w:ascii="Arial" w:cs="Arial" w:eastAsia="Arial" w:hAnsi="Arial"/>
          <w:sz w:val="18"/>
          <w:szCs w:val="18"/>
          <w:color w:val="231F20"/>
        </w:rPr>
        <w:t xml:space="preserve"> Phase 2a trial of ANB020 in patients with severe adult peanut allergy and also initiated enrollment, under a CTA with </w:t>
      </w:r>
      <w:r>
        <w:rPr>
          <w:rFonts w:ascii="Arial" w:cs="Arial" w:eastAsia="Arial" w:hAnsi="Arial"/>
          <w:sz w:val="18"/>
          <w:szCs w:val="18"/>
          <w:color w:val="000000"/>
        </w:rPr>
        <w:t>MHRA of a Phase 2a trial of ANB020 in 24 severe adult</w:t>
      </w:r>
      <w:r>
        <w:rPr>
          <w:rFonts w:ascii="Arial" w:cs="Arial" w:eastAsia="Arial" w:hAnsi="Arial"/>
          <w:sz w:val="18"/>
          <w:szCs w:val="18"/>
          <w:color w:val="231F20"/>
        </w:rPr>
        <w:t xml:space="preserve"> </w:t>
      </w:r>
      <w:r>
        <w:rPr>
          <w:rFonts w:ascii="Arial" w:cs="Arial" w:eastAsia="Arial" w:hAnsi="Arial"/>
          <w:sz w:val="18"/>
          <w:szCs w:val="18"/>
          <w:color w:val="000000"/>
        </w:rPr>
        <w:t>eosinophilic asthma patients</w:t>
      </w:r>
      <w:r>
        <w:rPr>
          <w:rFonts w:ascii="Arial" w:cs="Arial" w:eastAsia="Arial" w:hAnsi="Arial"/>
          <w:sz w:val="18"/>
          <w:szCs w:val="18"/>
          <w:color w:val="231F20"/>
        </w:rPr>
        <w:t>. W</w:t>
      </w:r>
      <w:r>
        <w:rPr>
          <w:rFonts w:ascii="Arial" w:cs="Arial" w:eastAsia="Arial" w:hAnsi="Arial"/>
          <w:sz w:val="18"/>
          <w:szCs w:val="18"/>
          <w:color w:val="000000"/>
        </w:rPr>
        <w:t>e expect our research and development expenses to be higher for the foreseeable future as we advance our product candidates into clinical development.</w:t>
      </w:r>
    </w:p>
    <w:p>
      <w:pPr>
        <w:spacing w:after="0" w:line="3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20" w:firstLine="446"/>
        <w:spacing w:after="0" w:line="312"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92" w:right="2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220" w:firstLine="446"/>
        <w:spacing w:after="0" w:line="308" w:lineRule="auto"/>
        <w:rPr>
          <w:sz w:val="20"/>
          <w:szCs w:val="20"/>
          <w:color w:val="auto"/>
        </w:rPr>
      </w:pPr>
      <w:r>
        <w:rPr>
          <w:rFonts w:ascii="Arial" w:cs="Arial" w:eastAsia="Arial" w:hAnsi="Arial"/>
          <w:sz w:val="17"/>
          <w:szCs w:val="17"/>
          <w:color w:val="auto"/>
        </w:rPr>
        <w:t>Interest expense consists of stated and floating interest payments and amortization of discounts on our outstanding notes payable relating to our Loan and Security Agreement with Oxford Finance LLC and Silicon Valley Bank, as amended, which we refer to as the Loan Agreement.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Income and expense from the change in fair value of our liability for preferred stock warrants results from the valuation of our outstanding warrants to purchase shares of our preferred stock, which is valued at each period end. Upon the closing of our initial public offering on January 31, 2017, the warrants to purchase shares of preferred stock have converted into warrants to purchase shares of common stock, the preferred stock warrant liabilities have been reclassified to additional paid-in capital and periodic fair value adjustments will no longer be required.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Form 10-K filed on March 8, 2017 with the SEC.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the Three and Nine Months Ended September 30, 2017 and 2016</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420" w:firstLine="446"/>
        <w:spacing w:after="0" w:line="308" w:lineRule="auto"/>
        <w:rPr>
          <w:sz w:val="20"/>
          <w:szCs w:val="20"/>
          <w:color w:val="auto"/>
        </w:rPr>
      </w:pPr>
      <w:r>
        <w:rPr>
          <w:rFonts w:ascii="Arial" w:cs="Arial" w:eastAsia="Arial" w:hAnsi="Arial"/>
          <w:sz w:val="17"/>
          <w:szCs w:val="17"/>
          <w:color w:val="auto"/>
        </w:rPr>
        <w:t>Collaboration revenue was zero compared to $3.2 million for the three months ended September 30, 2017 and 2016, respectively, and $7.0 million compared to $13.9 million for the nine months ended September 30, 2017 and 2016. A comparison of revenue by collaborator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Increase</w:t>
            </w:r>
          </w:p>
        </w:tc>
        <w:tc>
          <w:tcPr>
            <w:tcW w:w="28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FF0FC"/>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c>
          <w:tcPr>
            <w:tcW w:w="2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TESARO-amortization of upfront payments</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TESARO-funding of research and development</w:t>
            </w:r>
          </w:p>
        </w:tc>
        <w:tc>
          <w:tcPr>
            <w:tcW w:w="28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TESARO-milestones</w:t>
            </w: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1,695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8,437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Celgene-milestone</w:t>
            </w:r>
          </w:p>
        </w:tc>
        <w:tc>
          <w:tcPr>
            <w:tcW w:w="280" w:type="dxa"/>
            <w:vAlign w:val="bottom"/>
          </w:tcPr>
          <w:p>
            <w:pPr>
              <w:spacing w:after="0"/>
              <w:rPr>
                <w:sz w:val="21"/>
                <w:szCs w:val="21"/>
                <w:color w:val="auto"/>
              </w:rPr>
            </w:pP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3,214</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(3,214)</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CFF0FC"/>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FF0FC"/>
            </w:tcBorders>
            <w:shd w:val="clear" w:color="auto" w:fill="CFF0FC"/>
          </w:tcPr>
          <w:p>
            <w:pPr>
              <w:jc w:val="right"/>
              <w:ind w:right="33"/>
              <w:spacing w:after="0"/>
              <w:rPr>
                <w:sz w:val="20"/>
                <w:szCs w:val="20"/>
                <w:color w:val="auto"/>
              </w:rPr>
            </w:pPr>
            <w:r>
              <w:rPr>
                <w:rFonts w:ascii="Arial" w:cs="Arial" w:eastAsia="Arial" w:hAnsi="Arial"/>
                <w:sz w:val="18"/>
                <w:szCs w:val="18"/>
                <w:color w:val="auto"/>
              </w:rPr>
              <w:t>13,930</w:t>
            </w:r>
          </w:p>
        </w:tc>
        <w:tc>
          <w:tcPr>
            <w:tcW w:w="1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180" w:firstLine="446"/>
        <w:spacing w:after="0" w:line="286" w:lineRule="auto"/>
        <w:rPr>
          <w:sz w:val="20"/>
          <w:szCs w:val="20"/>
          <w:color w:val="auto"/>
        </w:rPr>
      </w:pPr>
      <w:r>
        <w:rPr>
          <w:rFonts w:ascii="Arial" w:cs="Arial" w:eastAsia="Arial" w:hAnsi="Arial"/>
          <w:sz w:val="17"/>
          <w:szCs w:val="17"/>
          <w:color w:val="auto"/>
        </w:rPr>
        <w:t>Collaboration revenue during the three months ended September 30, 2017 decreased $3.2 million compared to the three months ended September 30, 2016, due to a decrease in upfront fees and research reimbursement revenue which we recognized in full upon the completion of the research services under the TESARO contract in December 31, 2016 as well as the timing of milestones being earned and recognized.</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Collaboration revenue during the nine months ended September 30, 2017 decreased $6.9 million compared to the nine months ended September 30,</w:t>
      </w:r>
    </w:p>
    <w:p>
      <w:pPr>
        <w:spacing w:after="0" w:line="46"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2016 primarily due to a decrease in upfront fees and research reimbursement revenue which we recognized in full upon the completion of the research services under the TESARO contract in December 31, 2016, as well as a decrease in milestone revenue.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92" w:right="239" w:bottom="1440" w:gutter="0" w:footer="0" w:header="0"/>
        </w:sectPr>
      </w:pPr>
    </w:p>
    <w:bookmarkStart w:id="24" w:name="page25"/>
    <w:bookmarkEnd w:id="24"/>
    <w:p>
      <w:pPr>
        <w:ind w:right="740" w:firstLine="48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36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color w:val="auto"/>
        </w:rPr>
        <w:t>Research and development expenses during the three months ended September 30, 2017 increased approximately $3.4 million compared to the three months ended September 30, 2016, primarily due to a $3.0 million decrease in Australian tax incentives recognized. The decrease in the Australian tax incentives related to the timing of the initial recognition of 2016 tax incentives during the three months ended September 30, 2016 upon our determination that the tax incentive was collectible as well as a reduction in reimbursable expenses during 2017. The increase is also attributable to a $0.7 million increase in clinical expenses, as well as a $0.6 million increase in salaries and related expenses, including stock compensation expense and recruiting fees, offset by a $0.9 million decrease in outside services for preclinical and manufacturing expenses.</w:t>
      </w:r>
    </w:p>
    <w:p>
      <w:pPr>
        <w:spacing w:after="0" w:line="70"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 xml:space="preserve">Research and development expenses during the nine months ended September 30, 2017 increased approximately $11.4 million compared to the nine months ended September 30, 2016, primarily due to </w:t>
      </w:r>
      <w:r>
        <w:rPr>
          <w:rFonts w:ascii="Arial" w:cs="Arial" w:eastAsia="Arial" w:hAnsi="Arial"/>
          <w:sz w:val="16"/>
          <w:szCs w:val="16"/>
          <w:color w:val="231F20"/>
        </w:rPr>
        <w:t>a</w:t>
      </w:r>
      <w:r>
        <w:rPr>
          <w:rFonts w:ascii="Arial" w:cs="Arial" w:eastAsia="Arial" w:hAnsi="Arial"/>
          <w:sz w:val="16"/>
          <w:szCs w:val="16"/>
          <w:color w:val="auto"/>
        </w:rPr>
        <w:t xml:space="preserve"> $4.8 million decrease in Australian tax incentives recognized. The decrease in the Australian tax incentives related to the timing of the initial recognition of 2015 and 2016 tax incentives as discussed above as well as a reduction in reimbursable expenses during 2017. The increase is also attributable to a $2.3 million increase in clinical expenses, a $1.4 million increase in outside services for preclinical and manufacturing expenses, and a $1.7 million increase in salaries and related expenses, including stock compensation expense and recruiting fees.</w:t>
      </w:r>
    </w:p>
    <w:p>
      <w:pPr>
        <w:spacing w:after="0" w:line="158"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We expect our research and development expenses to increase as we further advance our development programs and, in particular, as we enter into additional clinical trials.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General and administrative expenses during the three months ended September 30, 2017 increased approximately $1.4 million compared to the three months ended September 30, 2016, primarily due to a $0.9 million increase in salaries and related expenses, including stock compensation expense and recruiting fees as well as a $0.3 million increase in public company costs.</w:t>
      </w:r>
    </w:p>
    <w:p>
      <w:pPr>
        <w:spacing w:after="0" w:line="73" w:lineRule="exact"/>
        <w:rPr>
          <w:sz w:val="20"/>
          <w:szCs w:val="20"/>
          <w:color w:val="auto"/>
        </w:rPr>
      </w:pPr>
    </w:p>
    <w:p>
      <w:pPr>
        <w:ind w:right="320" w:firstLine="446"/>
        <w:spacing w:after="0" w:line="264" w:lineRule="auto"/>
        <w:rPr>
          <w:sz w:val="20"/>
          <w:szCs w:val="20"/>
          <w:color w:val="auto"/>
        </w:rPr>
      </w:pPr>
      <w:r>
        <w:rPr>
          <w:rFonts w:ascii="Arial" w:cs="Arial" w:eastAsia="Arial" w:hAnsi="Arial"/>
          <w:sz w:val="18"/>
          <w:szCs w:val="18"/>
          <w:color w:val="auto"/>
        </w:rPr>
        <w:t>General and administrative expenses during the nine months ended September 30, 2017 increased approximately $3.4 million compared to the nine months ended September 30, 2016, primarily due to a $2.5 million increase in salaries and related expenses, including stock compensation expense and recruiting fees as well as a $0.5 million increase in public company costs.</w:t>
      </w:r>
    </w:p>
    <w:p>
      <w:pPr>
        <w:spacing w:after="0" w:line="181"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Interest expense was $0.5 million and $1.3 million during the three and nine months ended September 30, 2017, respectively, and represents effective interest of approximately 12.08% through September 30, 2017, with an outstanding principal balance of $15.0 million as of September 30, 2017. Interest expense was $0.1 million and $0.3 million during the three and nine months ended September 30, 2016 respectively, and primarily represents effective interest of approximately 9.29% on our outstanding Term A Loans, which had an outstanding principal balance of $5.0 million as of September 30, 2016.</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49" w:right="279" w:bottom="1440" w:gutter="0" w:footer="0" w:header="0"/>
        </w:sectPr>
      </w:pPr>
    </w:p>
    <w:bookmarkStart w:id="25" w:name="page26"/>
    <w:bookmarkEnd w:id="25"/>
    <w:p>
      <w:pPr>
        <w:ind w:left="260"/>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The change in fair value of the liabilities for stock warrants resulted in no expense and expense of $47,000 during the three months ended September 30, 2017 and 2016, respectively and $1.4 million of expense compared to $0.3 million of income during the nine months ended September 30, 2017 and 2016, respectively, due to changes in the valuation of our Series C convertible preferred stock which impacts the estimated fair value of the warrants. As discussed in Item 1 — Note 7 above, all of the outstanding warrants to purchase shares of preferred stock automatically converted into warrants to purchase shares of common stock in connection with the IPO and are accounted for as equity from the conversion date forward.</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Other income (expense), net was $0.4 million during the three months ended September 30, 2017 and primarily consisted of interest income of approximately $0.3 million from our short-term and long-term investments and foreign exchange gains of approximately $0.1 million related to our Australian subsidiary. Other income (expense), net was $0.1 million during the three months ended September 30, 2016 and primarily consisted of a foreign exchange gain related to our Australian subsidiary and interest income from our money market fund.</w:t>
      </w:r>
    </w:p>
    <w:p>
      <w:pPr>
        <w:spacing w:after="0" w:line="79"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Other income (expense), net was $1.1 million during the nine months ended September 30, 2017 and primarily consisted of interest income of approximately $0.7 million from our short-term and long-term investments and foreign exchange gains of approximately $0.4 million related to our Australian subsidiary. Other income (expense), net was $0.2 million during the nine months ended September 30, 2016 and primarily consisted of a foreign exchange gain related to our Australian subsidiary and interest income from our money market fund.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From our inception through September 30, 2017, we have received an aggregate of $265.3 million to fund our operations which included $172.6 million from the sale of equity securities, $73.6 million from our collaboration agreements and $19.1 million from venture debt. As of September 30, 2017, we had $116.7 million in cash, cash equivalents and investments.</w:t>
      </w:r>
    </w:p>
    <w:p>
      <w:pPr>
        <w:spacing w:after="0" w:line="73"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On October 17, 2017, we completed an underwritten public offering of 3,000,000 shares of common stock. All shares were offered by us at a price to the public of $68.50 per share. The aggregate net proceeds received by us from the offering were $194.7 million, net of underwriting discounts and commissions. As part of the underwritten public offering, the underwriters have the option to exercise an additional 450,000 shares of common stock within 30 days of the offering.</w:t>
      </w:r>
    </w:p>
    <w:p>
      <w:pPr>
        <w:spacing w:after="0" w:line="18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In addition to our existing cash and cash equivalents and investments, we are eligible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rights to payments under our collaboration agreements are our only committed external source of funds.</w:t>
      </w:r>
    </w:p>
    <w:p>
      <w:pPr>
        <w:spacing w:after="0" w:line="188"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81" w:lineRule="exact"/>
        <w:rPr>
          <w:sz w:val="20"/>
          <w:szCs w:val="20"/>
          <w:color w:val="auto"/>
        </w:rPr>
      </w:pPr>
    </w:p>
    <w:p>
      <w:pPr>
        <w:jc w:val="both"/>
        <w:ind w:right="80" w:firstLine="446"/>
        <w:spacing w:after="0" w:line="264" w:lineRule="auto"/>
        <w:rPr>
          <w:sz w:val="20"/>
          <w:szCs w:val="20"/>
          <w:color w:val="auto"/>
        </w:rPr>
      </w:pPr>
      <w:r>
        <w:rPr>
          <w:rFonts w:ascii="Arial" w:cs="Arial" w:eastAsia="Arial" w:hAnsi="Arial"/>
          <w:sz w:val="18"/>
          <w:szCs w:val="18"/>
          <w:color w:val="auto"/>
        </w:rPr>
        <w:t>Under the Loan Agreement, we may borrow up to $15.0 million in three separate draws of $5.0 million each. In January 2016, we amended the Loan Agreement to combine Term B Loans and Term C Loans for a total of $10.0 million available for draw and delay the principal repayments for our Term A Loans from February 1, 2016 until February 1, 2017.</w:t>
      </w:r>
    </w:p>
    <w:p>
      <w:pPr>
        <w:spacing w:after="0" w:line="18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December 2016, we further amended the Loan Agreement to (i) allow for the Term B Loans and Term C Loans to be drawn on December 30, 2016, (ii) delay principal repayments of all Term Loans until February 1, 2018</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80"/>
          </w:cols>
          <w:pgMar w:left="240" w:top="692" w:right="37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t>and (iii) amend the interest rate for each Term Loan. The Term B Loans and the Term C Loans were drawn on December 30, 2016. As of September 30, 2017, the Term Loans are due in four monthly interest-only payments through January 2018, followed by 24 equal monthly principal and interest payments beginning February 1, 2018, with final maturity in January 2020. Each Loan bears interest equal to the greater of 3-month U.S. LIBOR plus 6.37% or 7.3%. The rate was 7.69% as of September 30,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40" w:firstLine="44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39"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As a publicly traded company, we incur significant legal, accounting and other expenses that were not required as a private company. In addition, the Sarbanes-Oxley Act of 2002, as well as rules adopted by the SEC and The NASDAQ Stock Market, requires public companies to implement specified corporate governance practices that were inapplicable to us as a private company. We expect these rules and regulations will increase our legal and financial compliance costs and will make some activities more time-consuming and costly.</w:t>
      </w:r>
    </w:p>
    <w:p>
      <w:pPr>
        <w:spacing w:after="0" w:line="187"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Cash, cash equivalents and investments totaled $116.7 million as of September 30, 2017, compared to $51.2 million as of December 31, 2016, and includes net proceeds of $80.2 million from our IPO which was completed on January 31, 2017 and $7.0 million in revenue related to milestones achieved during the nine months ended September 30, 2017. Including proceeds from our follow-on offering in October 2017, we expect that our cash and cash equivalents, as well as our investments and projected revenue under our existing collaborations will fund our operating plan through the end of 2019.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nine months ended September 30, 2017 and 2016: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gridSpan w:val="3"/>
          </w:tcPr>
          <w:p>
            <w:pPr>
              <w:jc w:val="center"/>
              <w:ind w:left="538"/>
              <w:spacing w:after="0"/>
              <w:rPr>
                <w:sz w:val="20"/>
                <w:szCs w:val="20"/>
                <w:color w:val="auto"/>
              </w:rPr>
            </w:pPr>
            <w:r>
              <w:rPr>
                <w:rFonts w:ascii="Arial" w:cs="Arial" w:eastAsia="Arial" w:hAnsi="Arial"/>
                <w:sz w:val="14"/>
                <w:szCs w:val="14"/>
                <w:b w:val="1"/>
                <w:bCs w:val="1"/>
                <w:color w:val="auto"/>
                <w:w w:val="94"/>
              </w:rPr>
              <w:t>Nine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1240" w:type="dxa"/>
            <w:vAlign w:val="bottom"/>
            <w:vMerge w:val="restart"/>
          </w:tcPr>
          <w:p>
            <w:pPr>
              <w:jc w:val="right"/>
              <w:ind w:right="57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87"/>
        </w:trPr>
        <w:tc>
          <w:tcPr>
            <w:tcW w:w="6400" w:type="dxa"/>
            <w:vAlign w:val="bottom"/>
            <w:tcBorders>
              <w:bottom w:val="single" w:sz="8" w:color="CFF0FC"/>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FF0FC"/>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Net cash (used in) provided by:</w:t>
            </w: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(14,628)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(11,168)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(90,001)</w:t>
            </w:r>
          </w:p>
        </w:tc>
        <w:tc>
          <w:tcPr>
            <w:tcW w:w="10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(89,952)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80,066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81,107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Net decrease in cash, cash equivalents and restricted cash</w:t>
            </w: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(24,563)</w:t>
            </w:r>
          </w:p>
        </w:tc>
        <w:tc>
          <w:tcPr>
            <w:tcW w:w="1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(20,013)</w:t>
            </w:r>
          </w:p>
        </w:tc>
        <w:tc>
          <w:tcPr>
            <w:tcW w:w="0" w:type="dxa"/>
            <w:vAlign w:val="bottom"/>
          </w:tcPr>
          <w:p>
            <w:pPr>
              <w:spacing w:after="0"/>
              <w:rPr>
                <w:sz w:val="1"/>
                <w:szCs w:val="1"/>
                <w:color w:val="auto"/>
              </w:rPr>
            </w:pPr>
          </w:p>
        </w:tc>
      </w:tr>
      <w:tr>
        <w:trPr>
          <w:trHeight w:val="20"/>
        </w:trPr>
        <w:tc>
          <w:tcPr>
            <w:tcW w:w="64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40" w:firstLine="446"/>
        <w:spacing w:after="0" w:line="302" w:lineRule="auto"/>
        <w:rPr>
          <w:sz w:val="20"/>
          <w:szCs w:val="20"/>
          <w:color w:val="auto"/>
        </w:rPr>
      </w:pPr>
      <w:r>
        <w:rPr>
          <w:rFonts w:ascii="Arial" w:cs="Arial" w:eastAsia="Arial" w:hAnsi="Arial"/>
          <w:sz w:val="16"/>
          <w:szCs w:val="16"/>
          <w:color w:val="auto"/>
        </w:rPr>
        <w:t>Net cash used in operating activities during the nine months ended September 30, 2017 of $14.6 million was primarily due to our net loss of $23.2 million, adjusted for addbacks for non-cash expenses of $5.2 million which includes stock-based compensation and warrant liability fair value adjustments and changes in working capital of $3.4 million. Net cash used in operating activities during the nine months ended September 30, 2016 of $3.5 million was primarily due to changes in working capital of $4.6 million offset by non-cash addbacks of $0.8 million and net income of $0.3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2017 was primarily due to the acquisition of investments upon receipt of the proceeds from our IPO. Cash used in investing activities during the nine months ended September 30, 2016 was due to our purchases of property and equipment.</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 cash provided by financing activities during the nine months ended September 30, 2017 of $80.1 million was primarily related to net proceeds of $80.2 million from our IPO as well as proceeds of $1.4 million from the issuance of common stock as a result of option and warrant exercises, offset by $1.5 million in payments related to offering costs. Cash used in financing activities during the nine months ended September 30, 2016 of $1.0 million was primarily related to payments for deferred offering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692"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Some of the securities that we invest in have market risk in that a change in prevailing interest rates or significant change in economic circumstances may cause the principal amount of the marketable securities to fluctuate. Financial instruments that potentially subject us to significant concentrations of credit risk consist primarily of cash, cash equivalents, short-term and long-term investments. We invest our excess cash primarily in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Because of the short-term maturities of our cash equivalents and marketable securities, we do not believe that an increase in market rates would have any significant impact on the realized value of our marketable securities. As of September 30, 2017, there have been no material changes surrounding our market risk from the discussion provided in Item 7A. Quantitative and Qualitative Disclosures About Market Risk of our Fiscal 2016 Form 10-K.</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2017,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178" w:lineRule="exact"/>
        <w:rPr>
          <w:sz w:val="20"/>
          <w:szCs w:val="20"/>
          <w:color w:val="auto"/>
        </w:rPr>
      </w:pPr>
    </w:p>
    <w:p>
      <w:pPr>
        <w:ind w:right="500" w:firstLine="446"/>
        <w:spacing w:after="0" w:line="342"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364" w:right="29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report,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2"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We are using our proprietary technology platform to develop therapeutic antibodies, including our wholly-owned product candidates,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47" w:lineRule="exact"/>
        <w:rPr>
          <w:sz w:val="20"/>
          <w:szCs w:val="20"/>
          <w:color w:val="auto"/>
        </w:rPr>
      </w:pPr>
    </w:p>
    <w:p>
      <w:pPr>
        <w:ind w:right="60" w:firstLine="446"/>
        <w:spacing w:after="0" w:line="273"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product candidates in later clinical trials may fail to demonstrate sufficient efficacy despite having progressed through initial clinical trials, even if certain analyses of primary or secondary endpoints in those early trials showed trends toward efficacy or, in some analyses, nominal statistical significance. In addition, the results of clinical trials in one set of patients or line of treatment may not be predictive of those obtained in another.</w:t>
      </w:r>
    </w:p>
    <w:p>
      <w:pPr>
        <w:spacing w:after="0" w:line="178"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62"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364" w:right="259" w:bottom="1440" w:gutter="0" w:footer="0" w:header="0"/>
        </w:sectPr>
      </w:pPr>
    </w:p>
    <w:bookmarkStart w:id="30" w:name="page31"/>
    <w:bookmarkEnd w:id="30"/>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225"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296"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b w:val="1"/>
          <w:bCs w:val="1"/>
          <w:color w:val="auto"/>
        </w:rPr>
        <w:t>We have only limited data regarding the safety profile of our wholly-owned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00" w:firstLine="446"/>
        <w:spacing w:after="0" w:line="241"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90" w:lineRule="exact"/>
        <w:rPr>
          <w:sz w:val="20"/>
          <w:szCs w:val="20"/>
          <w:color w:val="auto"/>
        </w:rPr>
      </w:pPr>
    </w:p>
    <w:p>
      <w:pPr>
        <w:ind w:right="100" w:firstLine="486"/>
        <w:spacing w:after="0" w:line="271" w:lineRule="auto"/>
        <w:rPr>
          <w:sz w:val="20"/>
          <w:szCs w:val="20"/>
          <w:color w:val="auto"/>
        </w:rPr>
      </w:pPr>
      <w:r>
        <w:rPr>
          <w:rFonts w:ascii="Arial" w:cs="Arial" w:eastAsia="Arial" w:hAnsi="Arial"/>
          <w:sz w:val="16"/>
          <w:szCs w:val="16"/>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recently completed our Phase 1 clinical trial for ANB020 in healthy humans, and initiated patient trials with ANB020. We also have only recently initiated a Phase 1 clinical trial with ANB019.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31" w:name="page32"/>
    <w:bookmarkEnd w:id="31"/>
    <w:p>
      <w:pPr>
        <w:ind w:right="80" w:firstLine="486"/>
        <w:spacing w:after="0" w:line="286" w:lineRule="auto"/>
        <w:rPr>
          <w:sz w:val="20"/>
          <w:szCs w:val="20"/>
          <w:color w:val="auto"/>
        </w:rPr>
      </w:pPr>
      <w:r>
        <w:rPr>
          <w:rFonts w:ascii="Arial" w:cs="Arial" w:eastAsia="Arial" w:hAnsi="Arial"/>
          <w:sz w:val="16"/>
          <w:szCs w:val="16"/>
          <w:color w:val="auto"/>
        </w:rPr>
        <w:t>In the single-ascending dose segment of our Phase 1 clinical trial of ANB020, the most common adverse events were upper respiratory tract infection and headache, and we observed one case of severe neutropenia in one individual, which was acute and not persistent, and was considered not to be drug-related. No adverse events were determined to be drug related. All safety information generated under the single-ascending dose segment of our Phase 1 clinical trial was included in the US IND and UK CTA submissions which were subsequently cleared by the FDA and MHRA, respectively. Subjects in our ongoing and planned clinical trials may in the future suffer significant adverse events or other side effects not observed in our preclinical studies or in our Phase 1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40" w:firstLine="446"/>
        <w:spacing w:after="0" w:line="254"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82" w:lineRule="exact"/>
        <w:rPr>
          <w:sz w:val="20"/>
          <w:szCs w:val="20"/>
          <w:color w:val="auto"/>
        </w:rPr>
      </w:pPr>
    </w:p>
    <w:p>
      <w:pPr>
        <w:ind w:right="180" w:firstLine="44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76"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2"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and a CTN for ANB019 in Australia,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jc w:val="both"/>
        <w:ind w:right="480"/>
        <w:spacing w:after="0" w:line="264" w:lineRule="auto"/>
        <w:rPr>
          <w:sz w:val="20"/>
          <w:szCs w:val="20"/>
          <w:color w:val="auto"/>
        </w:rPr>
      </w:pPr>
      <w:r>
        <w:rPr>
          <w:rFonts w:ascii="Arial" w:cs="Arial" w:eastAsia="Arial" w:hAnsi="Arial"/>
          <w:sz w:val="18"/>
          <w:szCs w:val="18"/>
          <w:color w:val="auto"/>
        </w:rPr>
        <w:t>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81"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obtaining clearance for our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we believe a small pivotal trial, potentially with approximately 100 patients, may be sufficient to demonstrate substantial evidence of efficacy of ANB019 in generalized pustular psoriasis, or GPP, patients. However,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 In addition, with regard to ANB020, although we intend for our investigators for our Phase 2a study to enroll only patients with severe adult peanut allergy, the protocol does not preclude enrollment of patients with non-severe adult peanut allergy. It is possible that our investigator could enroll patients with non-severe peanut allergy, which could provide us with less information than anticipated with regard to ANB020’s effect on severe peanut allergy.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10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03" w:lineRule="exact"/>
        <w:rPr>
          <w:sz w:val="20"/>
          <w:szCs w:val="20"/>
          <w:color w:val="auto"/>
        </w:rPr>
      </w:pPr>
    </w:p>
    <w:p>
      <w:pPr>
        <w:ind w:left="880" w:right="260" w:hanging="440"/>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17" w:lineRule="exact"/>
        <w:rPr>
          <w:rFonts w:ascii="Arial" w:cs="Arial" w:eastAsia="Arial" w:hAnsi="Arial"/>
          <w:sz w:val="18"/>
          <w:szCs w:val="18"/>
          <w:color w:val="auto"/>
        </w:rPr>
      </w:pPr>
    </w:p>
    <w:p>
      <w:pPr>
        <w:ind w:left="880" w:right="60" w:hanging="440"/>
        <w:spacing w:after="0" w:line="26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76" w:right="259" w:bottom="1440" w:gutter="0" w:footer="0" w:header="0"/>
        </w:sectPr>
      </w:pPr>
    </w:p>
    <w:bookmarkStart w:id="33" w:name="page34"/>
    <w:bookmarkEnd w:id="33"/>
    <w:p>
      <w:pPr>
        <w:ind w:right="60" w:firstLine="44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17"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880" w:right="340" w:hanging="440"/>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329"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We may not be successful in our efforts to use our technology platform to expand our pipeline of product candidates and develop marketable products.</w:t>
      </w:r>
    </w:p>
    <w:p>
      <w:pPr>
        <w:spacing w:after="0" w:line="58" w:lineRule="exact"/>
        <w:rPr>
          <w:sz w:val="20"/>
          <w:szCs w:val="20"/>
          <w:color w:val="auto"/>
        </w:rPr>
      </w:pPr>
    </w:p>
    <w:p>
      <w:pPr>
        <w:ind w:right="80" w:firstLine="446"/>
        <w:spacing w:after="0" w:line="253"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81"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584" w:right="339" w:bottom="1440" w:gutter="0" w:footer="0" w:header="0"/>
        </w:sectPr>
      </w:pPr>
    </w:p>
    <w:bookmarkStart w:id="34" w:name="page35"/>
    <w:bookmarkEnd w:id="34"/>
    <w:p>
      <w:pPr>
        <w:ind w:right="1140"/>
        <w:spacing w:after="0" w:line="296" w:lineRule="auto"/>
        <w:rPr>
          <w:sz w:val="20"/>
          <w:szCs w:val="20"/>
          <w:color w:val="auto"/>
        </w:rPr>
      </w:pPr>
      <w:r>
        <w:rPr>
          <w:rFonts w:ascii="Arial" w:cs="Arial" w:eastAsia="Arial" w:hAnsi="Arial"/>
          <w:sz w:val="17"/>
          <w:szCs w:val="17"/>
          <w:b w:val="1"/>
          <w:bCs w:val="1"/>
          <w:color w:val="auto"/>
        </w:rPr>
        <w:t>We have recently commenced clinical development of ANB020 and ANB019, and have no other history of conducting clinical trials or commercializing biotechnology products, which may make it difficult to evaluate the prospects for our future viability.</w:t>
      </w:r>
    </w:p>
    <w:p>
      <w:pPr>
        <w:spacing w:after="0" w:line="35" w:lineRule="exact"/>
        <w:rPr>
          <w:sz w:val="20"/>
          <w:szCs w:val="20"/>
          <w:color w:val="auto"/>
        </w:rPr>
      </w:pPr>
    </w:p>
    <w:p>
      <w:pPr>
        <w:ind w:firstLine="446"/>
        <w:spacing w:after="0" w:line="238" w:lineRule="auto"/>
        <w:rPr>
          <w:sz w:val="20"/>
          <w:szCs w:val="20"/>
          <w:color w:val="auto"/>
        </w:rPr>
      </w:pPr>
      <w:r>
        <w:rPr>
          <w:rFonts w:ascii="Arial" w:cs="Arial" w:eastAsia="Arial" w:hAnsi="Arial"/>
          <w:sz w:val="18"/>
          <w:szCs w:val="18"/>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95" w:lineRule="exact"/>
        <w:rPr>
          <w:sz w:val="20"/>
          <w:szCs w:val="20"/>
          <w:color w:val="auto"/>
        </w:rPr>
      </w:pPr>
    </w:p>
    <w:p>
      <w:pPr>
        <w:jc w:val="both"/>
        <w:ind w:right="620" w:firstLine="446"/>
        <w:spacing w:after="0" w:line="248"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74" w:lineRule="exact"/>
        <w:rPr>
          <w:sz w:val="20"/>
          <w:szCs w:val="20"/>
          <w:color w:val="auto"/>
        </w:rPr>
      </w:pPr>
    </w:p>
    <w:p>
      <w:pPr>
        <w:ind w:left="880" w:right="100" w:hanging="440"/>
        <w:spacing w:after="0" w:line="26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61" w:lineRule="exact"/>
        <w:rPr>
          <w:rFonts w:ascii="Arial" w:cs="Arial" w:eastAsia="Arial" w:hAnsi="Arial"/>
          <w:sz w:val="18"/>
          <w:szCs w:val="18"/>
          <w:color w:val="auto"/>
        </w:rPr>
      </w:pPr>
    </w:p>
    <w:p>
      <w:pPr>
        <w:ind w:left="880" w:right="600" w:hanging="440"/>
        <w:spacing w:after="0" w:line="262"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880" w:right="10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880" w:right="6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40" w:firstLine="44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688" w:right="299" w:bottom="1440" w:gutter="0" w:footer="0" w:header="0"/>
        </w:sectPr>
      </w:pPr>
    </w:p>
    <w:bookmarkStart w:id="35" w:name="page36"/>
    <w:bookmarkEnd w:id="35"/>
    <w:p>
      <w:pPr>
        <w:ind w:right="160" w:firstLine="44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80" w:lineRule="exact"/>
        <w:rPr>
          <w:sz w:val="20"/>
          <w:szCs w:val="20"/>
          <w:color w:val="auto"/>
        </w:rPr>
      </w:pPr>
    </w:p>
    <w:p>
      <w:pPr>
        <w:ind w:right="20" w:firstLine="446"/>
        <w:spacing w:after="0" w:line="268"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and reslizumab (Cinqair; Teva), both of which the FDA has approved for the add-on maintenance treatment in patients with severe eosinophilic asthma;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Sanofi) and AMG 317 (Amgen) each in clinical testing, an ST2-binding antibodies including Roche’s RG6149, GSK’s GSK3772847 and Regeneron’s REGN3500 each in clinical development for asthma and related conditions, a recently announced an IL-33 related program (MEDI3506) in a Phase 1 clinical trial and is indicated for chronic obstructive pulmonary disease and an anti-TSLP antibody called tezepelumab (AMG 157, MEDI9929) being developed by Amgen and AstraZeneca for asthma and atopic dermatitis.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(Dupixent, Regeneron, Sanofi), which has been approved by the FDA, crisaborole (EUCRISA, Pfizer), which has recently been approved by the FDA, and VTP-38543 (Vitae, acquired by Allergan), and JAK inhibitors such as baricitinib and upadacitinib under development by Lilly/Incyte and Abbvie, respectively.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and canakinumab (Ilaris, Novartis) which bind IL-1 beta and BI-655130 (Boehringer Ingelheim).</w:t>
      </w:r>
    </w:p>
    <w:p>
      <w:pPr>
        <w:spacing w:after="0" w:line="18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right="80"/>
        <w:spacing w:after="0" w:line="264" w:lineRule="auto"/>
        <w:rPr>
          <w:sz w:val="20"/>
          <w:szCs w:val="20"/>
          <w:color w:val="auto"/>
        </w:rPr>
      </w:pPr>
      <w:r>
        <w:rPr>
          <w:rFonts w:ascii="Arial" w:cs="Arial" w:eastAsia="Arial" w:hAnsi="Arial"/>
          <w:sz w:val="18"/>
          <w:szCs w:val="18"/>
          <w:color w:val="auto"/>
        </w:rPr>
        <w:t>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81"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9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product candidates may not achieve adequate market acceptance among physicians, patients, healthcare payors and others in the medical community necessary for commercial success.</w:t>
      </w:r>
    </w:p>
    <w:p>
      <w:pPr>
        <w:spacing w:after="0" w:line="58" w:lineRule="exact"/>
        <w:rPr>
          <w:sz w:val="20"/>
          <w:szCs w:val="20"/>
          <w:color w:val="auto"/>
        </w:rPr>
      </w:pPr>
    </w:p>
    <w:p>
      <w:pPr>
        <w:ind w:right="60" w:firstLine="44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73" w:lineRule="exact"/>
        <w:rPr>
          <w:sz w:val="20"/>
          <w:szCs w:val="20"/>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17" w:lineRule="exact"/>
        <w:rPr>
          <w:rFonts w:ascii="Arial" w:cs="Arial" w:eastAsia="Arial" w:hAnsi="Arial"/>
          <w:sz w:val="18"/>
          <w:szCs w:val="18"/>
          <w:color w:val="auto"/>
        </w:rPr>
      </w:pPr>
    </w:p>
    <w:p>
      <w:pPr>
        <w:ind w:left="880" w:right="240" w:hanging="440"/>
        <w:spacing w:after="0" w:line="277"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7" w:name="page38"/>
    <w:bookmarkEnd w:id="37"/>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00" w:lineRule="exact"/>
        <w:rPr>
          <w:sz w:val="20"/>
          <w:szCs w:val="20"/>
          <w:color w:val="auto"/>
        </w:rPr>
      </w:pPr>
    </w:p>
    <w:p>
      <w:pPr>
        <w:spacing w:after="0" w:line="201"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5"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34"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178"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62" w:lineRule="exact"/>
        <w:rPr>
          <w:sz w:val="20"/>
          <w:szCs w:val="20"/>
          <w:color w:val="auto"/>
        </w:rPr>
      </w:pPr>
    </w:p>
    <w:p>
      <w:pPr>
        <w:ind w:left="880" w:right="520" w:hanging="440"/>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17" w:lineRule="exact"/>
        <w:rPr>
          <w:rFonts w:ascii="Arial" w:cs="Arial" w:eastAsia="Arial" w:hAnsi="Arial"/>
          <w:sz w:val="18"/>
          <w:szCs w:val="18"/>
          <w:color w:val="auto"/>
        </w:rPr>
      </w:pPr>
    </w:p>
    <w:p>
      <w:pPr>
        <w:ind w:left="880" w:right="500" w:hanging="440"/>
        <w:spacing w:after="0" w:line="308" w:lineRule="auto"/>
        <w:tabs>
          <w:tab w:leader="none" w:pos="8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20" w:firstLine="44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76" w:right="259" w:bottom="1440" w:gutter="0" w:footer="0" w:header="0"/>
        </w:sectPr>
      </w:pPr>
    </w:p>
    <w:bookmarkStart w:id="38" w:name="page39"/>
    <w:bookmarkEnd w:id="38"/>
    <w:p>
      <w:pPr>
        <w:ind w:right="120"/>
        <w:spacing w:after="0" w:line="289" w:lineRule="auto"/>
        <w:rPr>
          <w:sz w:val="20"/>
          <w:szCs w:val="20"/>
          <w:color w:val="auto"/>
        </w:rPr>
      </w:pPr>
      <w:r>
        <w:rPr>
          <w:rFonts w:ascii="Arial" w:cs="Arial" w:eastAsia="Arial" w:hAnsi="Arial"/>
          <w:sz w:val="17"/>
          <w:szCs w:val="17"/>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4" w:lineRule="exact"/>
        <w:rPr>
          <w:sz w:val="20"/>
          <w:szCs w:val="20"/>
          <w:color w:val="auto"/>
        </w:rPr>
      </w:pPr>
    </w:p>
    <w:p>
      <w:pPr>
        <w:ind w:right="120" w:firstLine="446"/>
        <w:spacing w:after="0" w:line="271" w:lineRule="auto"/>
        <w:rPr>
          <w:sz w:val="20"/>
          <w:szCs w:val="20"/>
          <w:color w:val="auto"/>
        </w:rPr>
      </w:pPr>
      <w:r>
        <w:rPr>
          <w:rFonts w:ascii="Arial" w:cs="Arial" w:eastAsia="Arial" w:hAnsi="Arial"/>
          <w:sz w:val="17"/>
          <w:szCs w:val="17"/>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current good manufacturing practices, or cGMPs, the FDA may deny BLA approval until the deficiencies are corrected or we replace the manufacturer in our BLA with a manufacturer that is in compliance.</w:t>
      </w:r>
    </w:p>
    <w:p>
      <w:pPr>
        <w:spacing w:after="0" w:line="17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8"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Since our inception, we have incurred significant operating losses in every year except fiscal year 2014. Our collaboration revenue was $7.0 million and our net loss was $23.2 million for the nine months ended September 30, 2017 and our collaboration revenue was $13.9 million and our net income was $0.3 million for the nine months ended September 30, 2016. As of September 30, 2017, we had an accumulated deficit of $78.2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688" w:right="239" w:bottom="1440" w:gutter="0" w:footer="0" w:header="0"/>
        </w:sectPr>
      </w:pPr>
    </w:p>
    <w:bookmarkStart w:id="39" w:name="page40"/>
    <w:bookmarkEnd w:id="39"/>
    <w:p>
      <w:pPr>
        <w:ind w:firstLine="648"/>
        <w:spacing w:after="0" w:line="272" w:lineRule="auto"/>
        <w:rPr>
          <w:sz w:val="20"/>
          <w:szCs w:val="20"/>
          <w:color w:val="auto"/>
        </w:rPr>
      </w:pPr>
      <w:r>
        <w:rPr>
          <w:rFonts w:ascii="Arial" w:cs="Arial" w:eastAsia="Arial" w:hAnsi="Arial"/>
          <w:sz w:val="17"/>
          <w:szCs w:val="17"/>
          <w:color w:val="auto"/>
        </w:rPr>
        <w:t>We have financed our operations primarily through private placements of our preferred stock, our initial public offering of common stock in January 2017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70"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28" w:lineRule="exact"/>
        <w:rPr>
          <w:rFonts w:ascii="Arial" w:cs="Arial" w:eastAsia="Arial" w:hAnsi="Arial"/>
          <w:sz w:val="17"/>
          <w:szCs w:val="17"/>
          <w:color w:val="auto"/>
        </w:rPr>
      </w:pPr>
    </w:p>
    <w:p>
      <w:pPr>
        <w:ind w:left="880" w:right="40" w:hanging="440"/>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225"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00" w:firstLine="446"/>
        <w:spacing w:after="0" w:line="253" w:lineRule="auto"/>
        <w:rPr>
          <w:sz w:val="20"/>
          <w:szCs w:val="20"/>
          <w:color w:val="auto"/>
        </w:rPr>
      </w:pPr>
      <w:r>
        <w:rPr>
          <w:rFonts w:ascii="Arial" w:cs="Arial" w:eastAsia="Arial" w:hAnsi="Arial"/>
          <w:sz w:val="18"/>
          <w:szCs w:val="18"/>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ind w:right="140"/>
        <w:spacing w:after="0" w:line="282" w:lineRule="auto"/>
        <w:rPr>
          <w:sz w:val="20"/>
          <w:szCs w:val="20"/>
          <w:color w:val="auto"/>
        </w:rPr>
      </w:pPr>
      <w:r>
        <w:rPr>
          <w:rFonts w:ascii="Arial" w:cs="Arial" w:eastAsia="Arial" w:hAnsi="Arial"/>
          <w:sz w:val="18"/>
          <w:szCs w:val="18"/>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and cash equivalents and investments along with funding we expect to receive under existing collaboration agreements will fund our projected operating plan through the end of 2019.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80"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39"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40" w:lineRule="exact"/>
        <w:rPr>
          <w:rFonts w:ascii="Arial" w:cs="Arial" w:eastAsia="Arial" w:hAnsi="Arial"/>
          <w:sz w:val="16"/>
          <w:szCs w:val="16"/>
          <w:color w:val="auto"/>
        </w:rPr>
      </w:pPr>
    </w:p>
    <w:p>
      <w:pPr>
        <w:ind w:left="880" w:right="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62" w:lineRule="exact"/>
        <w:rPr>
          <w:rFonts w:ascii="Arial" w:cs="Arial" w:eastAsia="Arial" w:hAnsi="Arial"/>
          <w:sz w:val="18"/>
          <w:szCs w:val="18"/>
          <w:color w:val="auto"/>
        </w:rPr>
      </w:pPr>
    </w:p>
    <w:p>
      <w:pPr>
        <w:ind w:left="880" w:right="180" w:hanging="440"/>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225" w:lineRule="exact"/>
        <w:rPr>
          <w:sz w:val="20"/>
          <w:szCs w:val="20"/>
          <w:color w:val="auto"/>
        </w:rPr>
      </w:pPr>
    </w:p>
    <w:p>
      <w:pPr>
        <w:ind w:right="80" w:firstLine="446"/>
        <w:spacing w:after="0" w:line="273" w:lineRule="auto"/>
        <w:rPr>
          <w:sz w:val="20"/>
          <w:szCs w:val="20"/>
          <w:color w:val="auto"/>
        </w:rPr>
      </w:pPr>
      <w:r>
        <w:rPr>
          <w:rFonts w:ascii="Arial" w:cs="Arial" w:eastAsia="Arial" w:hAnsi="Arial"/>
          <w:sz w:val="17"/>
          <w:szCs w:val="17"/>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70" w:lineRule="exact"/>
        <w:rPr>
          <w:sz w:val="20"/>
          <w:szCs w:val="20"/>
          <w:color w:val="auto"/>
        </w:rPr>
      </w:pPr>
    </w:p>
    <w:p>
      <w:pPr>
        <w:ind w:left="880" w:right="140" w:hanging="440"/>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number and size of clinical trials needed to show safety, efficacy and an acceptable risk/benefit profile for any of our product candidates;</w:t>
      </w:r>
    </w:p>
    <w:p>
      <w:pPr>
        <w:spacing w:after="0" w:line="128" w:lineRule="exact"/>
        <w:rPr>
          <w:rFonts w:ascii="Arial" w:cs="Arial" w:eastAsia="Arial" w:hAnsi="Arial"/>
          <w:sz w:val="17"/>
          <w:szCs w:val="17"/>
          <w:color w:val="auto"/>
        </w:rPr>
      </w:pPr>
    </w:p>
    <w:p>
      <w:pPr>
        <w:ind w:left="880" w:right="540" w:hanging="440"/>
        <w:spacing w:after="0" w:line="308"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38" w:lineRule="exact"/>
        <w:rPr>
          <w:rFonts w:ascii="Arial" w:cs="Arial" w:eastAsia="Arial" w:hAnsi="Arial"/>
          <w:sz w:val="17"/>
          <w:szCs w:val="17"/>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8" w:right="239" w:bottom="1440" w:gutter="0" w:footer="0" w:header="0"/>
        </w:sectPr>
      </w:pPr>
    </w:p>
    <w:bookmarkStart w:id="41" w:name="page42"/>
    <w:bookmarkEnd w:id="41"/>
    <w:p>
      <w:pPr>
        <w:ind w:left="880" w:right="640" w:hanging="440"/>
        <w:spacing w:after="0" w:line="264"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346"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Raising additional capital may cause dilution to our existing stockholders, restrict our operations or require us to relinquish rights to our product candidates on unfavorable terms to us.</w:t>
      </w:r>
    </w:p>
    <w:p>
      <w:pPr>
        <w:spacing w:after="0" w:line="58"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96"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Risks Related to Managing Growth, Operations and Macroeconomic Conditions We must attract and retain highly skilled employees in order to succeed.</w:t>
      </w:r>
    </w:p>
    <w:p>
      <w:pPr>
        <w:spacing w:after="0" w:line="1" w:lineRule="exact"/>
        <w:rPr>
          <w:sz w:val="20"/>
          <w:szCs w:val="20"/>
          <w:color w:val="auto"/>
        </w:rPr>
      </w:pPr>
    </w:p>
    <w:p>
      <w:pPr>
        <w:ind w:right="140" w:firstLine="446"/>
        <w:spacing w:after="0" w:line="290"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 In addition, certain members of our senior management team, including our Chief Financial Officer, who joined us in January 2017, have worked together for only a relatively short period of time and it may be difficult to evaluate their effectiveness, on an individual or collective basis, and ability to address future challenges to our business.</w:t>
      </w:r>
    </w:p>
    <w:p>
      <w:pPr>
        <w:spacing w:after="0" w:line="166"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2" w:name="page43"/>
    <w:bookmarkEnd w:id="42"/>
    <w:p>
      <w:pPr>
        <w:ind w:right="280"/>
        <w:spacing w:after="0" w:line="277" w:lineRule="auto"/>
        <w:rPr>
          <w:sz w:val="20"/>
          <w:szCs w:val="20"/>
          <w:color w:val="auto"/>
        </w:rPr>
      </w:pPr>
      <w:r>
        <w:rPr>
          <w:rFonts w:ascii="Arial" w:cs="Arial" w:eastAsia="Arial" w:hAnsi="Arial"/>
          <w:sz w:val="18"/>
          <w:szCs w:val="18"/>
          <w:color w:val="auto"/>
        </w:rPr>
        <w:t>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7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2" w:lineRule="exact"/>
        <w:rPr>
          <w:sz w:val="20"/>
          <w:szCs w:val="20"/>
          <w:color w:val="auto"/>
        </w:rPr>
      </w:pPr>
    </w:p>
    <w:p>
      <w:pPr>
        <w:ind w:firstLine="44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We expect to expand our development and regulatory capabilities, and as a result, we may encounter difficulties in managing our growth, which could disrupt our operations.</w:t>
      </w:r>
    </w:p>
    <w:p>
      <w:pPr>
        <w:spacing w:after="0" w:line="5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b w:val="1"/>
          <w:b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73" w:lineRule="exact"/>
        <w:rPr>
          <w:sz w:val="20"/>
          <w:szCs w:val="20"/>
          <w:color w:val="auto"/>
        </w:rPr>
      </w:pPr>
    </w:p>
    <w:p>
      <w:pPr>
        <w:ind w:right="80" w:firstLine="446"/>
        <w:spacing w:after="0" w:line="279" w:lineRule="auto"/>
        <w:rPr>
          <w:sz w:val="20"/>
          <w:szCs w:val="20"/>
          <w:color w:val="auto"/>
        </w:rPr>
      </w:pPr>
      <w:r>
        <w:rPr>
          <w:rFonts w:ascii="Arial" w:cs="Arial" w:eastAsia="Arial" w:hAnsi="Arial"/>
          <w:sz w:val="16"/>
          <w:szCs w:val="16"/>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60" w:lineRule="exact"/>
        <w:rPr>
          <w:sz w:val="20"/>
          <w:szCs w:val="20"/>
          <w:color w:val="auto"/>
        </w:rPr>
      </w:pPr>
    </w:p>
    <w:p>
      <w:pPr>
        <w:ind w:right="60" w:firstLine="446"/>
        <w:spacing w:after="0" w:line="262"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are ineligible or unable to receive the research and development tax</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ind w:right="340"/>
        <w:spacing w:after="0" w:line="262" w:lineRule="auto"/>
        <w:rPr>
          <w:sz w:val="20"/>
          <w:szCs w:val="20"/>
          <w:color w:val="auto"/>
        </w:rPr>
      </w:pPr>
      <w:r>
        <w:rPr>
          <w:rFonts w:ascii="Arial" w:cs="Arial" w:eastAsia="Arial" w:hAnsi="Arial"/>
          <w:sz w:val="18"/>
          <w:szCs w:val="18"/>
          <w:color w:val="auto"/>
        </w:rPr>
        <w:t>credit, or if we lose our ability to operate AnaptysBio Pty in Australia, or the Australian government significantly reduces or eliminates the tax credit, our business and results of operation would be adversely affected.</w:t>
      </w:r>
    </w:p>
    <w:p>
      <w:pPr>
        <w:spacing w:after="0" w:line="273"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2" w:lineRule="exact"/>
        <w:rPr>
          <w:sz w:val="20"/>
          <w:szCs w:val="20"/>
          <w:color w:val="auto"/>
        </w:rPr>
      </w:pPr>
    </w:p>
    <w:p>
      <w:pPr>
        <w:ind w:right="240" w:firstLine="446"/>
        <w:spacing w:after="0" w:line="238"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5" w:lineRule="exact"/>
        <w:rPr>
          <w:sz w:val="20"/>
          <w:szCs w:val="20"/>
          <w:color w:val="auto"/>
        </w:rPr>
      </w:pPr>
    </w:p>
    <w:p>
      <w:pPr>
        <w:ind w:right="160" w:firstLine="446"/>
        <w:spacing w:after="0" w:line="243"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8" w:lineRule="exact"/>
        <w:rPr>
          <w:sz w:val="20"/>
          <w:szCs w:val="20"/>
          <w:color w:val="auto"/>
        </w:rPr>
      </w:pPr>
    </w:p>
    <w:p>
      <w:pPr>
        <w:ind w:right="60" w:firstLine="446"/>
        <w:spacing w:after="0" w:line="252"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vulnerable to disruption, damage and financial obligation as a result of system failures.</w:t>
      </w:r>
    </w:p>
    <w:p>
      <w:pPr>
        <w:spacing w:after="0" w:line="108" w:lineRule="exact"/>
        <w:rPr>
          <w:sz w:val="20"/>
          <w:szCs w:val="20"/>
          <w:color w:val="auto"/>
        </w:rPr>
      </w:pPr>
    </w:p>
    <w:p>
      <w:pPr>
        <w:ind w:firstLine="446"/>
        <w:spacing w:after="0" w:line="276" w:lineRule="auto"/>
        <w:rPr>
          <w:sz w:val="20"/>
          <w:szCs w:val="20"/>
          <w:color w:val="auto"/>
        </w:rPr>
      </w:pPr>
      <w:r>
        <w:rPr>
          <w:rFonts w:ascii="Arial" w:cs="Arial" w:eastAsia="Arial" w:hAnsi="Arial"/>
          <w:sz w:val="16"/>
          <w:szCs w:val="16"/>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ind w:right="20"/>
        <w:spacing w:after="0" w:line="248" w:lineRule="auto"/>
        <w:rPr>
          <w:sz w:val="20"/>
          <w:szCs w:val="20"/>
          <w:color w:val="auto"/>
        </w:rPr>
      </w:pPr>
      <w:r>
        <w:rPr>
          <w:rFonts w:ascii="Arial" w:cs="Arial" w:eastAsia="Arial" w:hAnsi="Arial"/>
          <w:sz w:val="18"/>
          <w:szCs w:val="18"/>
          <w:color w:val="auto"/>
        </w:rPr>
        <w:t>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8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Our operations are vulnerable to interruption by fire, earthquake, power loss, telecommunications failure, terrorist activity and other events beyond our control, which could harm our business.</w:t>
      </w:r>
    </w:p>
    <w:p>
      <w:pPr>
        <w:spacing w:after="0" w:line="58" w:lineRule="exact"/>
        <w:rPr>
          <w:sz w:val="20"/>
          <w:szCs w:val="20"/>
          <w:color w:val="auto"/>
        </w:rPr>
      </w:pPr>
    </w:p>
    <w:p>
      <w:pPr>
        <w:ind w:right="20" w:firstLine="446"/>
        <w:spacing w:after="0" w:line="255"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b w:val="1"/>
          <w:b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73" w:lineRule="exact"/>
        <w:rPr>
          <w:sz w:val="20"/>
          <w:szCs w:val="20"/>
          <w:color w:val="auto"/>
        </w:rPr>
      </w:pPr>
    </w:p>
    <w:p>
      <w:pPr>
        <w:ind w:right="140" w:firstLine="446"/>
        <w:spacing w:after="0" w:line="238" w:lineRule="auto"/>
        <w:rPr>
          <w:sz w:val="20"/>
          <w:szCs w:val="20"/>
          <w:color w:val="auto"/>
        </w:rPr>
      </w:pPr>
      <w:r>
        <w:rPr>
          <w:rFonts w:ascii="Arial" w:cs="Arial" w:eastAsia="Arial" w:hAnsi="Arial"/>
          <w:sz w:val="18"/>
          <w:szCs w:val="18"/>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 generation and/or development collaborations with various collaborators, including TESARO and Celgene, under which we have generated therapeutic quality antibodies using our technology platform and conducted certain preclinical studies in collaboration.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95" w:lineRule="exact"/>
        <w:rPr>
          <w:sz w:val="20"/>
          <w:szCs w:val="20"/>
          <w:color w:val="auto"/>
        </w:rPr>
      </w:pPr>
    </w:p>
    <w:p>
      <w:pPr>
        <w:ind w:firstLine="446"/>
        <w:spacing w:after="0" w:line="254"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8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may not succeed in establishing and maintaining additional development collaborations, which could adversely affect our ability to develop and commercialize product candidates.</w:t>
      </w:r>
    </w:p>
    <w:p>
      <w:pPr>
        <w:spacing w:after="0" w:line="58" w:lineRule="exact"/>
        <w:rPr>
          <w:sz w:val="20"/>
          <w:szCs w:val="20"/>
          <w:color w:val="auto"/>
        </w:rPr>
      </w:pPr>
    </w:p>
    <w:p>
      <w:pPr>
        <w:ind w:right="340" w:firstLine="446"/>
        <w:spacing w:after="0" w:line="312" w:lineRule="auto"/>
        <w:rPr>
          <w:sz w:val="20"/>
          <w:szCs w:val="20"/>
          <w:color w:val="auto"/>
        </w:rPr>
      </w:pPr>
      <w:r>
        <w:rPr>
          <w:rFonts w:ascii="Arial" w:cs="Arial" w:eastAsia="Arial" w:hAnsi="Arial"/>
          <w:sz w:val="16"/>
          <w:szCs w:val="16"/>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76" w:right="279" w:bottom="1440" w:gutter="0" w:footer="0" w:header="0"/>
        </w:sectPr>
      </w:pPr>
    </w:p>
    <w:bookmarkStart w:id="45" w:name="page46"/>
    <w:bookmarkEnd w:id="45"/>
    <w:p>
      <w:pPr>
        <w:spacing w:after="0" w:line="254" w:lineRule="auto"/>
        <w:rPr>
          <w:sz w:val="20"/>
          <w:szCs w:val="20"/>
          <w:color w:val="auto"/>
        </w:rPr>
      </w:pPr>
      <w:r>
        <w:rPr>
          <w:rFonts w:ascii="Arial" w:cs="Arial" w:eastAsia="Arial" w:hAnsi="Arial"/>
          <w:sz w:val="18"/>
          <w:szCs w:val="18"/>
          <w:color w:val="auto"/>
        </w:rPr>
        <w:t>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1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7" w:lineRule="exact"/>
        <w:rPr>
          <w:rFonts w:ascii="Arial" w:cs="Arial" w:eastAsia="Arial" w:hAnsi="Arial"/>
          <w:sz w:val="18"/>
          <w:szCs w:val="18"/>
          <w:color w:val="auto"/>
        </w:rPr>
      </w:pPr>
    </w:p>
    <w:p>
      <w:pPr>
        <w:ind w:left="880" w:right="4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880" w:right="260" w:hanging="440"/>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3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2"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76"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 if our product candidates receive regulatory approval, they will be subject to significant post-marketing regulatory requirements.</w:t>
      </w:r>
    </w:p>
    <w:p>
      <w:pPr>
        <w:spacing w:after="0" w:line="133"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64"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4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8" w:right="239" w:bottom="1440" w:gutter="0" w:footer="0" w:header="0"/>
        </w:sectPr>
      </w:pPr>
    </w:p>
    <w:bookmarkStart w:id="47" w:name="page48"/>
    <w:bookmarkEnd w:id="47"/>
    <w:p>
      <w:pPr>
        <w:ind w:firstLine="44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failure to obtain regulatory approval in international jurisdictions would prevent us from marketing our product candidates outside the United States.</w:t>
      </w:r>
    </w:p>
    <w:p>
      <w:pPr>
        <w:spacing w:after="0" w:line="58" w:lineRule="exact"/>
        <w:rPr>
          <w:sz w:val="20"/>
          <w:szCs w:val="20"/>
          <w:color w:val="auto"/>
        </w:rPr>
      </w:pPr>
    </w:p>
    <w:p>
      <w:pPr>
        <w:ind w:right="160" w:firstLine="44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65"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5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have conducted,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72"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We have conducted our initial clinical trial for ANB020 in Australia and have initiated a Phase 1 clinical trial for ANB019 in Australia. We believe that clinical data generated in Australia will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While we have received clearance from the FDA and MHRA to begin Phase 2 clinical trials for ANB020, there can be no assurance the FDA, MHRA or other foreign equivalents will accept data from the clinical trials we are conducting or plan to conduct in Australia for ANB019.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ind w:firstLine="44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17"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76"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34" w:lineRule="exact"/>
        <w:rPr>
          <w:sz w:val="20"/>
          <w:szCs w:val="20"/>
          <w:color w:val="auto"/>
        </w:rPr>
      </w:pPr>
    </w:p>
    <w:p>
      <w:pPr>
        <w:ind w:firstLine="446"/>
        <w:spacing w:after="0" w:line="287"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 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69" w:lineRule="exact"/>
        <w:rPr>
          <w:sz w:val="20"/>
          <w:szCs w:val="20"/>
          <w:color w:val="auto"/>
        </w:rPr>
      </w:pPr>
    </w:p>
    <w:p>
      <w:pPr>
        <w:ind w:right="320" w:firstLine="44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9" w:name="page50"/>
    <w:bookmarkEnd w:id="49"/>
    <w:p>
      <w:pPr>
        <w:ind w:firstLine="44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third-party reimbursement practices and pricing regulations.</w:t>
      </w:r>
    </w:p>
    <w:p>
      <w:pPr>
        <w:spacing w:after="0" w:line="121" w:lineRule="exact"/>
        <w:rPr>
          <w:sz w:val="20"/>
          <w:szCs w:val="20"/>
          <w:color w:val="auto"/>
        </w:rPr>
      </w:pPr>
    </w:p>
    <w:p>
      <w:pPr>
        <w:ind w:right="120" w:firstLine="44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67" w:lineRule="exact"/>
        <w:rPr>
          <w:sz w:val="20"/>
          <w:szCs w:val="20"/>
          <w:color w:val="auto"/>
        </w:rPr>
      </w:pPr>
    </w:p>
    <w:p>
      <w:pPr>
        <w:ind w:right="20" w:firstLine="44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4" w:right="259" w:bottom="1440" w:gutter="0" w:footer="0" w:header="0"/>
        </w:sectPr>
      </w:pPr>
    </w:p>
    <w:bookmarkStart w:id="50" w:name="page51"/>
    <w:bookmarkEnd w:id="50"/>
    <w:p>
      <w:pPr>
        <w:ind w:right="80"/>
        <w:spacing w:after="0" w:line="276" w:lineRule="auto"/>
        <w:rPr>
          <w:sz w:val="20"/>
          <w:szCs w:val="20"/>
          <w:color w:val="auto"/>
        </w:rPr>
      </w:pPr>
      <w:r>
        <w:rPr>
          <w:rFonts w:ascii="Arial" w:cs="Arial" w:eastAsia="Arial" w:hAnsi="Arial"/>
          <w:sz w:val="17"/>
          <w:szCs w:val="17"/>
          <w:color w:val="auto"/>
        </w:rPr>
        <w:t>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3" w:lineRule="exact"/>
        <w:rPr>
          <w:sz w:val="20"/>
          <w:szCs w:val="20"/>
          <w:color w:val="auto"/>
        </w:rPr>
      </w:pPr>
    </w:p>
    <w:p>
      <w:pPr>
        <w:ind w:firstLine="446"/>
        <w:spacing w:after="0" w:line="257"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6" w:lineRule="exact"/>
        <w:rPr>
          <w:sz w:val="20"/>
          <w:szCs w:val="20"/>
          <w:color w:val="auto"/>
        </w:rPr>
      </w:pPr>
    </w:p>
    <w:p>
      <w:pPr>
        <w:ind w:right="40" w:firstLine="446"/>
        <w:spacing w:after="0" w:line="263"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0" w:lineRule="exact"/>
        <w:rPr>
          <w:sz w:val="20"/>
          <w:szCs w:val="20"/>
          <w:color w:val="auto"/>
        </w:rPr>
      </w:pPr>
    </w:p>
    <w:p>
      <w:pPr>
        <w:ind w:firstLine="446"/>
        <w:spacing w:after="0" w:line="243"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88" w:lineRule="exact"/>
        <w:rPr>
          <w:sz w:val="20"/>
          <w:szCs w:val="20"/>
          <w:color w:val="auto"/>
        </w:rPr>
      </w:pPr>
    </w:p>
    <w:p>
      <w:pPr>
        <w:ind w:right="20" w:firstLine="446"/>
        <w:spacing w:after="0" w:line="241"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Recently enacted legislation may increase the difficulty and cost for us to obtain marketing approval of and commercialize our product candidates and affect the prices we may obtain.</w:t>
      </w:r>
    </w:p>
    <w:p>
      <w:pPr>
        <w:spacing w:after="0" w:line="58" w:lineRule="exact"/>
        <w:rPr>
          <w:sz w:val="20"/>
          <w:szCs w:val="20"/>
          <w:color w:val="auto"/>
        </w:rPr>
      </w:pPr>
    </w:p>
    <w:p>
      <w:pPr>
        <w:ind w:right="40" w:firstLine="446"/>
        <w:spacing w:after="0" w:line="24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2" w:lineRule="exact"/>
        <w:rPr>
          <w:sz w:val="20"/>
          <w:szCs w:val="20"/>
          <w:color w:val="auto"/>
        </w:rPr>
      </w:pPr>
    </w:p>
    <w:p>
      <w:pPr>
        <w:ind w:right="200" w:firstLine="446"/>
        <w:spacing w:after="0" w:line="263" w:lineRule="auto"/>
        <w:rPr>
          <w:sz w:val="20"/>
          <w:szCs w:val="20"/>
          <w:color w:val="auto"/>
        </w:rPr>
      </w:pPr>
      <w:r>
        <w:rPr>
          <w:rFonts w:ascii="Arial" w:cs="Arial" w:eastAsia="Arial" w:hAnsi="Arial"/>
          <w:sz w:val="17"/>
          <w:szCs w:val="17"/>
          <w:color w:val="auto"/>
        </w:rPr>
        <w:t>For example, in March 2010, former President Barack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04" w:lineRule="exact"/>
        <w:rPr>
          <w:sz w:val="20"/>
          <w:szCs w:val="20"/>
          <w:color w:val="auto"/>
        </w:rPr>
      </w:pPr>
    </w:p>
    <w:p>
      <w:pPr>
        <w:jc w:val="center"/>
        <w:ind w:left="5620" w:right="1200" w:hanging="5180"/>
        <w:spacing w:after="0" w:line="543" w:lineRule="auto"/>
        <w:tabs>
          <w:tab w:leader="none" w:pos="8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49</w:t>
      </w:r>
    </w:p>
    <w:p>
      <w:pPr>
        <w:sectPr>
          <w:pgSz w:w="11900" w:h="16838" w:orient="portrait"/>
          <w:cols w:equalWidth="0" w:num="1">
            <w:col w:w="11420"/>
          </w:cols>
          <w:pgMar w:left="240" w:top="584" w:right="239" w:bottom="1440" w:gutter="0" w:footer="0" w:header="0"/>
        </w:sectPr>
      </w:pPr>
    </w:p>
    <w:bookmarkStart w:id="51" w:name="page52"/>
    <w:bookmarkEnd w:id="51"/>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03"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880" w:right="80" w:hanging="440"/>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73" w:lineRule="exact"/>
        <w:rPr>
          <w:rFonts w:ascii="Arial" w:cs="Arial" w:eastAsia="Arial" w:hAnsi="Arial"/>
          <w:sz w:val="18"/>
          <w:szCs w:val="18"/>
          <w:color w:val="auto"/>
        </w:rPr>
      </w:pPr>
    </w:p>
    <w:p>
      <w:pPr>
        <w:ind w:left="880" w:right="44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28" w:lineRule="exact"/>
        <w:rPr>
          <w:rFonts w:ascii="Arial" w:cs="Arial" w:eastAsia="Arial" w:hAnsi="Arial"/>
          <w:sz w:val="17"/>
          <w:szCs w:val="17"/>
          <w:color w:val="auto"/>
        </w:rPr>
      </w:pPr>
    </w:p>
    <w:p>
      <w:pPr>
        <w:ind w:left="880" w:right="26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Some of the provisions of the ACA have yet to be implemented and there have been judicial and Congressional challenges to certain aspects of the ACA. In addition, the current administration and Congress have previously sought, and will likely continue to seek, legislative and regulatory changes, including repeal and replacement of all or certain provisions of the ACA.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difficulties from changes to current regulations and future legislation.</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60" w:firstLine="446"/>
        <w:spacing w:after="0" w:line="288" w:lineRule="auto"/>
        <w:rPr>
          <w:sz w:val="20"/>
          <w:szCs w:val="20"/>
          <w:color w:val="auto"/>
        </w:rPr>
      </w:pPr>
      <w:r>
        <w:rPr>
          <w:rFonts w:ascii="Arial" w:cs="Arial" w:eastAsia="Arial" w:hAnsi="Arial"/>
          <w:sz w:val="16"/>
          <w:szCs w:val="16"/>
          <w:color w:val="auto"/>
        </w:rPr>
        <w:t>More recently, President Trump has signed an executive order and made statements that suggest he plans to seek repeal of all or portions of the ACA. There is uncertainty with respect to which legislation, if any, will be enacted and the impact President Trump’s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76" w:right="259" w:bottom="1440" w:gutter="0" w:footer="0" w:header="0"/>
        </w:sectPr>
      </w:pPr>
    </w:p>
    <w:bookmarkStart w:id="52" w:name="page53"/>
    <w:bookmarkEnd w:id="52"/>
    <w:p>
      <w:pPr>
        <w:ind w:firstLine="44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4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4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9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58"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3" w:name="page54"/>
    <w:bookmarkEnd w:id="53"/>
    <w:p>
      <w:pPr>
        <w:ind w:right="80"/>
        <w:spacing w:after="0" w:line="266" w:lineRule="auto"/>
        <w:rPr>
          <w:sz w:val="20"/>
          <w:szCs w:val="20"/>
          <w:color w:val="auto"/>
        </w:rPr>
      </w:pPr>
      <w:r>
        <w:rPr>
          <w:rFonts w:ascii="Arial" w:cs="Arial" w:eastAsia="Arial" w:hAnsi="Arial"/>
          <w:sz w:val="18"/>
          <w:szCs w:val="18"/>
          <w:b w:val="1"/>
          <w:b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2"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46" w:lineRule="exact"/>
        <w:rPr>
          <w:sz w:val="20"/>
          <w:szCs w:val="20"/>
          <w:color w:val="auto"/>
        </w:rPr>
      </w:pPr>
    </w:p>
    <w:p>
      <w:pPr>
        <w:ind w:left="880" w:right="80" w:hanging="440"/>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8" w:lineRule="exact"/>
        <w:rPr>
          <w:rFonts w:ascii="Arial" w:cs="Arial" w:eastAsia="Arial" w:hAnsi="Arial"/>
          <w:sz w:val="18"/>
          <w:szCs w:val="18"/>
          <w:color w:val="auto"/>
        </w:rPr>
      </w:pPr>
    </w:p>
    <w:p>
      <w:pPr>
        <w:ind w:left="880" w:right="20" w:hanging="440"/>
        <w:spacing w:after="0" w:line="259"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880" w:right="10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15" w:lineRule="exact"/>
        <w:rPr>
          <w:rFonts w:ascii="Arial" w:cs="Arial" w:eastAsia="Arial" w:hAnsi="Arial"/>
          <w:sz w:val="16"/>
          <w:szCs w:val="16"/>
          <w:color w:val="auto"/>
        </w:rPr>
      </w:pPr>
    </w:p>
    <w:p>
      <w:pPr>
        <w:jc w:val="both"/>
        <w:ind w:left="880" w:hanging="440"/>
        <w:spacing w:after="0" w:line="264"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73" w:lineRule="exact"/>
        <w:rPr>
          <w:rFonts w:ascii="Arial" w:cs="Arial" w:eastAsia="Arial" w:hAnsi="Arial"/>
          <w:sz w:val="18"/>
          <w:szCs w:val="18"/>
          <w:color w:val="auto"/>
        </w:rPr>
      </w:pPr>
    </w:p>
    <w:p>
      <w:pPr>
        <w:ind w:left="880" w:right="200" w:hanging="440"/>
        <w:spacing w:after="0" w:line="276" w:lineRule="auto"/>
        <w:tabs>
          <w:tab w:leader="none" w:pos="8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64" w:lineRule="exact"/>
        <w:rPr>
          <w:rFonts w:ascii="Arial" w:cs="Arial" w:eastAsia="Arial" w:hAnsi="Arial"/>
          <w:sz w:val="17"/>
          <w:szCs w:val="17"/>
          <w:color w:val="auto"/>
        </w:rPr>
      </w:pPr>
    </w:p>
    <w:p>
      <w:pPr>
        <w:ind w:left="880" w:right="40" w:hanging="440"/>
        <w:spacing w:after="0" w:line="342"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4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both"/>
        <w:ind w:right="100" w:firstLine="446"/>
        <w:spacing w:after="0" w:line="259"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88" w:right="239" w:bottom="1440" w:gutter="0" w:footer="0" w:header="0"/>
        </w:sectPr>
      </w:pPr>
    </w:p>
    <w:bookmarkStart w:id="54" w:name="page55"/>
    <w:bookmarkEnd w:id="54"/>
    <w:p>
      <w:pPr>
        <w:spacing w:after="0" w:line="293" w:lineRule="auto"/>
        <w:rPr>
          <w:sz w:val="20"/>
          <w:szCs w:val="20"/>
          <w:color w:val="auto"/>
        </w:rPr>
      </w:pPr>
      <w:r>
        <w:rPr>
          <w:rFonts w:ascii="Arial" w:cs="Arial" w:eastAsia="Arial" w:hAnsi="Arial"/>
          <w:sz w:val="16"/>
          <w:szCs w:val="16"/>
          <w:color w:val="auto"/>
        </w:rPr>
        <w:t>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employees may engage in misconduct or other improper activities, including noncompliance with regulatory standards and requirements and insider trading.</w:t>
      </w:r>
    </w:p>
    <w:p>
      <w:pPr>
        <w:spacing w:after="0" w:line="58"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2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584" w:right="259" w:bottom="1440" w:gutter="0" w:footer="0" w:header="0"/>
        </w:sectPr>
      </w:pPr>
    </w:p>
    <w:bookmarkStart w:id="55" w:name="page56"/>
    <w:bookmarkEnd w:id="55"/>
    <w:p>
      <w:pPr>
        <w:ind w:right="60" w:firstLine="44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40" w:firstLine="44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We may not be able to protect our intellectual property rights throughout the world.</w:t>
      </w:r>
    </w:p>
    <w:p>
      <w:pPr>
        <w:spacing w:after="0" w:line="12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00" w:firstLine="44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 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patent law could diminish the value of patents in general, thereby impairing our ability to protect our product candidates.</w:t>
      </w:r>
    </w:p>
    <w:p>
      <w:pPr>
        <w:spacing w:after="0" w:line="133" w:lineRule="exact"/>
        <w:rPr>
          <w:sz w:val="20"/>
          <w:szCs w:val="20"/>
          <w:color w:val="auto"/>
        </w:rPr>
      </w:pPr>
    </w:p>
    <w:p>
      <w:pPr>
        <w:jc w:val="both"/>
        <w:ind w:right="220" w:firstLine="44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right="140" w:firstLine="446"/>
        <w:spacing w:after="0" w:line="279"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20" w:firstLine="44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688" w:right="299" w:bottom="1440" w:gutter="0" w:footer="0" w:header="0"/>
        </w:sectPr>
      </w:pPr>
    </w:p>
    <w:bookmarkStart w:id="57" w:name="page58"/>
    <w:bookmarkEnd w:id="57"/>
    <w:p>
      <w:pPr>
        <w:ind w:right="300"/>
        <w:spacing w:after="0" w:line="255" w:lineRule="auto"/>
        <w:rPr>
          <w:sz w:val="20"/>
          <w:szCs w:val="20"/>
          <w:color w:val="auto"/>
        </w:rPr>
      </w:pPr>
      <w:r>
        <w:rPr>
          <w:rFonts w:ascii="Arial" w:cs="Arial" w:eastAsia="Arial" w:hAnsi="Arial"/>
          <w:sz w:val="18"/>
          <w:szCs w:val="18"/>
          <w:color w:val="auto"/>
        </w:rPr>
        <w:t>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93" w:lineRule="exact"/>
        <w:rPr>
          <w:sz w:val="20"/>
          <w:szCs w:val="20"/>
          <w:color w:val="auto"/>
        </w:rPr>
      </w:pPr>
    </w:p>
    <w:p>
      <w:pPr>
        <w:ind w:right="80" w:firstLine="446"/>
        <w:spacing w:after="0" w:line="268" w:lineRule="auto"/>
        <w:rPr>
          <w:sz w:val="20"/>
          <w:szCs w:val="20"/>
          <w:color w:val="auto"/>
        </w:rPr>
      </w:pPr>
      <w:r>
        <w:rPr>
          <w:rFonts w:ascii="Arial" w:cs="Arial" w:eastAsia="Arial" w:hAnsi="Arial"/>
          <w:sz w:val="17"/>
          <w:szCs w:val="17"/>
          <w:color w:val="auto"/>
        </w:rPr>
        <w:t>The USPTO has developed new regulations and procedures to govern administration of the Leahy-Smith Act, and many of the substantive changes to patent law associated with the Leahy-Smith Act, and, in particular, the first to file provisions, only became effective in 2013.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 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92"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58"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84" w:right="239" w:bottom="1440" w:gutter="0" w:footer="0" w:header="0"/>
        </w:sectPr>
      </w:pPr>
    </w:p>
    <w:bookmarkStart w:id="58" w:name="page59"/>
    <w:bookmarkEnd w:id="58"/>
    <w:p>
      <w:pPr>
        <w:spacing w:after="0" w:line="308" w:lineRule="auto"/>
        <w:rPr>
          <w:sz w:val="20"/>
          <w:szCs w:val="20"/>
          <w:color w:val="auto"/>
        </w:rPr>
      </w:pPr>
      <w:r>
        <w:rPr>
          <w:rFonts w:ascii="Arial" w:cs="Arial" w:eastAsia="Arial" w:hAnsi="Arial"/>
          <w:sz w:val="17"/>
          <w:szCs w:val="17"/>
          <w:color w:val="auto"/>
        </w:rPr>
        <w:t>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47"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28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may become involved in lawsuits to protect or enforce our intellectual property, which could be expensive, time-consuming and unsuccessful and have an adverse effect on the success of our business.</w:t>
      </w:r>
    </w:p>
    <w:p>
      <w:pPr>
        <w:spacing w:after="0" w:line="58" w:lineRule="exact"/>
        <w:rPr>
          <w:sz w:val="20"/>
          <w:szCs w:val="20"/>
          <w:color w:val="auto"/>
        </w:rPr>
      </w:pPr>
    </w:p>
    <w:p>
      <w:pPr>
        <w:ind w:right="200" w:firstLine="44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40" w:firstLine="44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59" w:name="page60"/>
    <w:bookmarkEnd w:id="59"/>
    <w:p>
      <w:pPr>
        <w:ind w:right="80" w:firstLine="44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20" w:firstLine="446"/>
        <w:spacing w:after="0" w:line="24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29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If we breach the license agreements related to our product candidates, we could lose the ability to continue the development and commercialization of our product candidates.</w:t>
      </w:r>
    </w:p>
    <w:p>
      <w:pPr>
        <w:spacing w:after="0" w:line="58" w:lineRule="exact"/>
        <w:rPr>
          <w:sz w:val="20"/>
          <w:szCs w:val="20"/>
          <w:color w:val="auto"/>
        </w:rPr>
      </w:pPr>
    </w:p>
    <w:p>
      <w:pPr>
        <w:ind w:firstLine="446"/>
        <w:spacing w:after="0" w:line="270"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04"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26" w:lineRule="exact"/>
        <w:rPr>
          <w:rFonts w:ascii="Arial" w:cs="Arial" w:eastAsia="Arial" w:hAnsi="Arial"/>
          <w:sz w:val="16"/>
          <w:szCs w:val="16"/>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03" w:lineRule="exact"/>
        <w:rPr>
          <w:rFonts w:ascii="Arial" w:cs="Arial" w:eastAsia="Arial" w:hAnsi="Arial"/>
          <w:sz w:val="18"/>
          <w:szCs w:val="18"/>
          <w:color w:val="auto"/>
        </w:rPr>
      </w:pPr>
    </w:p>
    <w:p>
      <w:pPr>
        <w:ind w:left="880" w:right="520" w:hanging="440"/>
        <w:spacing w:after="0" w:line="262"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1"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right="160" w:firstLine="446"/>
        <w:spacing w:after="0" w:line="262"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584" w:right="319" w:bottom="1440" w:gutter="0" w:footer="0" w:header="0"/>
        </w:sectPr>
      </w:pPr>
    </w:p>
    <w:bookmarkStart w:id="60" w:name="page61"/>
    <w:bookmarkEnd w:id="60"/>
    <w:p>
      <w:pPr>
        <w:ind w:right="20"/>
        <w:spacing w:after="0" w:line="250" w:lineRule="auto"/>
        <w:rPr>
          <w:sz w:val="20"/>
          <w:szCs w:val="20"/>
          <w:color w:val="auto"/>
        </w:rPr>
      </w:pPr>
      <w:r>
        <w:rPr>
          <w:rFonts w:ascii="Arial" w:cs="Arial" w:eastAsia="Arial" w:hAnsi="Arial"/>
          <w:sz w:val="18"/>
          <w:szCs w:val="18"/>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120" w:firstLine="446"/>
        <w:spacing w:after="0"/>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90"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8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58"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and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121"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88" w:right="239" w:bottom="1440" w:gutter="0" w:footer="0" w:header="0"/>
        </w:sectPr>
      </w:pPr>
    </w:p>
    <w:bookmarkStart w:id="61" w:name="page62"/>
    <w:bookmarkEnd w:id="61"/>
    <w:p>
      <w:pPr>
        <w:ind w:right="100"/>
        <w:spacing w:after="0" w:line="297" w:lineRule="auto"/>
        <w:rPr>
          <w:sz w:val="20"/>
          <w:szCs w:val="20"/>
          <w:color w:val="auto"/>
        </w:rPr>
      </w:pPr>
      <w:r>
        <w:rPr>
          <w:rFonts w:ascii="Arial" w:cs="Arial" w:eastAsia="Arial" w:hAnsi="Arial"/>
          <w:sz w:val="16"/>
          <w:szCs w:val="16"/>
          <w:color w:val="auto"/>
        </w:rPr>
        <w:t>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we do not obtain protection under the Hatch-Waxman Amendments and similar foreign legislation for extending the term of patents covering each of our product candidates, our business may be harmed.</w:t>
      </w:r>
    </w:p>
    <w:p>
      <w:pPr>
        <w:spacing w:after="0" w:line="58"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2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62" w:lineRule="exact"/>
        <w:rPr>
          <w:sz w:val="20"/>
          <w:szCs w:val="20"/>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880" w:right="104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2" w:name="page63"/>
    <w:bookmarkEnd w:id="62"/>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our public offerings and may not use them effectively.</w:t>
      </w:r>
    </w:p>
    <w:p>
      <w:pPr>
        <w:spacing w:after="0" w:line="121"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Our management has broad discretion in the application of the net proceeds from our public offerings, and you will be relying on the judgment of our management regarding the application of these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securities litigation, which is expensive and could divert management attention.</w:t>
      </w:r>
    </w:p>
    <w:p>
      <w:pPr>
        <w:spacing w:after="0" w:line="121" w:lineRule="exact"/>
        <w:rPr>
          <w:sz w:val="20"/>
          <w:szCs w:val="20"/>
          <w:color w:val="auto"/>
        </w:rPr>
      </w:pPr>
    </w:p>
    <w:p>
      <w:pPr>
        <w:ind w:right="20" w:firstLine="44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and we cannot be certain if the reduced reporting requirements applicable to emerging growth companies will make our common stock less attractive to investors.</w:t>
      </w:r>
    </w:p>
    <w:p>
      <w:pPr>
        <w:spacing w:after="0" w:line="58" w:lineRule="exact"/>
        <w:rPr>
          <w:sz w:val="20"/>
          <w:szCs w:val="20"/>
          <w:color w:val="auto"/>
        </w:rPr>
      </w:pPr>
    </w:p>
    <w:p>
      <w:pPr>
        <w:ind w:right="40" w:firstLine="44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76" w:right="259" w:bottom="1440" w:gutter="0" w:footer="0" w:header="0"/>
        </w:sectPr>
      </w:pPr>
    </w:p>
    <w:bookmarkStart w:id="63" w:name="page64"/>
    <w:bookmarkEnd w:id="63"/>
    <w:p>
      <w:pPr>
        <w:ind w:firstLine="44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are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increased costs and devote substantial management time as a result of operating as a public company.</w:t>
      </w:r>
    </w:p>
    <w:p>
      <w:pPr>
        <w:spacing w:after="0" w:line="121"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Moreover, these rules and regulations substantially increase our legal and financial compliance costs and make some activities more time-consuming and costly. The increased costs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2" w:lineRule="exact"/>
        <w:rPr>
          <w:sz w:val="20"/>
          <w:szCs w:val="20"/>
          <w:color w:val="auto"/>
        </w:rPr>
      </w:pPr>
    </w:p>
    <w:p>
      <w:pPr>
        <w:ind w:right="40" w:firstLine="446"/>
        <w:spacing w:after="0" w:line="270" w:lineRule="auto"/>
        <w:rPr>
          <w:sz w:val="20"/>
          <w:szCs w:val="20"/>
          <w:color w:val="auto"/>
        </w:rPr>
      </w:pPr>
      <w:r>
        <w:rPr>
          <w:rFonts w:ascii="Arial" w:cs="Arial" w:eastAsia="Arial" w:hAnsi="Arial"/>
          <w:sz w:val="17"/>
          <w:szCs w:val="17"/>
          <w:color w:val="auto"/>
        </w:rPr>
        <w:t>In addition, as a public company we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58"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584"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121"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stock.</w:t>
      </w:r>
    </w:p>
    <w:p>
      <w:pPr>
        <w:spacing w:after="0" w:line="12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58" w:lineRule="exact"/>
        <w:rPr>
          <w:sz w:val="20"/>
          <w:szCs w:val="20"/>
          <w:color w:val="auto"/>
        </w:rPr>
      </w:pPr>
    </w:p>
    <w:p>
      <w:pPr>
        <w:ind w:right="220" w:firstLine="446"/>
        <w:spacing w:after="0" w:line="264" w:lineRule="auto"/>
        <w:rPr>
          <w:sz w:val="20"/>
          <w:szCs w:val="20"/>
          <w:color w:val="auto"/>
        </w:rPr>
      </w:pPr>
      <w:r>
        <w:rPr>
          <w:rFonts w:ascii="Arial" w:cs="Arial" w:eastAsia="Arial" w:hAnsi="Arial"/>
          <w:sz w:val="18"/>
          <w:szCs w:val="18"/>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3"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17" w:lineRule="exact"/>
        <w:rPr>
          <w:rFonts w:ascii="Arial" w:cs="Arial" w:eastAsia="Arial" w:hAnsi="Arial"/>
          <w:sz w:val="18"/>
          <w:szCs w:val="18"/>
          <w:color w:val="auto"/>
        </w:rPr>
      </w:pPr>
    </w:p>
    <w:p>
      <w:pPr>
        <w:ind w:left="880" w:right="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4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688" w:right="259" w:bottom="1440" w:gutter="0" w:footer="0" w:header="0"/>
        </w:sectPr>
      </w:pPr>
    </w:p>
    <w:bookmarkStart w:id="65" w:name="page66"/>
    <w:bookmarkEnd w:id="65"/>
    <w:p>
      <w:pPr>
        <w:ind w:right="14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58"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2"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We extended the analysis period of the study through December 31, 2016, noting no ownership changes during fiscal 2015 or fiscal 2016.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40" w:top="688" w:right="2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On January 25, 2017, our Registration Statement on Form S-1 (File No. 333-206849) relating to the IPO of our common stock was declared effective by the SEC. Pursuant to such Registration Statement, we sold an aggregate of 5,750,000 shares of our common stock at a price of $15.00 per share. Credit Suisse Securities (USA) LLC, Stifel, Nicolaus &amp; Company, Incorporated, JMP Securities LLC and Wedbush Securities Inc. acted as underwriters. On January 31, 2017, we closed the sale of such shares, resulting in aggregate cash proceeds to us of approximately $80.2 million, net of underwriting discounts and commissions.</w:t>
      </w:r>
    </w:p>
    <w:p>
      <w:pPr>
        <w:spacing w:after="0" w:line="188" w:lineRule="exact"/>
        <w:rPr>
          <w:sz w:val="20"/>
          <w:szCs w:val="20"/>
          <w:color w:val="auto"/>
        </w:rPr>
      </w:pPr>
    </w:p>
    <w:p>
      <w:pPr>
        <w:ind w:right="360" w:firstLine="446"/>
        <w:spacing w:after="0" w:line="277" w:lineRule="auto"/>
        <w:rPr>
          <w:sz w:val="20"/>
          <w:szCs w:val="20"/>
          <w:color w:val="auto"/>
        </w:rPr>
      </w:pPr>
      <w:r>
        <w:rPr>
          <w:rFonts w:ascii="Arial" w:cs="Arial" w:eastAsia="Arial" w:hAnsi="Arial"/>
          <w:sz w:val="18"/>
          <w:szCs w:val="18"/>
          <w:color w:val="auto"/>
        </w:rPr>
        <w:t>There has been no material change in the expected use of the net proceeds from our IPO, as described in our final prospectus filed with the SEC on January 26, 2017 pursuant to Rule 424(b) under the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filed or furnished as part of this Quarterly Report on Form 10-Q are set forth on the Exhibit Index, below.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364" w:right="2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580" w:type="dxa"/>
            <w:vAlign w:val="bottom"/>
            <w:gridSpan w:val="3"/>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607"/>
        </w:trPr>
        <w:tc>
          <w:tcPr>
            <w:tcW w:w="1380" w:type="dxa"/>
            <w:vAlign w:val="bottom"/>
            <w:gridSpan w:val="6"/>
          </w:tcPr>
          <w:p>
            <w:pPr>
              <w:ind w:left="360"/>
              <w:spacing w:after="0"/>
              <w:rPr>
                <w:sz w:val="20"/>
                <w:szCs w:val="20"/>
                <w:color w:val="auto"/>
              </w:rPr>
            </w:pPr>
            <w:r>
              <w:rPr>
                <w:rFonts w:ascii="Arial" w:cs="Arial" w:eastAsia="Arial" w:hAnsi="Arial"/>
                <w:sz w:val="16"/>
                <w:szCs w:val="16"/>
                <w:b w:val="1"/>
                <w:bCs w:val="1"/>
                <w:color w:val="auto"/>
              </w:rPr>
              <w:t>Exhibit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0"/>
        </w:trPr>
        <w:tc>
          <w:tcPr>
            <w:tcW w:w="1380" w:type="dxa"/>
            <w:vAlign w:val="bottom"/>
            <w:gridSpan w:val="6"/>
          </w:tcPr>
          <w:p>
            <w:pPr>
              <w:ind w:left="340"/>
              <w:spacing w:after="0"/>
              <w:rPr>
                <w:sz w:val="20"/>
                <w:szCs w:val="20"/>
                <w:color w:val="auto"/>
              </w:rPr>
            </w:pPr>
            <w:r>
              <w:rPr>
                <w:rFonts w:ascii="Arial" w:cs="Arial" w:eastAsia="Arial" w:hAnsi="Arial"/>
                <w:sz w:val="16"/>
                <w:szCs w:val="16"/>
                <w:b w:val="1"/>
                <w:bCs w:val="1"/>
                <w:color w:val="auto"/>
              </w:rPr>
              <w:t>Number</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580" w:type="dxa"/>
            <w:vAlign w:val="bottom"/>
            <w:gridSpan w:val="3"/>
          </w:tcPr>
          <w:p>
            <w:pPr>
              <w:ind w:left="3940"/>
              <w:spacing w:after="0"/>
              <w:rPr>
                <w:sz w:val="20"/>
                <w:szCs w:val="20"/>
                <w:color w:val="auto"/>
              </w:rPr>
            </w:pPr>
            <w:r>
              <w:rPr>
                <w:rFonts w:ascii="Arial" w:cs="Arial" w:eastAsia="Arial" w:hAnsi="Arial"/>
                <w:sz w:val="16"/>
                <w:szCs w:val="16"/>
                <w:b w:val="1"/>
                <w:bCs w:val="1"/>
                <w:color w:val="auto"/>
              </w:rPr>
              <w:t>Exhibit Description</w:t>
            </w:r>
          </w:p>
        </w:tc>
      </w:tr>
      <w:tr>
        <w:trPr>
          <w:trHeight w:val="114"/>
        </w:trPr>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r>
      <w:tr>
        <w:trPr>
          <w:trHeight w:val="183"/>
        </w:trPr>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0" w:type="dxa"/>
            <w:vAlign w:val="bottom"/>
            <w:tcBorders>
              <w:bottom w:val="single" w:sz="8" w:color="0000FF"/>
            </w:tcBorders>
            <w:gridSpan w:val="3"/>
          </w:tcPr>
          <w:p>
            <w:pPr>
              <w:spacing w:after="0" w:line="183" w:lineRule="exact"/>
              <w:rPr>
                <w:rFonts w:ascii="Arial" w:cs="Arial" w:eastAsia="Arial" w:hAnsi="Arial"/>
                <w:sz w:val="16"/>
                <w:szCs w:val="16"/>
                <w:color w:val="0000FF"/>
                <w:w w:val="92"/>
              </w:rPr>
            </w:pPr>
            <w:hyperlink w:anchor="page70">
              <w:r>
                <w:rPr>
                  <w:rFonts w:ascii="Arial" w:cs="Arial" w:eastAsia="Arial" w:hAnsi="Arial"/>
                  <w:sz w:val="16"/>
                  <w:szCs w:val="16"/>
                  <w:color w:val="0000FF"/>
                  <w:w w:val="92"/>
                </w:rPr>
                <w:t>Certification of Principal Executive Officer, pursuant to Rule 13a-14(a)/15d-14(a), as adopted pursuant to Section 302 of the Sarbanes-Oxley Act of</w:t>
              </w:r>
            </w:hyperlink>
          </w:p>
        </w:tc>
        <w:tc>
          <w:tcPr>
            <w:tcW w:w="300" w:type="dxa"/>
            <w:vAlign w:val="bottom"/>
          </w:tcPr>
          <w:p>
            <w:pPr>
              <w:spacing w:after="0"/>
              <w:rPr>
                <w:sz w:val="15"/>
                <w:szCs w:val="15"/>
                <w:color w:val="auto"/>
              </w:rPr>
            </w:pPr>
          </w:p>
        </w:tc>
      </w:tr>
      <w:tr>
        <w:trPr>
          <w:trHeight w:val="183"/>
        </w:trPr>
        <w:tc>
          <w:tcPr>
            <w:tcW w:w="780" w:type="dxa"/>
            <w:vAlign w:val="bottom"/>
            <w:gridSpan w:val="3"/>
          </w:tcPr>
          <w:p>
            <w:pPr>
              <w:jc w:val="center"/>
              <w:ind w:left="419"/>
              <w:spacing w:after="0" w:line="183" w:lineRule="exact"/>
              <w:rPr>
                <w:rFonts w:ascii="Arial" w:cs="Arial" w:eastAsia="Arial" w:hAnsi="Arial"/>
                <w:sz w:val="16"/>
                <w:szCs w:val="16"/>
                <w:color w:val="0000FF"/>
                <w:w w:val="89"/>
              </w:rPr>
            </w:pPr>
            <w:hyperlink w:anchor="page70">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ind w:left="40"/>
              <w:spacing w:after="0"/>
              <w:rPr>
                <w:rFonts w:ascii="Arial" w:cs="Arial" w:eastAsia="Arial" w:hAnsi="Arial"/>
                <w:sz w:val="15"/>
                <w:szCs w:val="15"/>
                <w:color w:val="0000FF"/>
                <w:w w:val="74"/>
              </w:rPr>
            </w:pPr>
            <w:hyperlink w:anchor="page70">
              <w:r>
                <w:rPr>
                  <w:rFonts w:ascii="Arial" w:cs="Arial" w:eastAsia="Arial" w:hAnsi="Arial"/>
                  <w:sz w:val="15"/>
                  <w:szCs w:val="15"/>
                  <w:color w:val="0000FF"/>
                  <w:w w:val="74"/>
                </w:rPr>
                <w:t>2002.</w:t>
              </w:r>
            </w:hyperlink>
          </w:p>
        </w:tc>
        <w:tc>
          <w:tcPr>
            <w:tcW w:w="9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6"/>
                <w:szCs w:val="16"/>
                <w:color w:val="0000FF"/>
                <w:w w:val="95"/>
              </w:rPr>
            </w:pPr>
            <w:hyperlink w:anchor="page71">
              <w:r>
                <w:rPr>
                  <w:rFonts w:ascii="Arial" w:cs="Arial" w:eastAsia="Arial" w:hAnsi="Arial"/>
                  <w:sz w:val="16"/>
                  <w:szCs w:val="16"/>
                  <w:color w:val="0000FF"/>
                  <w:w w:val="95"/>
                </w:rPr>
                <w:t>Certification of Principal Financial Officer, pursuant to Rule 13a-14(a)/15d-14(a), as adopted pursuant to Section 302 of the Sarbanes-Oxley Act of</w:t>
              </w:r>
            </w:hyperlink>
          </w:p>
        </w:tc>
      </w:tr>
      <w:tr>
        <w:trPr>
          <w:trHeight w:val="20"/>
        </w:trPr>
        <w:tc>
          <w:tcPr>
            <w:tcW w:w="4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780" w:type="dxa"/>
            <w:vAlign w:val="bottom"/>
            <w:gridSpan w:val="3"/>
          </w:tcPr>
          <w:p>
            <w:pPr>
              <w:jc w:val="center"/>
              <w:ind w:left="419"/>
              <w:spacing w:after="0" w:line="183" w:lineRule="exact"/>
              <w:rPr>
                <w:rFonts w:ascii="Arial" w:cs="Arial" w:eastAsia="Arial" w:hAnsi="Arial"/>
                <w:sz w:val="16"/>
                <w:szCs w:val="16"/>
                <w:color w:val="0000FF"/>
                <w:w w:val="89"/>
              </w:rPr>
            </w:pPr>
            <w:hyperlink w:anchor="page71">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gridSpan w:val="2"/>
          </w:tcPr>
          <w:p>
            <w:pPr>
              <w:ind w:left="40"/>
              <w:spacing w:after="0" w:line="183" w:lineRule="exact"/>
              <w:rPr>
                <w:rFonts w:ascii="Arial" w:cs="Arial" w:eastAsia="Arial" w:hAnsi="Arial"/>
                <w:sz w:val="16"/>
                <w:szCs w:val="16"/>
                <w:color w:val="0000FF"/>
                <w:w w:val="78"/>
              </w:rPr>
            </w:pPr>
            <w:hyperlink w:anchor="page71">
              <w:r>
                <w:rPr>
                  <w:rFonts w:ascii="Arial" w:cs="Arial" w:eastAsia="Arial" w:hAnsi="Arial"/>
                  <w:sz w:val="16"/>
                  <w:szCs w:val="16"/>
                  <w:color w:val="0000FF"/>
                  <w:w w:val="78"/>
                </w:rPr>
                <w:t>2002</w:t>
              </w:r>
            </w:hyperlink>
          </w:p>
        </w:tc>
        <w:tc>
          <w:tcPr>
            <w:tcW w:w="9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18"/>
        </w:trPr>
        <w:tc>
          <w:tcPr>
            <w:tcW w:w="820" w:type="dxa"/>
            <w:vAlign w:val="bottom"/>
            <w:gridSpan w:val="4"/>
          </w:tcPr>
          <w:p>
            <w:pPr>
              <w:jc w:val="center"/>
              <w:ind w:left="379"/>
              <w:spacing w:after="0"/>
              <w:rPr>
                <w:rFonts w:ascii="Arial" w:cs="Arial" w:eastAsia="Arial" w:hAnsi="Arial"/>
                <w:sz w:val="16"/>
                <w:szCs w:val="16"/>
                <w:color w:val="0000FF"/>
                <w:w w:val="96"/>
              </w:rPr>
            </w:pPr>
            <w:hyperlink w:anchor="page72">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1*</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6"/>
                <w:szCs w:val="16"/>
                <w:color w:val="0000FF"/>
                <w:w w:val="94"/>
              </w:rPr>
            </w:pPr>
            <w:hyperlink w:anchor="page72">
              <w:r>
                <w:rPr>
                  <w:rFonts w:ascii="Arial" w:cs="Arial" w:eastAsia="Arial" w:hAnsi="Arial"/>
                  <w:sz w:val="16"/>
                  <w:szCs w:val="16"/>
                  <w:color w:val="0000FF"/>
                  <w:w w:val="94"/>
                </w:rPr>
                <w:t>Certification of Chief Executive Officer, pursuant to 18 U.S.C. Section 1350, as adopted pursuant to Section 906 of the Sarbanes-Oxley Act of 2002.</w:t>
              </w:r>
            </w:hyperlink>
          </w:p>
        </w:tc>
      </w:tr>
      <w:tr>
        <w:trPr>
          <w:trHeight w:val="20"/>
        </w:trPr>
        <w:tc>
          <w:tcPr>
            <w:tcW w:w="46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318"/>
        </w:trPr>
        <w:tc>
          <w:tcPr>
            <w:tcW w:w="820" w:type="dxa"/>
            <w:vAlign w:val="bottom"/>
            <w:gridSpan w:val="4"/>
          </w:tcPr>
          <w:p>
            <w:pPr>
              <w:jc w:val="center"/>
              <w:ind w:left="379"/>
              <w:spacing w:after="0"/>
              <w:rPr>
                <w:rFonts w:ascii="Arial" w:cs="Arial" w:eastAsia="Arial" w:hAnsi="Arial"/>
                <w:sz w:val="16"/>
                <w:szCs w:val="16"/>
                <w:color w:val="0000FF"/>
                <w:w w:val="96"/>
              </w:rPr>
            </w:pPr>
            <w:hyperlink w:anchor="page73">
              <w:r>
                <w:rPr>
                  <w:rFonts w:ascii="Arial" w:cs="Arial" w:eastAsia="Arial" w:hAnsi="Arial"/>
                  <w:sz w:val="16"/>
                  <w:szCs w:val="16"/>
                  <w:color w:val="0000FF"/>
                  <w:w w:val="96"/>
                </w:rPr>
                <w:t>32.</w:t>
              </w:r>
              <w:r>
                <w:rPr>
                  <w:rFonts w:ascii="Arial" w:cs="Arial" w:eastAsia="Arial" w:hAnsi="Arial"/>
                  <w:sz w:val="16"/>
                  <w:szCs w:val="16"/>
                  <w:u w:val="single" w:color="auto"/>
                  <w:color w:val="0000FF"/>
                  <w:w w:val="96"/>
                </w:rPr>
                <w:t>2*</w:t>
              </w:r>
            </w:hyperlink>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00" w:type="dxa"/>
            <w:vAlign w:val="bottom"/>
            <w:gridSpan w:val="4"/>
          </w:tcPr>
          <w:p>
            <w:pPr>
              <w:spacing w:after="0"/>
              <w:rPr>
                <w:rFonts w:ascii="Arial" w:cs="Arial" w:eastAsia="Arial" w:hAnsi="Arial"/>
                <w:sz w:val="16"/>
                <w:szCs w:val="16"/>
                <w:color w:val="0000FF"/>
                <w:w w:val="95"/>
              </w:rPr>
            </w:pPr>
            <w:hyperlink w:anchor="page73">
              <w:r>
                <w:rPr>
                  <w:rFonts w:ascii="Arial" w:cs="Arial" w:eastAsia="Arial" w:hAnsi="Arial"/>
                  <w:sz w:val="16"/>
                  <w:szCs w:val="16"/>
                  <w:color w:val="0000FF"/>
                  <w:w w:val="95"/>
                </w:rPr>
                <w:t>Certification of Chief Financial Officer, pursuant to 18 U.S.C. Section 1350, as adopted pursuant to Section 906 of the Sarbanes-Oxley Act of 2002.</w:t>
              </w:r>
            </w:hyperlink>
          </w:p>
        </w:tc>
      </w:tr>
      <w:tr>
        <w:trPr>
          <w:trHeight w:val="20"/>
        </w:trPr>
        <w:tc>
          <w:tcPr>
            <w:tcW w:w="46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52"/>
        </w:trPr>
        <w:tc>
          <w:tcPr>
            <w:tcW w:w="1380" w:type="dxa"/>
            <w:vAlign w:val="bottom"/>
            <w:gridSpan w:val="6"/>
          </w:tcPr>
          <w:p>
            <w:pPr>
              <w:ind w:left="360"/>
              <w:spacing w:after="0"/>
              <w:rPr>
                <w:sz w:val="20"/>
                <w:szCs w:val="20"/>
                <w:color w:val="auto"/>
              </w:rPr>
            </w:pPr>
            <w:r>
              <w:rPr>
                <w:rFonts w:ascii="Arial" w:cs="Arial" w:eastAsia="Arial" w:hAnsi="Arial"/>
                <w:sz w:val="16"/>
                <w:szCs w:val="16"/>
                <w:color w:val="auto"/>
              </w:rPr>
              <w:t>101.INS</w:t>
            </w:r>
          </w:p>
        </w:tc>
        <w:tc>
          <w:tcPr>
            <w:tcW w:w="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6"/>
                <w:szCs w:val="16"/>
                <w:color w:val="auto"/>
              </w:rPr>
              <w:t>XBRL Report Instance Document</w:t>
            </w:r>
          </w:p>
        </w:tc>
      </w:tr>
      <w:tr>
        <w:trPr>
          <w:trHeight w:val="338"/>
        </w:trPr>
        <w:tc>
          <w:tcPr>
            <w:tcW w:w="1380" w:type="dxa"/>
            <w:vAlign w:val="bottom"/>
            <w:gridSpan w:val="6"/>
          </w:tcPr>
          <w:p>
            <w:pPr>
              <w:ind w:left="340"/>
              <w:spacing w:after="0"/>
              <w:rPr>
                <w:sz w:val="20"/>
                <w:szCs w:val="20"/>
                <w:color w:val="auto"/>
              </w:rPr>
            </w:pPr>
            <w:r>
              <w:rPr>
                <w:rFonts w:ascii="Arial" w:cs="Arial" w:eastAsia="Arial" w:hAnsi="Arial"/>
                <w:sz w:val="16"/>
                <w:szCs w:val="16"/>
                <w:color w:val="auto"/>
              </w:rPr>
              <w:t>101.SCH</w:t>
            </w:r>
          </w:p>
        </w:tc>
        <w:tc>
          <w:tcPr>
            <w:tcW w:w="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r>
      <w:tr>
        <w:trPr>
          <w:trHeight w:val="338"/>
        </w:trPr>
        <w:tc>
          <w:tcPr>
            <w:tcW w:w="1380" w:type="dxa"/>
            <w:vAlign w:val="bottom"/>
            <w:gridSpan w:val="6"/>
          </w:tcPr>
          <w:p>
            <w:pPr>
              <w:ind w:left="340"/>
              <w:spacing w:after="0"/>
              <w:rPr>
                <w:sz w:val="20"/>
                <w:szCs w:val="20"/>
                <w:color w:val="auto"/>
              </w:rPr>
            </w:pPr>
            <w:r>
              <w:rPr>
                <w:rFonts w:ascii="Arial" w:cs="Arial" w:eastAsia="Arial" w:hAnsi="Arial"/>
                <w:sz w:val="16"/>
                <w:szCs w:val="16"/>
                <w:color w:val="auto"/>
              </w:rPr>
              <w:t>101.CAL</w:t>
            </w:r>
          </w:p>
        </w:tc>
        <w:tc>
          <w:tcPr>
            <w:tcW w:w="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6"/>
                <w:szCs w:val="16"/>
                <w:color w:val="auto"/>
              </w:rPr>
              <w:t>XBRL Taxonomy Calculation Linkbase Document</w:t>
            </w:r>
          </w:p>
        </w:tc>
      </w:tr>
      <w:tr>
        <w:trPr>
          <w:trHeight w:val="338"/>
        </w:trPr>
        <w:tc>
          <w:tcPr>
            <w:tcW w:w="1380" w:type="dxa"/>
            <w:vAlign w:val="bottom"/>
            <w:gridSpan w:val="6"/>
          </w:tcPr>
          <w:p>
            <w:pPr>
              <w:ind w:left="340"/>
              <w:spacing w:after="0"/>
              <w:rPr>
                <w:sz w:val="20"/>
                <w:szCs w:val="20"/>
                <w:color w:val="auto"/>
              </w:rPr>
            </w:pPr>
            <w:r>
              <w:rPr>
                <w:rFonts w:ascii="Arial" w:cs="Arial" w:eastAsia="Arial" w:hAnsi="Arial"/>
                <w:sz w:val="16"/>
                <w:szCs w:val="16"/>
                <w:color w:val="auto"/>
              </w:rPr>
              <w:t>101.LAB</w:t>
            </w:r>
          </w:p>
        </w:tc>
        <w:tc>
          <w:tcPr>
            <w:tcW w:w="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6"/>
                <w:szCs w:val="16"/>
                <w:color w:val="auto"/>
              </w:rPr>
              <w:t>XBRL Taxonomy Label Linkbase Document</w:t>
            </w:r>
          </w:p>
        </w:tc>
      </w:tr>
      <w:tr>
        <w:trPr>
          <w:trHeight w:val="338"/>
        </w:trPr>
        <w:tc>
          <w:tcPr>
            <w:tcW w:w="1380" w:type="dxa"/>
            <w:vAlign w:val="bottom"/>
            <w:gridSpan w:val="6"/>
          </w:tcPr>
          <w:p>
            <w:pPr>
              <w:ind w:left="340"/>
              <w:spacing w:after="0"/>
              <w:rPr>
                <w:sz w:val="20"/>
                <w:szCs w:val="20"/>
                <w:color w:val="auto"/>
              </w:rPr>
            </w:pPr>
            <w:r>
              <w:rPr>
                <w:rFonts w:ascii="Arial" w:cs="Arial" w:eastAsia="Arial" w:hAnsi="Arial"/>
                <w:sz w:val="16"/>
                <w:szCs w:val="16"/>
                <w:color w:val="auto"/>
              </w:rPr>
              <w:t>101.PRE</w:t>
            </w:r>
          </w:p>
        </w:tc>
        <w:tc>
          <w:tcPr>
            <w:tcW w:w="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6"/>
                <w:szCs w:val="16"/>
                <w:color w:val="auto"/>
              </w:rPr>
              <w:t>XBRL Presentation Linkbase Document</w:t>
            </w:r>
          </w:p>
        </w:tc>
      </w:tr>
      <w:tr>
        <w:trPr>
          <w:trHeight w:val="338"/>
        </w:trPr>
        <w:tc>
          <w:tcPr>
            <w:tcW w:w="1380" w:type="dxa"/>
            <w:vAlign w:val="bottom"/>
            <w:gridSpan w:val="6"/>
          </w:tcPr>
          <w:p>
            <w:pPr>
              <w:ind w:left="340"/>
              <w:spacing w:after="0"/>
              <w:rPr>
                <w:sz w:val="20"/>
                <w:szCs w:val="20"/>
                <w:color w:val="auto"/>
              </w:rPr>
            </w:pPr>
            <w:r>
              <w:rPr>
                <w:rFonts w:ascii="Arial" w:cs="Arial" w:eastAsia="Arial" w:hAnsi="Arial"/>
                <w:sz w:val="16"/>
                <w:szCs w:val="16"/>
                <w:color w:val="auto"/>
              </w:rPr>
              <w:t>101.DEF</w:t>
            </w:r>
          </w:p>
        </w:tc>
        <w:tc>
          <w:tcPr>
            <w:tcW w:w="40" w:type="dxa"/>
            <w:vAlign w:val="bottom"/>
          </w:tcPr>
          <w:p>
            <w:pPr>
              <w:spacing w:after="0"/>
              <w:rPr>
                <w:sz w:val="24"/>
                <w:szCs w:val="24"/>
                <w:color w:val="auto"/>
              </w:rPr>
            </w:pPr>
          </w:p>
        </w:tc>
        <w:tc>
          <w:tcPr>
            <w:tcW w:w="990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r>
    </w:tbl>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364" w:right="319" w:bottom="1440" w:gutter="0" w:footer="0" w:header="0"/>
        </w:sectPr>
      </w:pPr>
    </w:p>
    <w:bookmarkStart w:id="68" w:name="page69"/>
    <w:bookmarkEnd w:id="68"/>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7420" w:type="dxa"/>
            <w:vAlign w:val="bottom"/>
            <w:gridSpan w:val="2"/>
          </w:tcPr>
          <w:p>
            <w:pPr>
              <w:ind w:left="1740"/>
              <w:spacing w:after="0"/>
              <w:rPr>
                <w:sz w:val="20"/>
                <w:szCs w:val="20"/>
                <w:color w:val="auto"/>
              </w:rPr>
            </w:pPr>
            <w:r>
              <w:rPr>
                <w:rFonts w:ascii="Arial" w:cs="Arial" w:eastAsia="Arial" w:hAnsi="Arial"/>
                <w:sz w:val="18"/>
                <w:szCs w:val="18"/>
                <w:color w:val="auto"/>
              </w:rPr>
              <w:t>ANAPTYSBIO, INC.</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60"/>
              <w:spacing w:after="0"/>
              <w:rPr>
                <w:sz w:val="20"/>
                <w:szCs w:val="20"/>
                <w:color w:val="auto"/>
              </w:rPr>
            </w:pPr>
            <w:r>
              <w:rPr>
                <w:rFonts w:ascii="Arial" w:cs="Arial" w:eastAsia="Arial" w:hAnsi="Arial"/>
                <w:sz w:val="18"/>
                <w:szCs w:val="18"/>
                <w:color w:val="auto"/>
              </w:rPr>
              <w:t>November 7, 2017</w:t>
            </w:r>
          </w:p>
        </w:tc>
        <w:tc>
          <w:tcPr>
            <w:tcW w:w="2280" w:type="dxa"/>
            <w:vAlign w:val="bottom"/>
          </w:tcPr>
          <w:p>
            <w:pPr>
              <w:ind w:left="1740"/>
              <w:spacing w:after="0"/>
              <w:rPr>
                <w:sz w:val="20"/>
                <w:szCs w:val="20"/>
                <w:color w:val="auto"/>
              </w:rPr>
            </w:pPr>
            <w:r>
              <w:rPr>
                <w:rFonts w:ascii="Arial" w:cs="Arial" w:eastAsia="Arial" w:hAnsi="Arial"/>
                <w:sz w:val="18"/>
                <w:szCs w:val="18"/>
                <w:color w:val="auto"/>
              </w:rPr>
              <w:t>By:</w:t>
            </w:r>
          </w:p>
        </w:tc>
        <w:tc>
          <w:tcPr>
            <w:tcW w:w="5140" w:type="dxa"/>
            <w:vAlign w:val="bottom"/>
          </w:tcPr>
          <w:p>
            <w:pPr>
              <w:ind w:left="20"/>
              <w:spacing w:after="0"/>
              <w:rPr>
                <w:sz w:val="20"/>
                <w:szCs w:val="20"/>
                <w:color w:val="auto"/>
              </w:rPr>
            </w:pPr>
            <w:r>
              <w:rPr>
                <w:rFonts w:ascii="Arial" w:cs="Arial" w:eastAsia="Arial" w:hAnsi="Arial"/>
                <w:sz w:val="18"/>
                <w:szCs w:val="18"/>
                <w:color w:val="auto"/>
              </w:rPr>
              <w:t>/s/ Hamza Suria</w:t>
            </w:r>
          </w:p>
        </w:tc>
      </w:tr>
      <w:tr>
        <w:trPr>
          <w:trHeight w:val="41"/>
        </w:trPr>
        <w:tc>
          <w:tcPr>
            <w:tcW w:w="5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Hamza Suria</w:t>
            </w:r>
          </w:p>
        </w:tc>
      </w:tr>
      <w:tr>
        <w:trPr>
          <w:trHeight w:val="270"/>
        </w:trPr>
        <w:tc>
          <w:tcPr>
            <w:tcW w:w="5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52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160"/>
              <w:spacing w:after="0"/>
              <w:rPr>
                <w:sz w:val="20"/>
                <w:szCs w:val="20"/>
                <w:color w:val="auto"/>
              </w:rPr>
            </w:pPr>
            <w:r>
              <w:rPr>
                <w:rFonts w:ascii="Arial" w:cs="Arial" w:eastAsia="Arial" w:hAnsi="Arial"/>
                <w:sz w:val="18"/>
                <w:szCs w:val="18"/>
                <w:color w:val="auto"/>
              </w:rPr>
              <w:t>November 7, 2017</w:t>
            </w:r>
          </w:p>
        </w:tc>
        <w:tc>
          <w:tcPr>
            <w:tcW w:w="2280" w:type="dxa"/>
            <w:vAlign w:val="bottom"/>
          </w:tcPr>
          <w:p>
            <w:pPr>
              <w:ind w:left="1740"/>
              <w:spacing w:after="0"/>
              <w:rPr>
                <w:sz w:val="20"/>
                <w:szCs w:val="20"/>
                <w:color w:val="auto"/>
              </w:rPr>
            </w:pPr>
            <w:r>
              <w:rPr>
                <w:rFonts w:ascii="Arial" w:cs="Arial" w:eastAsia="Arial" w:hAnsi="Arial"/>
                <w:sz w:val="18"/>
                <w:szCs w:val="18"/>
                <w:color w:val="auto"/>
              </w:rPr>
              <w:t>By:</w:t>
            </w:r>
          </w:p>
        </w:tc>
        <w:tc>
          <w:tcPr>
            <w:tcW w:w="5140" w:type="dxa"/>
            <w:vAlign w:val="bottom"/>
          </w:tcPr>
          <w:p>
            <w:pPr>
              <w:ind w:left="20"/>
              <w:spacing w:after="0"/>
              <w:rPr>
                <w:sz w:val="20"/>
                <w:szCs w:val="20"/>
                <w:color w:val="auto"/>
              </w:rPr>
            </w:pPr>
            <w:r>
              <w:rPr>
                <w:rFonts w:ascii="Arial" w:cs="Arial" w:eastAsia="Arial" w:hAnsi="Arial"/>
                <w:sz w:val="18"/>
                <w:szCs w:val="18"/>
                <w:color w:val="auto"/>
              </w:rPr>
              <w:t>/s/ Dominic G. Piscitelli</w:t>
            </w:r>
          </w:p>
        </w:tc>
      </w:tr>
      <w:tr>
        <w:trPr>
          <w:trHeight w:val="41"/>
        </w:trPr>
        <w:tc>
          <w:tcPr>
            <w:tcW w:w="5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5140" w:type="dxa"/>
            <w:vAlign w:val="bottom"/>
            <w:tcBorders>
              <w:bottom w:val="single" w:sz="8" w:color="auto"/>
            </w:tcBorders>
          </w:tcPr>
          <w:p>
            <w:pPr>
              <w:spacing w:after="0"/>
              <w:rPr>
                <w:sz w:val="3"/>
                <w:szCs w:val="3"/>
                <w:color w:val="auto"/>
              </w:rPr>
            </w:pPr>
          </w:p>
        </w:tc>
      </w:tr>
      <w:tr>
        <w:trPr>
          <w:trHeight w:val="237"/>
        </w:trPr>
        <w:tc>
          <w:tcPr>
            <w:tcW w:w="5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Dominic G. Piscitelli</w:t>
            </w:r>
          </w:p>
        </w:tc>
      </w:tr>
    </w:tbl>
    <w:p>
      <w:pPr>
        <w:spacing w:after="0" w:line="4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20"/>
          </w:cols>
          <w:pgMar w:left="240" w:top="364"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Hamza Suria, certify that:</w:t>
      </w:r>
    </w:p>
    <w:p>
      <w:pPr>
        <w:spacing w:after="0" w:line="117"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77"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Dominic G. Piscitelli,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AnaptysBio, Inc.;</w:t>
      </w:r>
    </w:p>
    <w:p>
      <w:pPr>
        <w:spacing w:after="0" w:line="117"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80" w:right="20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420" w:right="260" w:hanging="169"/>
        <w:spacing w:after="0" w:line="264"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10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420" w:right="180" w:hanging="169"/>
        <w:spacing w:after="0" w:line="264"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0" w:hanging="169"/>
        <w:spacing w:after="0" w:line="277" w:lineRule="auto"/>
        <w:tabs>
          <w:tab w:leader="none" w:pos="44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20" w:right="260" w:hanging="169"/>
        <w:spacing w:after="0" w:line="277" w:lineRule="auto"/>
        <w:tabs>
          <w:tab w:leader="none" w:pos="45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6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Hamza Suria, Chief Executive Officer of AnaptysBio, Inc. (Company), do hereby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103" w:lineRule="exact"/>
        <w:rPr>
          <w:sz w:val="20"/>
          <w:szCs w:val="20"/>
          <w:color w:val="auto"/>
        </w:rPr>
      </w:pPr>
    </w:p>
    <w:p>
      <w:pPr>
        <w:ind w:left="880" w:right="340" w:hanging="440"/>
        <w:spacing w:after="0" w:line="342"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2017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Hamza Suria</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r>
        <w:rPr>
          <w:rFonts w:ascii="Arial" w:cs="Arial" w:eastAsia="Arial" w:hAnsi="Arial"/>
          <w:sz w:val="18"/>
          <w:szCs w:val="18"/>
          <w:i w:val="1"/>
          <w:iCs w:val="1"/>
          <w:color w:val="auto"/>
        </w:rPr>
        <w:t>)</w:t>
      </w:r>
    </w:p>
    <w:p>
      <w:pPr>
        <w:sectPr>
          <w:pgSz w:w="11900" w:h="16838" w:orient="portrait"/>
          <w:cols w:equalWidth="0" w:num="1">
            <w:col w:w="11420"/>
          </w:cols>
          <w:pgMar w:left="240" w:top="6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Dominic G. Piscitelli, Chief Financial Officer of AnaptysBio, Inc. (Company), do hereby certify, pursuant to 18 U.S.C. Section 1350, as adopted pursuant to Section 906 of the Sarbanes-Oxley Act of 2002, that to the best of my knowledge:</w:t>
      </w:r>
    </w:p>
    <w:p>
      <w:pPr>
        <w:spacing w:after="0" w:line="62" w:lineRule="exact"/>
        <w:rPr>
          <w:sz w:val="20"/>
          <w:szCs w:val="20"/>
          <w:color w:val="auto"/>
        </w:rPr>
      </w:pPr>
    </w:p>
    <w:p>
      <w:pPr>
        <w:ind w:left="880" w:right="340" w:hanging="440"/>
        <w:spacing w:after="0" w:line="342" w:lineRule="auto"/>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2017 (the “Report”), as filed with the Securities and Exchange Commission, fully complies with the requirements of Section 13(a) or 15(d) of the Securities Exchange Act of 1934; and</w:t>
      </w:r>
    </w:p>
    <w:p>
      <w:pPr>
        <w:spacing w:after="0" w:line="15" w:lineRule="exact"/>
        <w:rPr>
          <w:rFonts w:ascii="Arial" w:cs="Arial" w:eastAsia="Arial" w:hAnsi="Arial"/>
          <w:sz w:val="16"/>
          <w:szCs w:val="16"/>
          <w:color w:val="auto"/>
        </w:rPr>
      </w:pPr>
    </w:p>
    <w:p>
      <w:pPr>
        <w:ind w:left="880" w:right="180" w:hanging="440"/>
        <w:spacing w:after="0" w:line="27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38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Dominic G. Piscitelli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6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1."/>
      <w:numFmt w:val="decimal"/>
      <w:start w:val="2"/>
    </w:lvl>
  </w:abstractNum>
  <w:abstractNum w:abstractNumId="4">
    <w:nsid w:val="628C895D"/>
    <w:multiLevelType w:val="hybridMultilevel"/>
    <w:lvl w:ilvl="0">
      <w:lvlJc w:val="left"/>
      <w:lvlText w:val="%1."/>
      <w:numFmt w:val="decimal"/>
      <w:start w:val="3"/>
    </w:lvl>
  </w:abstractNum>
  <w:abstractNum w:abstractNumId="5">
    <w:nsid w:val="333AB105"/>
    <w:multiLevelType w:val="hybridMultilevel"/>
    <w:lvl w:ilvl="0">
      <w:lvlJc w:val="left"/>
      <w:lvlText w:val="%1."/>
      <w:numFmt w:val="decimal"/>
      <w:start w:val="4"/>
    </w:lvl>
  </w:abstractNum>
  <w:abstractNum w:abstractNumId="6">
    <w:nsid w:val="721DA317"/>
    <w:multiLevelType w:val="hybridMultilevel"/>
    <w:lvl w:ilvl="0">
      <w:lvlJc w:val="left"/>
      <w:lvlText w:val="(%1)"/>
      <w:numFmt w:val="lowerRoman"/>
      <w:start w:val="2"/>
    </w:lvl>
  </w:abstractNum>
  <w:abstractNum w:abstractNumId="7">
    <w:nsid w:val="2443A858"/>
    <w:multiLevelType w:val="hybridMultilevel"/>
    <w:lvl w:ilvl="0">
      <w:lvlJc w:val="left"/>
      <w:lvlText w:val="%1."/>
      <w:numFmt w:val="decimal"/>
      <w:start w:val="6"/>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
      <w:numFmt w:val="bullet"/>
      <w:start w:val="1"/>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2019-12-29T03:17:38Z</dcterms:created>
  <dcterms:modified xsi:type="dcterms:W3CDTF">2019-12-29T03:17:38Z</dcterms:modified>
</cp:coreProperties>
</file>