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October 23, 2020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6"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480" w:space="720"/>
            <w:col w:w="290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60" w:space="720"/>
            <w:col w:w="3320"/>
          </w:cols>
          <w:pgMar w:left="320" w:top="1440" w:right="339" w:bottom="144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On October 23, 2020, AnaptysBio, Inc.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entered into an amendment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to its Collaboration and Exclusive License Agreement (the “</w:t>
      </w:r>
      <w:r>
        <w:rPr>
          <w:rFonts w:ascii="Arial" w:cs="Arial" w:eastAsia="Arial" w:hAnsi="Arial"/>
          <w:sz w:val="18"/>
          <w:szCs w:val="18"/>
          <w:b w:val="1"/>
          <w:bCs w:val="1"/>
          <w:i w:val="1"/>
          <w:iCs w:val="1"/>
          <w:color w:val="auto"/>
        </w:rPr>
        <w:t>Collaboration Agreement</w:t>
      </w:r>
      <w:r>
        <w:rPr>
          <w:rFonts w:ascii="Arial" w:cs="Arial" w:eastAsia="Arial" w:hAnsi="Arial"/>
          <w:sz w:val="18"/>
          <w:szCs w:val="18"/>
          <w:color w:val="auto"/>
        </w:rPr>
        <w:t xml:space="preserve">”) with Tesaro, Inc., and Tesaro Development, Ltd. (together, </w:t>
      </w:r>
      <w:r>
        <w:rPr>
          <w:rFonts w:ascii="Arial" w:cs="Arial" w:eastAsia="Arial" w:hAnsi="Arial"/>
          <w:sz w:val="18"/>
          <w:szCs w:val="18"/>
          <w:b w:val="1"/>
          <w:bCs w:val="1"/>
          <w:i w:val="1"/>
          <w:iCs w:val="1"/>
          <w:color w:val="auto"/>
        </w:rPr>
        <w:t>“Tesaro</w:t>
      </w:r>
      <w:r>
        <w:rPr>
          <w:rFonts w:ascii="Arial" w:cs="Arial" w:eastAsia="Arial" w:hAnsi="Arial"/>
          <w:sz w:val="18"/>
          <w:szCs w:val="18"/>
          <w:color w:val="auto"/>
        </w:rPr>
        <w:t>”), each a wholly-owned subsidiary of GlaxoSmithKline (“</w:t>
      </w:r>
      <w:r>
        <w:rPr>
          <w:rFonts w:ascii="Arial" w:cs="Arial" w:eastAsia="Arial" w:hAnsi="Arial"/>
          <w:sz w:val="18"/>
          <w:szCs w:val="18"/>
          <w:b w:val="1"/>
          <w:bCs w:val="1"/>
          <w:i w:val="1"/>
          <w:iCs w:val="1"/>
          <w:color w:val="auto"/>
        </w:rPr>
        <w:t>GSK</w:t>
      </w:r>
      <w:r>
        <w:rPr>
          <w:rFonts w:ascii="Arial" w:cs="Arial" w:eastAsia="Arial" w:hAnsi="Arial"/>
          <w:sz w:val="18"/>
          <w:szCs w:val="18"/>
          <w:color w:val="auto"/>
        </w:rPr>
        <w:t>”).</w:t>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Under the Amendment, AnaptysBio is entitled to increased royalties upon sales of dostarlimab, an anti-PD-1 antagonist antibody, equal to 8% of Net Sales (as defined in the Collaboration Agreement) below $1 billion and from 12% up to 25% of Net Sales above $1 billion. The Amendment also provides for a one-time cash payment of $60 million payable to AnaptysBio within 30 days of the date of the Amendment. The $1.1 billion in cash milestone payments due under the Collaboration Agreement remain unchanged. Tesaro also agreed, starting January 1, 2021, to pay AnaptysBio a 1% royalty on all GSK and Tesaro Net Sales of Zejula, which has received US approval for the maintenance treatment of adult patients with advanced epithelial ovarian, fallopian tube, or primary peritoneal cancer who are in a complete or partial response to first-line platinum-based chemotherapy, and is under development for additional cancer indications.</w:t>
      </w: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addition, on October 23, 2020, AnaptysBio entered into a confidential settlement agreement (the “</w:t>
      </w:r>
      <w:r>
        <w:rPr>
          <w:rFonts w:ascii="Arial" w:cs="Arial" w:eastAsia="Arial" w:hAnsi="Arial"/>
          <w:sz w:val="17"/>
          <w:szCs w:val="17"/>
          <w:b w:val="1"/>
          <w:bCs w:val="1"/>
          <w:i w:val="1"/>
          <w:iCs w:val="1"/>
          <w:color w:val="auto"/>
        </w:rPr>
        <w:t>Settlement Agreement</w:t>
      </w:r>
      <w:r>
        <w:rPr>
          <w:rFonts w:ascii="Arial" w:cs="Arial" w:eastAsia="Arial" w:hAnsi="Arial"/>
          <w:sz w:val="17"/>
          <w:szCs w:val="17"/>
          <w:color w:val="auto"/>
        </w:rPr>
        <w:t>”) with GSK and Tesaro to resolve the claims previously raised in the notice of breach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delivered by AnaptysBio to GSK and Tesaro on August 20, 2020. Pursuant to the Settlement Agreement, AnaptysBio, GSK and Tesaro agreed to the terms of the Amendment described above and a mutual release of claims relating to the Notice, the Delaware Chancery Court action related to the Notice, the Collaboration Agreement and the obligations of the parties under the Collaboration Agreement. Pursuant to the terms of the Settlement Agreement, AnaptysBio and Tesaro agreed to enter into the Amendment that provided GSK with freedom to conduct development and commercialization of Zejula in combination with any third-party molecules.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foregoing summaries of the Amendment and the Settlement Agreement do not purport to be complete and are qualified in their entirety by reference to the full text of the Amendment, the Collaboration Agreement and the Settlement Agreement. A copy of the Collaboration Agreement is available as Exhibit 10.9 to AnaptysBio’s Annual Report on Form 10-K for the year ended December 31, 2019. Copies of the Amendment and Settlement Agreement will be filed as exhibits to AnaptysBio’s Annual Report on Form 10-K for the year ended December 31, 2020.</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This filing contains forward-looking statements within the meaning of the "safe harbor" provisions of the Private Securities Litigation Reform Act of 1995, including, but not limited to, the royalties, milestone payments and cash payments payable to the company, the settlement with GSK and Tesaro and related release of claims, and the timing or outcome of any regulatory submission or approval of dostarlimab. Statements including words such as “plan,” “seek,” “will,”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ind w:left="20"/>
        <w:spacing w:after="0"/>
        <w:tabs>
          <w:tab w:leader="none" w:pos="4220" w:val="left"/>
          <w:tab w:leader="none" w:pos="4780" w:val="left"/>
        </w:tabs>
        <w:rPr>
          <w:sz w:val="20"/>
          <w:szCs w:val="20"/>
          <w:color w:val="auto"/>
        </w:rPr>
      </w:pPr>
      <w:r>
        <w:rPr>
          <w:rFonts w:ascii="Arial" w:cs="Arial" w:eastAsia="Arial" w:hAnsi="Arial"/>
          <w:sz w:val="20"/>
          <w:szCs w:val="20"/>
          <w:color w:val="auto"/>
        </w:rPr>
        <w:t>Date: October 26,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27305</wp:posOffset>
            </wp:positionV>
            <wp:extent cx="4097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47"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2020-10-26T07:07:05Z</dcterms:created>
  <dcterms:modified xsi:type="dcterms:W3CDTF">2020-10-26T07:07:05Z</dcterms:modified>
</cp:coreProperties>
</file>