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151"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900" w:type="dxa"/>
        <w:tblCellMar>
          <w:top w:w="0" w:type="dxa"/>
          <w:left w:w="0" w:type="dxa"/>
          <w:bottom w:w="0" w:type="dxa"/>
          <w:right w:w="0" w:type="dxa"/>
        </w:tblCellMar>
      </w:tblPr>
      <w:tr>
        <w:trPr>
          <w:trHeight w:val="161"/>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TO</w:t>
            </w:r>
          </w:p>
        </w:tc>
      </w:tr>
      <w:tr>
        <w:trPr>
          <w:trHeight w:val="20"/>
        </w:trPr>
        <w:tc>
          <w:tcPr>
            <w:tcW w:w="2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238"/>
        </w:trPr>
        <w:tc>
          <w:tcPr>
            <w:tcW w:w="302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Commission File Number: 001-37985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4000"/>
        <w:spacing w:after="0"/>
        <w:rPr>
          <w:sz w:val="20"/>
          <w:szCs w:val="20"/>
          <w:color w:val="auto"/>
        </w:rPr>
      </w:pPr>
      <w:r>
        <w:rPr>
          <w:rFonts w:ascii="Arial" w:cs="Arial" w:eastAsia="Arial" w:hAnsi="Arial"/>
          <w:sz w:val="18"/>
          <w:szCs w:val="18"/>
          <w:b w:val="1"/>
          <w:bCs w:val="1"/>
          <w:color w:val="auto"/>
        </w:rPr>
        <w:t>______________________________________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1"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r>
        <w:trPr>
          <w:trHeight w:val="32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340" w:type="dxa"/>
            <w:vAlign w:val="bottom"/>
          </w:tcPr>
          <w:p>
            <w:pPr>
              <w:jc w:val="right"/>
              <w:ind w:right="187"/>
              <w:spacing w:after="0"/>
              <w:rPr>
                <w:sz w:val="20"/>
                <w:szCs w:val="20"/>
                <w:color w:val="auto"/>
              </w:rPr>
            </w:pPr>
            <w:r>
              <w:rPr>
                <w:rFonts w:ascii="Arial" w:cs="Arial" w:eastAsia="Arial" w:hAnsi="Arial"/>
                <w:sz w:val="14"/>
                <w:szCs w:val="14"/>
                <w:b w:val="1"/>
                <w:bCs w:val="1"/>
                <w:color w:val="auto"/>
              </w:rPr>
              <w:t>20-3828755</w:t>
            </w:r>
          </w:p>
        </w:tc>
        <w:tc>
          <w:tcPr>
            <w:tcW w:w="0" w:type="dxa"/>
            <w:vAlign w:val="bottom"/>
          </w:tcPr>
          <w:p>
            <w:pPr>
              <w:spacing w:after="0"/>
              <w:rPr>
                <w:sz w:val="1"/>
                <w:szCs w:val="1"/>
                <w:color w:val="auto"/>
              </w:rPr>
            </w:pPr>
          </w:p>
        </w:tc>
      </w:tr>
      <w:tr>
        <w:trPr>
          <w:trHeight w:val="156"/>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8"/>
              </w:rPr>
              <w:t>(State or other jurisdiction of</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4"/>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9"/>
              </w:rPr>
              <w:t>incorporation or organization)</w:t>
            </w:r>
          </w:p>
        </w:tc>
        <w:tc>
          <w:tcPr>
            <w:tcW w:w="5340" w:type="dxa"/>
            <w:vAlign w:val="bottom"/>
          </w:tcPr>
          <w:p>
            <w:pPr>
              <w:jc w:val="center"/>
              <w:ind w:left="4027"/>
              <w:spacing w:after="0"/>
              <w:rPr>
                <w:sz w:val="20"/>
                <w:szCs w:val="20"/>
                <w:color w:val="auto"/>
              </w:rPr>
            </w:pPr>
            <w:r>
              <w:rPr>
                <w:rFonts w:ascii="Arial" w:cs="Arial" w:eastAsia="Arial" w:hAnsi="Arial"/>
                <w:sz w:val="13"/>
                <w:szCs w:val="13"/>
                <w:b w:val="1"/>
                <w:bCs w:val="1"/>
                <w:color w:val="auto"/>
                <w:w w:val="89"/>
              </w:rPr>
              <w:t>Identification Number)</w:t>
            </w:r>
          </w:p>
        </w:tc>
        <w:tc>
          <w:tcPr>
            <w:tcW w:w="0" w:type="dxa"/>
            <w:vAlign w:val="bottom"/>
          </w:tcPr>
          <w:p>
            <w:pPr>
              <w:spacing w:after="0"/>
              <w:rPr>
                <w:sz w:val="1"/>
                <w:szCs w:val="1"/>
                <w:color w:val="auto"/>
              </w:rPr>
            </w:pPr>
          </w:p>
        </w:tc>
      </w:tr>
      <w:tr>
        <w:trPr>
          <w:trHeight w:val="169"/>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10421 Pacific Center Court, Suite 200</w:t>
            </w:r>
          </w:p>
        </w:tc>
        <w:tc>
          <w:tcPr>
            <w:tcW w:w="5340" w:type="dxa"/>
            <w:vAlign w:val="bottom"/>
            <w:vMerge w:val="restart"/>
          </w:tcPr>
          <w:p>
            <w:pPr>
              <w:jc w:val="right"/>
              <w:ind w:right="367"/>
              <w:spacing w:after="0"/>
              <w:rPr>
                <w:sz w:val="20"/>
                <w:szCs w:val="20"/>
                <w:color w:val="auto"/>
              </w:rPr>
            </w:pPr>
            <w:r>
              <w:rPr>
                <w:rFonts w:ascii="Arial" w:cs="Arial" w:eastAsia="Arial" w:hAnsi="Arial"/>
                <w:sz w:val="14"/>
                <w:szCs w:val="14"/>
                <w:b w:val="1"/>
                <w:bCs w:val="1"/>
                <w:color w:val="auto"/>
              </w:rPr>
              <w:t>92121</w:t>
            </w:r>
          </w:p>
        </w:tc>
        <w:tc>
          <w:tcPr>
            <w:tcW w:w="0" w:type="dxa"/>
            <w:vAlign w:val="bottom"/>
          </w:tcPr>
          <w:p>
            <w:pPr>
              <w:spacing w:after="0"/>
              <w:rPr>
                <w:sz w:val="1"/>
                <w:szCs w:val="1"/>
                <w:color w:val="auto"/>
              </w:rPr>
            </w:pP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San Diego, CA</w:t>
            </w:r>
          </w:p>
        </w:tc>
        <w:tc>
          <w:tcPr>
            <w:tcW w:w="5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60" w:type="dxa"/>
            <w:vAlign w:val="bottom"/>
          </w:tcPr>
          <w:p>
            <w:pPr>
              <w:jc w:val="center"/>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5340" w:type="dxa"/>
            <w:vAlign w:val="bottom"/>
          </w:tcPr>
          <w:p>
            <w:pPr>
              <w:jc w:val="center"/>
              <w:ind w:left="4047"/>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3"/>
        </w:trPr>
        <w:tc>
          <w:tcPr>
            <w:tcW w:w="2360" w:type="dxa"/>
            <w:vAlign w:val="bottom"/>
          </w:tcPr>
          <w:p>
            <w:pPr>
              <w:spacing w:after="0"/>
              <w:rPr>
                <w:sz w:val="19"/>
                <w:szCs w:val="19"/>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3"/>
              </w:rPr>
              <w:t>(858) 362-6295</w:t>
            </w:r>
          </w:p>
        </w:tc>
        <w:tc>
          <w:tcPr>
            <w:tcW w:w="0" w:type="dxa"/>
            <w:vAlign w:val="bottom"/>
          </w:tcPr>
          <w:p>
            <w:pPr>
              <w:spacing w:after="0"/>
              <w:rPr>
                <w:sz w:val="1"/>
                <w:szCs w:val="1"/>
                <w:color w:val="auto"/>
              </w:rPr>
            </w:pPr>
          </w:p>
        </w:tc>
      </w:tr>
      <w:tr>
        <w:trPr>
          <w:trHeight w:val="166"/>
        </w:trPr>
        <w:tc>
          <w:tcPr>
            <w:tcW w:w="2360" w:type="dxa"/>
            <w:vAlign w:val="bottom"/>
          </w:tcPr>
          <w:p>
            <w:pPr>
              <w:spacing w:after="0"/>
              <w:rPr>
                <w:sz w:val="14"/>
                <w:szCs w:val="14"/>
                <w:color w:val="auto"/>
              </w:rPr>
            </w:pPr>
          </w:p>
        </w:tc>
        <w:tc>
          <w:tcPr>
            <w:tcW w:w="5340" w:type="dxa"/>
            <w:vAlign w:val="bottom"/>
          </w:tcPr>
          <w:p>
            <w:pPr>
              <w:jc w:val="center"/>
              <w:ind w:right="176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234"/>
        </w:trPr>
        <w:tc>
          <w:tcPr>
            <w:tcW w:w="2360" w:type="dxa"/>
            <w:vAlign w:val="bottom"/>
          </w:tcPr>
          <w:p>
            <w:pPr>
              <w:spacing w:after="0"/>
              <w:rPr>
                <w:sz w:val="20"/>
                <w:szCs w:val="20"/>
                <w:color w:val="auto"/>
              </w:rPr>
            </w:pPr>
          </w:p>
        </w:tc>
        <w:tc>
          <w:tcPr>
            <w:tcW w:w="5340" w:type="dxa"/>
            <w:vAlign w:val="bottom"/>
          </w:tcPr>
          <w:p>
            <w:pPr>
              <w:jc w:val="center"/>
              <w:ind w:right="1767"/>
              <w:spacing w:after="0"/>
              <w:rPr>
                <w:sz w:val="20"/>
                <w:szCs w:val="20"/>
                <w:color w:val="auto"/>
              </w:rPr>
            </w:pPr>
            <w:r>
              <w:rPr>
                <w:rFonts w:ascii="Arial" w:cs="Arial" w:eastAsia="Arial" w:hAnsi="Arial"/>
                <w:sz w:val="18"/>
                <w:szCs w:val="18"/>
                <w:b w:val="1"/>
                <w:bCs w:val="1"/>
                <w:color w:val="auto"/>
                <w:w w:val="89"/>
              </w:rPr>
              <w:t>______________________________________</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$0.001 Per Share; Common stock traded on the Nasdaq stock market</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ectPr>
          <w:pgSz w:w="11900" w:h="16838" w:orient="portrait"/>
          <w:cols w:equalWidth="0" w:num="1">
            <w:col w:w="11420"/>
          </w:cols>
          <w:pgMar w:left="240" w:top="742" w:right="239" w:bottom="1440" w:gutter="0" w:footer="0" w:header="0"/>
        </w:sectPr>
      </w:pP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ectPr>
          <w:pgSz w:w="11900" w:h="16838" w:orient="portrait"/>
          <w:cols w:equalWidth="0" w:num="5">
            <w:col w:w="6820" w:space="140"/>
            <w:col w:w="260" w:space="80"/>
            <w:col w:w="120" w:space="40"/>
            <w:col w:w="220" w:space="60"/>
            <w:col w:w="3680"/>
          </w:cols>
          <w:pgMar w:left="240" w:top="742" w:right="239" w:bottom="1440" w:gutter="0" w:footer="0" w:header="0"/>
          <w:type w:val="continuous"/>
        </w:sectPr>
      </w:pP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4">
            <w:col w:w="6480" w:space="140"/>
            <w:col w:w="260" w:space="80"/>
            <w:col w:w="120" w:space="160"/>
            <w:col w:w="4180"/>
          </w:cols>
          <w:pgMar w:left="240" w:top="742" w:right="2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2"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174"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126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rPr>
                <w:sz w:val="20"/>
                <w:szCs w:val="20"/>
                <w:color w:val="auto"/>
              </w:rPr>
            </w:pPr>
            <w:r>
              <w:rPr>
                <w:rFonts w:ascii="Arial" w:cs="Arial" w:eastAsia="Arial" w:hAnsi="Arial"/>
                <w:sz w:val="14"/>
                <w:szCs w:val="14"/>
                <w:color w:val="auto"/>
              </w:rPr>
              <w:t>x</w:t>
            </w:r>
          </w:p>
        </w:tc>
      </w:tr>
      <w:tr>
        <w:trPr>
          <w:trHeight w:val="419"/>
        </w:trPr>
        <w:tc>
          <w:tcPr>
            <w:tcW w:w="2020" w:type="dxa"/>
            <w:vAlign w:val="bottom"/>
          </w:tcPr>
          <w:p>
            <w:pPr>
              <w:spacing w:after="0"/>
              <w:rPr>
                <w:sz w:val="20"/>
                <w:szCs w:val="20"/>
                <w:color w:val="auto"/>
              </w:rPr>
            </w:pPr>
            <w:r>
              <w:rPr>
                <w:rFonts w:ascii="Arial" w:cs="Arial" w:eastAsia="Arial" w:hAnsi="Arial"/>
                <w:sz w:val="14"/>
                <w:szCs w:val="14"/>
                <w:color w:val="auto"/>
              </w:rPr>
              <w:t>Non-accelerated filer</w:t>
            </w:r>
          </w:p>
        </w:tc>
        <w:tc>
          <w:tcPr>
            <w:tcW w:w="4840" w:type="dxa"/>
            <w:vAlign w:val="bottom"/>
          </w:tcPr>
          <w:p>
            <w:pPr>
              <w:ind w:left="7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440" w:type="dxa"/>
            <w:vAlign w:val="bottom"/>
          </w:tcPr>
          <w:p>
            <w:pPr>
              <w:ind w:left="126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89"/>
        </w:trPr>
        <w:tc>
          <w:tcPr>
            <w:tcW w:w="2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440" w:type="dxa"/>
            <w:vAlign w:val="bottom"/>
          </w:tcPr>
          <w:p>
            <w:pPr>
              <w:ind w:left="126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00"/>
              <w:spacing w:after="0"/>
              <w:rPr>
                <w:sz w:val="20"/>
                <w:szCs w:val="20"/>
                <w:color w:val="auto"/>
              </w:rPr>
            </w:pPr>
            <w:r>
              <w:rPr>
                <w:rFonts w:ascii="Arial" w:cs="Arial" w:eastAsia="Arial" w:hAnsi="Arial"/>
                <w:sz w:val="14"/>
                <w:szCs w:val="14"/>
                <w:color w:val="auto"/>
              </w:rPr>
              <w:t>x</w:t>
            </w:r>
          </w:p>
        </w:tc>
      </w:tr>
    </w:tbl>
    <w:p>
      <w:pPr>
        <w:ind w:right="16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720" w:val="left"/>
          <w:tab w:leader="none" w:pos="73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voting common equity held by non-affiliates of the Registrant was $267,648,042 as of June 30, 2017.</w:t>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was 23,809,914 as of February 28, 2018.</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ind w:right="20"/>
        <w:spacing w:after="0" w:line="293" w:lineRule="auto"/>
        <w:rPr>
          <w:sz w:val="20"/>
          <w:szCs w:val="20"/>
          <w:color w:val="auto"/>
        </w:rPr>
      </w:pPr>
      <w:r>
        <w:rPr>
          <w:rFonts w:ascii="Arial" w:cs="Arial" w:eastAsia="Arial" w:hAnsi="Arial"/>
          <w:sz w:val="13"/>
          <w:szCs w:val="13"/>
          <w:color w:val="auto"/>
        </w:rPr>
        <w:t>Portions of the Registrant’s Definitive Proxy Statement relating to the 2018 Annual Meeting of Shareholders, scheduled to be held on June 12, 2018, are incorporated by reference into Part III of this Annual Report on Form 10-K to the extent stated herein. The Definitive Proxy Statement will be filed within 120 days of the Registrant’s fiscal year ended December 31, 2017.</w:t>
      </w:r>
    </w:p>
    <w:p>
      <w:pPr>
        <w:sectPr>
          <w:pgSz w:w="11900" w:h="16838" w:orient="portrait"/>
          <w:cols w:equalWidth="0" w:num="1">
            <w:col w:w="11420"/>
          </w:cols>
          <w:pgMar w:left="240" w:top="74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10"/>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575"/>
        </w:trPr>
        <w:tc>
          <w:tcPr>
            <w:tcW w:w="1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b w:val="1"/>
                <w:bCs w:val="1"/>
                <w:color w:val="auto"/>
              </w:rPr>
              <w:t>Page</w:t>
            </w:r>
          </w:p>
        </w:tc>
      </w:tr>
      <w:tr>
        <w:trPr>
          <w:trHeight w:val="33"/>
        </w:trPr>
        <w:tc>
          <w:tcPr>
            <w:tcW w:w="1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4">
              <w:r>
                <w:rPr>
                  <w:rFonts w:ascii="Arial" w:cs="Arial" w:eastAsia="Arial" w:hAnsi="Arial"/>
                  <w:sz w:val="16"/>
                  <w:szCs w:val="16"/>
                  <w:color w:val="0000EE"/>
                  <w:w w:val="86"/>
                </w:rPr>
                <w:t>Business</w:t>
              </w:r>
            </w:hyperlink>
          </w:p>
        </w:tc>
        <w:tc>
          <w:tcPr>
            <w:tcW w:w="7700" w:type="dxa"/>
            <w:vAlign w:val="bottom"/>
            <w:gridSpan w:val="19"/>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4">
              <w:r>
                <w:rPr>
                  <w:rFonts w:ascii="Arial" w:cs="Arial" w:eastAsia="Arial" w:hAnsi="Arial"/>
                  <w:sz w:val="16"/>
                  <w:szCs w:val="16"/>
                  <w:color w:val="auto"/>
                </w:rPr>
                <w:t>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31">
              <w:r>
                <w:rPr>
                  <w:rFonts w:ascii="Arial" w:cs="Arial" w:eastAsia="Arial" w:hAnsi="Arial"/>
                  <w:sz w:val="16"/>
                  <w:szCs w:val="16"/>
                  <w:color w:val="0000EE"/>
                  <w:w w:val="89"/>
                </w:rPr>
                <w:t>Risk Factors</w:t>
              </w:r>
            </w:hyperlink>
          </w:p>
        </w:tc>
        <w:tc>
          <w:tcPr>
            <w:tcW w:w="7460" w:type="dxa"/>
            <w:vAlign w:val="bottom"/>
            <w:gridSpan w:val="17"/>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31">
              <w:r>
                <w:rPr>
                  <w:rFonts w:ascii="Arial" w:cs="Arial" w:eastAsia="Arial" w:hAnsi="Arial"/>
                  <w:sz w:val="16"/>
                  <w:szCs w:val="16"/>
                  <w:color w:val="auto"/>
                </w:rPr>
                <w:t>29</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1B.</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Unresolved Staff Comments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2.</w:t>
            </w:r>
          </w:p>
        </w:tc>
        <w:tc>
          <w:tcPr>
            <w:tcW w:w="6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7"/>
              </w:rPr>
            </w:pPr>
            <w:hyperlink w:anchor="page62">
              <w:r>
                <w:rPr>
                  <w:rFonts w:ascii="Arial" w:cs="Arial" w:eastAsia="Arial" w:hAnsi="Arial"/>
                  <w:sz w:val="16"/>
                  <w:szCs w:val="16"/>
                  <w:color w:val="0000EE"/>
                  <w:w w:val="87"/>
                </w:rPr>
                <w:t>Properties</w:t>
              </w:r>
            </w:hyperlink>
          </w:p>
        </w:tc>
        <w:tc>
          <w:tcPr>
            <w:tcW w:w="1160" w:type="dxa"/>
            <w:vAlign w:val="bottom"/>
            <w:tcBorders>
              <w:top w:val="single" w:sz="8" w:color="0000EE"/>
            </w:tcBorders>
            <w:gridSpan w:val="6"/>
          </w:tcPr>
          <w:p>
            <w:pPr>
              <w:spacing w:after="0"/>
              <w:rPr>
                <w:sz w:val="20"/>
                <w:szCs w:val="20"/>
                <w:color w:val="auto"/>
              </w:rPr>
            </w:pPr>
          </w:p>
        </w:tc>
        <w:tc>
          <w:tcPr>
            <w:tcW w:w="6440" w:type="dxa"/>
            <w:vAlign w:val="bottom"/>
            <w:gridSpan w:val="1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3.</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Legal Proceedings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4.</w:t>
            </w:r>
          </w:p>
        </w:tc>
        <w:tc>
          <w:tcPr>
            <w:tcW w:w="8280" w:type="dxa"/>
            <w:vAlign w:val="bottom"/>
            <w:gridSpan w:val="2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Mine Safety Disclosures</w:t>
              </w:r>
            </w:hyperlink>
          </w:p>
        </w:tc>
        <w:tc>
          <w:tcPr>
            <w:tcW w:w="1500" w:type="dxa"/>
            <w:vAlign w:val="bottom"/>
          </w:tcPr>
          <w:p>
            <w:pPr>
              <w:jc w:val="right"/>
              <w:spacing w:after="0"/>
              <w:rPr>
                <w:rFonts w:ascii="Arial" w:cs="Arial" w:eastAsia="Arial" w:hAnsi="Arial"/>
                <w:sz w:val="16"/>
                <w:szCs w:val="16"/>
                <w:color w:val="auto"/>
              </w:rPr>
            </w:pPr>
            <w:hyperlink w:anchor="page62">
              <w:r>
                <w:rPr>
                  <w:rFonts w:ascii="Arial" w:cs="Arial" w:eastAsia="Arial" w:hAnsi="Arial"/>
                  <w:sz w:val="16"/>
                  <w:szCs w:val="16"/>
                  <w:color w:val="auto"/>
                </w:rPr>
                <w:t>60</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5.</w:t>
            </w:r>
          </w:p>
        </w:tc>
        <w:tc>
          <w:tcPr>
            <w:tcW w:w="7280" w:type="dxa"/>
            <w:vAlign w:val="bottom"/>
            <w:tcBorders>
              <w:bottom w:val="single" w:sz="8" w:color="0000EE"/>
            </w:tcBorders>
            <w:gridSpan w:val="19"/>
          </w:tcPr>
          <w:p>
            <w:pPr>
              <w:spacing w:after="0"/>
              <w:rPr>
                <w:rFonts w:ascii="Arial" w:cs="Arial" w:eastAsia="Arial" w:hAnsi="Arial"/>
                <w:sz w:val="16"/>
                <w:szCs w:val="16"/>
                <w:color w:val="0000EE"/>
                <w:w w:val="91"/>
              </w:rPr>
            </w:pPr>
            <w:hyperlink w:anchor="page63">
              <w:r>
                <w:rPr>
                  <w:rFonts w:ascii="Arial" w:cs="Arial" w:eastAsia="Arial" w:hAnsi="Arial"/>
                  <w:sz w:val="16"/>
                  <w:szCs w:val="16"/>
                  <w:color w:val="0000EE"/>
                  <w:w w:val="91"/>
                </w:rPr>
                <w:t>Market for Registrant’s Common Equity, Related Stockholder Matters and Issuer Purchases of Equity Securities</w:t>
              </w:r>
            </w:hyperlink>
          </w:p>
        </w:tc>
        <w:tc>
          <w:tcPr>
            <w:tcW w:w="1000" w:type="dxa"/>
            <w:vAlign w:val="bottom"/>
          </w:tcPr>
          <w:p>
            <w:pPr>
              <w:spacing w:after="0"/>
              <w:rPr>
                <w:sz w:val="19"/>
                <w:szCs w:val="19"/>
                <w:color w:val="auto"/>
              </w:rPr>
            </w:pPr>
          </w:p>
        </w:tc>
        <w:tc>
          <w:tcPr>
            <w:tcW w:w="1500" w:type="dxa"/>
            <w:vAlign w:val="bottom"/>
          </w:tcPr>
          <w:p>
            <w:pPr>
              <w:jc w:val="right"/>
              <w:spacing w:after="0"/>
              <w:rPr>
                <w:rFonts w:ascii="Arial" w:cs="Arial" w:eastAsia="Arial" w:hAnsi="Arial"/>
                <w:sz w:val="16"/>
                <w:szCs w:val="16"/>
                <w:color w:val="auto"/>
              </w:rPr>
            </w:pPr>
            <w:hyperlink w:anchor="page63">
              <w:r>
                <w:rPr>
                  <w:rFonts w:ascii="Arial" w:cs="Arial" w:eastAsia="Arial" w:hAnsi="Arial"/>
                  <w:sz w:val="16"/>
                  <w:szCs w:val="16"/>
                  <w:color w:val="auto"/>
                </w:rPr>
                <w:t>61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6.</w:t>
            </w:r>
          </w:p>
        </w:tc>
        <w:tc>
          <w:tcPr>
            <w:tcW w:w="244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64">
              <w:r>
                <w:rPr>
                  <w:rFonts w:ascii="Arial" w:cs="Arial" w:eastAsia="Arial" w:hAnsi="Arial"/>
                  <w:sz w:val="16"/>
                  <w:szCs w:val="16"/>
                  <w:color w:val="0000EE"/>
                  <w:w w:val="90"/>
                </w:rPr>
                <w:t>Selected Consolidated Financial Data</w:t>
              </w:r>
            </w:hyperlink>
          </w:p>
        </w:tc>
        <w:tc>
          <w:tcPr>
            <w:tcW w:w="5840" w:type="dxa"/>
            <w:vAlign w:val="bottom"/>
            <w:gridSpan w:val="11"/>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4">
              <w:r>
                <w:rPr>
                  <w:rFonts w:ascii="Arial" w:cs="Arial" w:eastAsia="Arial" w:hAnsi="Arial"/>
                  <w:sz w:val="16"/>
                  <w:szCs w:val="16"/>
                  <w:color w:val="auto"/>
                </w:rPr>
                <w:t>62</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w:t>
            </w:r>
          </w:p>
        </w:tc>
        <w:tc>
          <w:tcPr>
            <w:tcW w:w="5820" w:type="dxa"/>
            <w:vAlign w:val="bottom"/>
            <w:tcBorders>
              <w:bottom w:val="single" w:sz="8" w:color="0000EE"/>
            </w:tcBorders>
            <w:gridSpan w:val="16"/>
          </w:tcPr>
          <w:p>
            <w:pPr>
              <w:spacing w:after="0"/>
              <w:rPr>
                <w:rFonts w:ascii="Arial" w:cs="Arial" w:eastAsia="Arial" w:hAnsi="Arial"/>
                <w:sz w:val="16"/>
                <w:szCs w:val="16"/>
                <w:color w:val="0000EE"/>
                <w:w w:val="92"/>
              </w:rPr>
            </w:pPr>
            <w:hyperlink w:anchor="page66">
              <w:r>
                <w:rPr>
                  <w:rFonts w:ascii="Arial" w:cs="Arial" w:eastAsia="Arial" w:hAnsi="Arial"/>
                  <w:sz w:val="16"/>
                  <w:szCs w:val="16"/>
                  <w:color w:val="0000EE"/>
                  <w:w w:val="92"/>
                </w:rPr>
                <w:t>Management’s Discussion and Analysis of Financial Condition and Results of Operations</w:t>
              </w:r>
            </w:hyperlink>
          </w:p>
        </w:tc>
        <w:tc>
          <w:tcPr>
            <w:tcW w:w="2460" w:type="dxa"/>
            <w:vAlign w:val="bottom"/>
            <w:gridSpan w:val="4"/>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66">
              <w:r>
                <w:rPr>
                  <w:rFonts w:ascii="Arial" w:cs="Arial" w:eastAsia="Arial" w:hAnsi="Arial"/>
                  <w:sz w:val="16"/>
                  <w:szCs w:val="16"/>
                  <w:color w:val="auto"/>
                </w:rPr>
                <w:t>64</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7A.</w:t>
            </w:r>
          </w:p>
        </w:tc>
        <w:tc>
          <w:tcPr>
            <w:tcW w:w="8280" w:type="dxa"/>
            <w:vAlign w:val="bottom"/>
            <w:gridSpan w:val="20"/>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Quantitative and Qualitative Disclosures About Market Risk</w:t>
              </w:r>
            </w:hyperlink>
          </w:p>
        </w:tc>
        <w:tc>
          <w:tcPr>
            <w:tcW w:w="1500" w:type="dxa"/>
            <w:vAlign w:val="bottom"/>
          </w:tcPr>
          <w:p>
            <w:pPr>
              <w:jc w:val="right"/>
              <w:spacing w:after="0"/>
              <w:rPr>
                <w:rFonts w:ascii="Arial" w:cs="Arial" w:eastAsia="Arial" w:hAnsi="Arial"/>
                <w:sz w:val="16"/>
                <w:szCs w:val="16"/>
                <w:color w:val="auto"/>
              </w:rPr>
            </w:pPr>
            <w:hyperlink w:anchor="page77">
              <w:r>
                <w:rPr>
                  <w:rFonts w:ascii="Arial" w:cs="Arial" w:eastAsia="Arial" w:hAnsi="Arial"/>
                  <w:sz w:val="16"/>
                  <w:szCs w:val="16"/>
                  <w:color w:val="auto"/>
                </w:rPr>
                <w:t>75</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8.</w:t>
            </w:r>
          </w:p>
        </w:tc>
        <w:tc>
          <w:tcPr>
            <w:tcW w:w="390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0"/>
              </w:rPr>
            </w:pPr>
            <w:hyperlink w:anchor="page79">
              <w:r>
                <w:rPr>
                  <w:rFonts w:ascii="Arial" w:cs="Arial" w:eastAsia="Arial" w:hAnsi="Arial"/>
                  <w:sz w:val="16"/>
                  <w:szCs w:val="16"/>
                  <w:color w:val="0000EE"/>
                  <w:w w:val="90"/>
                </w:rPr>
                <w:t>Consolidated Financial Statements and Supplementary Data</w:t>
              </w:r>
            </w:hyperlink>
          </w:p>
        </w:tc>
        <w:tc>
          <w:tcPr>
            <w:tcW w:w="20" w:type="dxa"/>
            <w:vAlign w:val="bottom"/>
            <w:tcBorders>
              <w:top w:val="single" w:sz="8" w:color="0000EE"/>
            </w:tcBorders>
          </w:tcPr>
          <w:p>
            <w:pPr>
              <w:spacing w:after="0"/>
              <w:rPr>
                <w:sz w:val="20"/>
                <w:szCs w:val="20"/>
                <w:color w:val="auto"/>
              </w:rPr>
            </w:pPr>
          </w:p>
        </w:tc>
        <w:tc>
          <w:tcPr>
            <w:tcW w:w="4360" w:type="dxa"/>
            <w:vAlign w:val="bottom"/>
            <w:gridSpan w:val="6"/>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79">
              <w:r>
                <w:rPr>
                  <w:rFonts w:ascii="Arial" w:cs="Arial" w:eastAsia="Arial" w:hAnsi="Arial"/>
                  <w:sz w:val="16"/>
                  <w:szCs w:val="16"/>
                  <w:color w:val="auto"/>
                </w:rPr>
                <w:t>77</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w:t>
            </w:r>
          </w:p>
        </w:tc>
        <w:tc>
          <w:tcPr>
            <w:tcW w:w="8280" w:type="dxa"/>
            <w:vAlign w:val="bottom"/>
            <w:gridSpan w:val="20"/>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Changes in and Disagreements With Accountants on Accounting and Financial Disclosure</w:t>
              </w:r>
            </w:hyperlink>
          </w:p>
        </w:tc>
        <w:tc>
          <w:tcPr>
            <w:tcW w:w="1500" w:type="dxa"/>
            <w:vAlign w:val="bottom"/>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9A.</w:t>
            </w:r>
          </w:p>
        </w:tc>
        <w:tc>
          <w:tcPr>
            <w:tcW w:w="160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89"/>
              </w:rPr>
            </w:pPr>
            <w:hyperlink w:anchor="page103">
              <w:r>
                <w:rPr>
                  <w:rFonts w:ascii="Arial" w:cs="Arial" w:eastAsia="Arial" w:hAnsi="Arial"/>
                  <w:sz w:val="16"/>
                  <w:szCs w:val="16"/>
                  <w:color w:val="0000EE"/>
                  <w:w w:val="89"/>
                </w:rPr>
                <w:t>Controls and Procedures</w:t>
              </w:r>
            </w:hyperlink>
          </w:p>
        </w:tc>
        <w:tc>
          <w:tcPr>
            <w:tcW w:w="4260" w:type="dxa"/>
            <w:vAlign w:val="bottom"/>
            <w:tcBorders>
              <w:top w:val="single" w:sz="8" w:color="0000EE"/>
            </w:tcBorders>
            <w:gridSpan w:val="11"/>
          </w:tcPr>
          <w:p>
            <w:pPr>
              <w:spacing w:after="0"/>
              <w:rPr>
                <w:sz w:val="20"/>
                <w:szCs w:val="20"/>
                <w:color w:val="auto"/>
              </w:rPr>
            </w:pPr>
          </w:p>
        </w:tc>
        <w:tc>
          <w:tcPr>
            <w:tcW w:w="2420" w:type="dxa"/>
            <w:vAlign w:val="bottom"/>
            <w:gridSpan w:val="3"/>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3">
              <w:r>
                <w:rPr>
                  <w:rFonts w:ascii="Arial" w:cs="Arial" w:eastAsia="Arial" w:hAnsi="Arial"/>
                  <w:sz w:val="16"/>
                  <w:szCs w:val="16"/>
                  <w:color w:val="auto"/>
                </w:rPr>
                <w:t>101</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9B.</w:t>
            </w:r>
          </w:p>
        </w:tc>
        <w:tc>
          <w:tcPr>
            <w:tcW w:w="8280" w:type="dxa"/>
            <w:vAlign w:val="bottom"/>
            <w:gridSpan w:val="20"/>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Other Information</w:t>
              </w:r>
            </w:hyperlink>
          </w:p>
        </w:tc>
        <w:tc>
          <w:tcPr>
            <w:tcW w:w="1500" w:type="dxa"/>
            <w:vAlign w:val="bottom"/>
          </w:tcPr>
          <w:p>
            <w:pPr>
              <w:jc w:val="right"/>
              <w:spacing w:after="0"/>
              <w:rPr>
                <w:rFonts w:ascii="Arial" w:cs="Arial" w:eastAsia="Arial" w:hAnsi="Arial"/>
                <w:sz w:val="16"/>
                <w:szCs w:val="16"/>
                <w:color w:val="auto"/>
              </w:rPr>
            </w:pPr>
            <w:hyperlink w:anchor="page104">
              <w:r>
                <w:rPr>
                  <w:rFonts w:ascii="Arial" w:cs="Arial" w:eastAsia="Arial" w:hAnsi="Arial"/>
                  <w:sz w:val="16"/>
                  <w:szCs w:val="16"/>
                  <w:color w:val="auto"/>
                </w:rPr>
                <w:t>102</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10.</w:t>
            </w:r>
          </w:p>
        </w:tc>
        <w:tc>
          <w:tcPr>
            <w:tcW w:w="8280" w:type="dxa"/>
            <w:vAlign w:val="bottom"/>
            <w:gridSpan w:val="20"/>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Directors, Executive Officers and Corporate Governance</w:t>
              </w:r>
            </w:hyperlink>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11.</w:t>
            </w:r>
          </w:p>
        </w:tc>
        <w:tc>
          <w:tcPr>
            <w:tcW w:w="3680" w:type="dxa"/>
            <w:vAlign w:val="bottom"/>
            <w:tcBorders>
              <w:top w:val="single" w:sz="8" w:color="0000EE"/>
            </w:tcBorders>
            <w:gridSpan w:val="12"/>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Executive Compensation</w:t>
              </w:r>
            </w:hyperlink>
          </w:p>
        </w:tc>
        <w:tc>
          <w:tcPr>
            <w:tcW w:w="4600" w:type="dxa"/>
            <w:vAlign w:val="bottom"/>
            <w:gridSpan w:val="8"/>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0"/>
        </w:trPr>
        <w:tc>
          <w:tcPr>
            <w:tcW w:w="1640" w:type="dxa"/>
            <w:vAlign w:val="bottom"/>
          </w:tcPr>
          <w:p>
            <w:pPr>
              <w:spacing w:after="0" w:line="20" w:lineRule="exact"/>
              <w:rPr>
                <w:sz w:val="1"/>
                <w:szCs w:val="1"/>
                <w:color w:val="auto"/>
              </w:rPr>
            </w:pPr>
          </w:p>
        </w:tc>
        <w:tc>
          <w:tcPr>
            <w:tcW w:w="68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12.</w:t>
            </w:r>
          </w:p>
        </w:tc>
        <w:tc>
          <w:tcPr>
            <w:tcW w:w="8280" w:type="dxa"/>
            <w:vAlign w:val="bottom"/>
            <w:gridSpan w:val="20"/>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Security Ownership of Certain Beneficial Owners and Management and Related Stockholder Matters</w:t>
              </w:r>
            </w:hyperlink>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13.</w:t>
            </w:r>
          </w:p>
        </w:tc>
        <w:tc>
          <w:tcPr>
            <w:tcW w:w="4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0"/>
              </w:rPr>
            </w:pPr>
            <w:hyperlink w:anchor="page105">
              <w:r>
                <w:rPr>
                  <w:rFonts w:ascii="Arial" w:cs="Arial" w:eastAsia="Arial" w:hAnsi="Arial"/>
                  <w:sz w:val="16"/>
                  <w:szCs w:val="16"/>
                  <w:color w:val="0000EE"/>
                  <w:w w:val="90"/>
                </w:rPr>
                <w:t>Certain Relationships and Related Transactions, and Director Independence</w:t>
              </w:r>
            </w:hyperlink>
          </w:p>
        </w:tc>
        <w:tc>
          <w:tcPr>
            <w:tcW w:w="1640" w:type="dxa"/>
            <w:vAlign w:val="bottom"/>
            <w:tcBorders>
              <w:top w:val="single" w:sz="8" w:color="0000EE"/>
            </w:tcBorders>
            <w:gridSpan w:val="3"/>
          </w:tcPr>
          <w:p>
            <w:pPr>
              <w:spacing w:after="0"/>
              <w:rPr>
                <w:sz w:val="20"/>
                <w:szCs w:val="20"/>
                <w:color w:val="auto"/>
              </w:rPr>
            </w:pPr>
          </w:p>
        </w:tc>
        <w:tc>
          <w:tcPr>
            <w:tcW w:w="1720" w:type="dxa"/>
            <w:vAlign w:val="bottom"/>
            <w:gridSpan w:val="2"/>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14.</w:t>
            </w:r>
          </w:p>
        </w:tc>
        <w:tc>
          <w:tcPr>
            <w:tcW w:w="8280" w:type="dxa"/>
            <w:vAlign w:val="bottom"/>
            <w:gridSpan w:val="20"/>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Principal Accounting Fees and Services</w:t>
              </w:r>
            </w:hyperlink>
          </w:p>
        </w:tc>
        <w:tc>
          <w:tcPr>
            <w:tcW w:w="1500" w:type="dxa"/>
            <w:vAlign w:val="bottom"/>
          </w:tcPr>
          <w:p>
            <w:pPr>
              <w:jc w:val="right"/>
              <w:spacing w:after="0"/>
              <w:rPr>
                <w:rFonts w:ascii="Arial" w:cs="Arial" w:eastAsia="Arial" w:hAnsi="Arial"/>
                <w:sz w:val="16"/>
                <w:szCs w:val="16"/>
                <w:color w:val="auto"/>
              </w:rPr>
            </w:pPr>
            <w:hyperlink w:anchor="page105">
              <w:r>
                <w:rPr>
                  <w:rFonts w:ascii="Arial" w:cs="Arial" w:eastAsia="Arial" w:hAnsi="Arial"/>
                  <w:sz w:val="16"/>
                  <w:szCs w:val="16"/>
                  <w:color w:val="auto"/>
                </w:rPr>
                <w:t>103</w:t>
              </w:r>
            </w:hyperlink>
          </w:p>
        </w:tc>
      </w:tr>
      <w:tr>
        <w:trPr>
          <w:trHeight w:val="528"/>
        </w:trPr>
        <w:tc>
          <w:tcPr>
            <w:tcW w:w="1640" w:type="dxa"/>
            <w:vAlign w:val="bottom"/>
          </w:tcPr>
          <w:p>
            <w:pPr>
              <w:ind w:left="40"/>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2"/>
        </w:trPr>
        <w:tc>
          <w:tcPr>
            <w:tcW w:w="1640" w:type="dxa"/>
            <w:vAlign w:val="bottom"/>
          </w:tcPr>
          <w:p>
            <w:pPr>
              <w:ind w:left="180"/>
              <w:spacing w:after="0"/>
              <w:rPr>
                <w:sz w:val="20"/>
                <w:szCs w:val="20"/>
                <w:color w:val="auto"/>
              </w:rPr>
            </w:pPr>
            <w:r>
              <w:rPr>
                <w:rFonts w:ascii="Arial" w:cs="Arial" w:eastAsia="Arial" w:hAnsi="Arial"/>
                <w:sz w:val="16"/>
                <w:szCs w:val="16"/>
                <w:color w:val="auto"/>
              </w:rPr>
              <w:t>Item 15.</w:t>
            </w:r>
          </w:p>
        </w:tc>
        <w:tc>
          <w:tcPr>
            <w:tcW w:w="8280" w:type="dxa"/>
            <w:vAlign w:val="bottom"/>
            <w:gridSpan w:val="20"/>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Exhibits, Consolidated Financial Statement Schedules</w:t>
              </w:r>
            </w:hyperlink>
          </w:p>
        </w:tc>
        <w:tc>
          <w:tcPr>
            <w:tcW w:w="1500" w:type="dxa"/>
            <w:vAlign w:val="bottom"/>
          </w:tcPr>
          <w:p>
            <w:pPr>
              <w:jc w:val="right"/>
              <w:spacing w:after="0"/>
              <w:rPr>
                <w:rFonts w:ascii="Arial" w:cs="Arial" w:eastAsia="Arial" w:hAnsi="Arial"/>
                <w:sz w:val="16"/>
                <w:szCs w:val="16"/>
                <w:color w:val="auto"/>
              </w:rPr>
            </w:pPr>
            <w:hyperlink w:anchor="page106">
              <w:r>
                <w:rPr>
                  <w:rFonts w:ascii="Arial" w:cs="Arial" w:eastAsia="Arial" w:hAnsi="Arial"/>
                  <w:sz w:val="16"/>
                  <w:szCs w:val="16"/>
                  <w:color w:val="auto"/>
                </w:rPr>
                <w:t>104</w:t>
              </w:r>
            </w:hyperlink>
          </w:p>
        </w:tc>
      </w:tr>
      <w:tr>
        <w:trPr>
          <w:trHeight w:val="237"/>
        </w:trPr>
        <w:tc>
          <w:tcPr>
            <w:tcW w:w="1640" w:type="dxa"/>
            <w:vAlign w:val="bottom"/>
          </w:tcPr>
          <w:p>
            <w:pPr>
              <w:ind w:left="180"/>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EE"/>
              <w:bottom w:val="single" w:sz="8" w:color="0000EE"/>
            </w:tcBorders>
            <w:gridSpan w:val="5"/>
          </w:tcPr>
          <w:p>
            <w:pPr>
              <w:spacing w:after="0"/>
              <w:rPr>
                <w:rFonts w:ascii="Arial" w:cs="Arial" w:eastAsia="Arial" w:hAnsi="Arial"/>
                <w:sz w:val="16"/>
                <w:szCs w:val="16"/>
                <w:color w:val="0000EE"/>
                <w:w w:val="92"/>
              </w:rPr>
            </w:pPr>
            <w:hyperlink w:anchor="page107">
              <w:r>
                <w:rPr>
                  <w:rFonts w:ascii="Arial" w:cs="Arial" w:eastAsia="Arial" w:hAnsi="Arial"/>
                  <w:sz w:val="16"/>
                  <w:szCs w:val="16"/>
                  <w:color w:val="0000EE"/>
                  <w:w w:val="92"/>
                </w:rPr>
                <w:t>Form 10-K Summary</w:t>
              </w:r>
            </w:hyperlink>
          </w:p>
        </w:tc>
        <w:tc>
          <w:tcPr>
            <w:tcW w:w="2100" w:type="dxa"/>
            <w:vAlign w:val="bottom"/>
            <w:tcBorders>
              <w:top w:val="single" w:sz="8" w:color="0000EE"/>
            </w:tcBorders>
            <w:gridSpan w:val="6"/>
          </w:tcPr>
          <w:p>
            <w:pPr>
              <w:spacing w:after="0"/>
              <w:rPr>
                <w:sz w:val="20"/>
                <w:szCs w:val="20"/>
                <w:color w:val="auto"/>
              </w:rPr>
            </w:pPr>
          </w:p>
        </w:tc>
        <w:tc>
          <w:tcPr>
            <w:tcW w:w="4780" w:type="dxa"/>
            <w:vAlign w:val="bottom"/>
            <w:gridSpan w:val="9"/>
          </w:tcPr>
          <w:p>
            <w:pPr>
              <w:spacing w:after="0"/>
              <w:rPr>
                <w:sz w:val="20"/>
                <w:szCs w:val="20"/>
                <w:color w:val="auto"/>
              </w:rPr>
            </w:pPr>
          </w:p>
        </w:tc>
        <w:tc>
          <w:tcPr>
            <w:tcW w:w="1500" w:type="dxa"/>
            <w:vAlign w:val="bottom"/>
          </w:tcPr>
          <w:p>
            <w:pPr>
              <w:jc w:val="right"/>
              <w:spacing w:after="0"/>
              <w:rPr>
                <w:rFonts w:ascii="Arial" w:cs="Arial" w:eastAsia="Arial" w:hAnsi="Arial"/>
                <w:sz w:val="16"/>
                <w:szCs w:val="16"/>
                <w:color w:val="auto"/>
              </w:rPr>
            </w:pPr>
            <w:hyperlink w:anchor="page107">
              <w:r>
                <w:rPr>
                  <w:rFonts w:ascii="Arial" w:cs="Arial" w:eastAsia="Arial" w:hAnsi="Arial"/>
                  <w:sz w:val="16"/>
                  <w:szCs w:val="16"/>
                  <w:color w:val="auto"/>
                </w:rPr>
                <w:t>105</w:t>
              </w:r>
            </w:hyperlink>
          </w:p>
        </w:tc>
      </w:tr>
      <w:tr>
        <w:trPr>
          <w:trHeight w:val="237"/>
        </w:trPr>
        <w:tc>
          <w:tcPr>
            <w:tcW w:w="1640" w:type="dxa"/>
            <w:vAlign w:val="bottom"/>
          </w:tcPr>
          <w:p>
            <w:pPr>
              <w:spacing w:after="0"/>
              <w:rPr>
                <w:sz w:val="20"/>
                <w:szCs w:val="20"/>
                <w:color w:val="auto"/>
              </w:rPr>
            </w:pPr>
          </w:p>
        </w:tc>
        <w:tc>
          <w:tcPr>
            <w:tcW w:w="8280" w:type="dxa"/>
            <w:vAlign w:val="bottom"/>
            <w:gridSpan w:val="20"/>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Signatures</w:t>
              </w:r>
            </w:hyperlink>
          </w:p>
        </w:tc>
        <w:tc>
          <w:tcPr>
            <w:tcW w:w="1500" w:type="dxa"/>
            <w:vAlign w:val="bottom"/>
          </w:tcPr>
          <w:p>
            <w:pPr>
              <w:jc w:val="right"/>
              <w:spacing w:after="0"/>
              <w:rPr>
                <w:rFonts w:ascii="Arial" w:cs="Arial" w:eastAsia="Arial" w:hAnsi="Arial"/>
                <w:sz w:val="16"/>
                <w:szCs w:val="16"/>
                <w:color w:val="auto"/>
              </w:rPr>
            </w:pPr>
            <w:hyperlink w:anchor="page108">
              <w:r>
                <w:rPr>
                  <w:rFonts w:ascii="Arial" w:cs="Arial" w:eastAsia="Arial" w:hAnsi="Arial"/>
                  <w:sz w:val="16"/>
                  <w:szCs w:val="16"/>
                  <w:color w:val="auto"/>
                </w:rPr>
                <w:t>106</w:t>
              </w:r>
            </w:hyperlink>
          </w:p>
        </w:tc>
      </w:tr>
      <w:tr>
        <w:trPr>
          <w:trHeight w:val="20"/>
        </w:trPr>
        <w:tc>
          <w:tcPr>
            <w:tcW w:w="1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This Annual Report on Form 10-K (Annual Report) contains forward-looking statements within the meaning of Section 21E of the Securities Exchange Act of 1934, as amended (Exchange Act), and section 27A of the Securities Act of 1933, as amended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forward-looking statements in this report include, among other things, statements about:</w:t>
      </w:r>
    </w:p>
    <w:p>
      <w:pPr>
        <w:spacing w:after="0" w:line="117"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17" w:lineRule="exact"/>
        <w:rPr>
          <w:rFonts w:ascii="Arial" w:cs="Arial" w:eastAsia="Arial" w:hAnsi="Arial"/>
          <w:sz w:val="18"/>
          <w:szCs w:val="18"/>
          <w:color w:val="auto"/>
        </w:rPr>
      </w:pPr>
    </w:p>
    <w:p>
      <w:pPr>
        <w:ind w:left="660" w:right="500" w:hanging="314"/>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and commercialize antibodies, including our lead product candidates ANB020 for patients with severe allergic and atopic diseases and ANB019 for patients with generalized pustular psoriasis, or GPP, and palmo-plantar pustular psoriasis, or PPP;</w:t>
      </w:r>
    </w:p>
    <w:p>
      <w:pPr>
        <w:spacing w:after="0" w:line="38" w:lineRule="exact"/>
        <w:rPr>
          <w:rFonts w:ascii="Arial" w:cs="Arial" w:eastAsia="Arial" w:hAnsi="Arial"/>
          <w:sz w:val="17"/>
          <w:szCs w:val="17"/>
          <w:color w:val="auto"/>
        </w:rPr>
      </w:pPr>
    </w:p>
    <w:p>
      <w:pPr>
        <w:ind w:left="660" w:right="60" w:hanging="314"/>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likelihood that the clinical data generated in any study we are performing or plan to perform in a non-US jurisdiction will be subsequently accepted by the </w:t>
      </w:r>
      <w:r>
        <w:rPr>
          <w:rFonts w:ascii="Arial" w:cs="Arial" w:eastAsia="Arial" w:hAnsi="Arial"/>
          <w:sz w:val="18"/>
          <w:szCs w:val="18"/>
          <w:color w:val="231F20"/>
        </w:rPr>
        <w:t>U.S. Food and Drug Administration, or FDA</w:t>
      </w:r>
      <w:r>
        <w:rPr>
          <w:rFonts w:ascii="Arial" w:cs="Arial" w:eastAsia="Arial" w:hAnsi="Arial"/>
          <w:sz w:val="18"/>
          <w:szCs w:val="18"/>
          <w:color w:val="auto"/>
        </w:rPr>
        <w:t xml:space="preserve"> and/or by foreign regulatory authorities outside of the jurisdiction where the study was being performed;</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17" w:lineRule="exact"/>
        <w:rPr>
          <w:rFonts w:ascii="Arial" w:cs="Arial" w:eastAsia="Arial" w:hAnsi="Arial"/>
          <w:sz w:val="18"/>
          <w:szCs w:val="18"/>
          <w:color w:val="auto"/>
        </w:rPr>
      </w:pPr>
    </w:p>
    <w:p>
      <w:pPr>
        <w:ind w:left="660" w:right="140" w:hanging="314"/>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38" w:lineRule="exact"/>
        <w:rPr>
          <w:rFonts w:ascii="Arial" w:cs="Arial" w:eastAsia="Arial" w:hAnsi="Arial"/>
          <w:sz w:val="17"/>
          <w:szCs w:val="17"/>
          <w:color w:val="auto"/>
        </w:rPr>
      </w:pPr>
    </w:p>
    <w:p>
      <w:pPr>
        <w:ind w:left="660" w:right="10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our public offerings;</w:t>
      </w:r>
    </w:p>
    <w:p>
      <w:pPr>
        <w:spacing w:after="0" w:line="117"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80" w:firstLine="567"/>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87" w:lineRule="exact"/>
        <w:rPr>
          <w:sz w:val="20"/>
          <w:szCs w:val="20"/>
          <w:color w:val="auto"/>
        </w:rPr>
      </w:pPr>
    </w:p>
    <w:p>
      <w:pPr>
        <w:ind w:right="1060" w:firstLine="567"/>
        <w:spacing w:after="0" w:line="277" w:lineRule="auto"/>
        <w:rPr>
          <w:sz w:val="20"/>
          <w:szCs w:val="20"/>
          <w:color w:val="auto"/>
        </w:rPr>
      </w:pPr>
      <w:r>
        <w:rPr>
          <w:rFonts w:ascii="Arial" w:cs="Arial" w:eastAsia="Arial" w:hAnsi="Arial"/>
          <w:sz w:val="18"/>
          <w:szCs w:val="18"/>
          <w:color w:val="auto"/>
        </w:rPr>
        <w:t>You should read this Annual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Unless the context indicates otherwise, as used in this Annual Report, the terms “AnaptysBio,”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right="60" w:firstLine="567"/>
        <w:spacing w:after="0" w:line="284"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t>
      </w:r>
      <w:r>
        <w:rPr>
          <w:rFonts w:ascii="Arial" w:cs="Arial" w:eastAsia="Arial" w:hAnsi="Arial"/>
          <w:sz w:val="16"/>
          <w:szCs w:val="16"/>
          <w:color w:val="231F20"/>
        </w:rPr>
        <w:t>We have completed a Phase 1 trial of ANB020 in healthy volunteers in</w:t>
      </w:r>
      <w:r>
        <w:rPr>
          <w:rFonts w:ascii="Arial" w:cs="Arial" w:eastAsia="Arial" w:hAnsi="Arial"/>
          <w:sz w:val="16"/>
          <w:szCs w:val="16"/>
          <w:color w:val="auto"/>
        </w:rPr>
        <w:t xml:space="preserve"> </w:t>
      </w:r>
      <w:r>
        <w:rPr>
          <w:rFonts w:ascii="Arial" w:cs="Arial" w:eastAsia="Arial" w:hAnsi="Arial"/>
          <w:sz w:val="16"/>
          <w:szCs w:val="16"/>
          <w:color w:val="231F20"/>
        </w:rPr>
        <w:t xml:space="preserve">Australia, the results </w:t>
      </w:r>
      <w:r>
        <w:rPr>
          <w:rFonts w:ascii="Arial" w:cs="Arial" w:eastAsia="Arial" w:hAnsi="Arial"/>
          <w:sz w:val="16"/>
          <w:szCs w:val="16"/>
          <w:color w:val="000000"/>
        </w:rPr>
        <w:t>of which were presented at the 2017 American Academy of Dermatology, or AAD, Annual Meeting and the American Academy of</w:t>
      </w:r>
      <w:r>
        <w:rPr>
          <w:rFonts w:ascii="Arial" w:cs="Arial" w:eastAsia="Arial" w:hAnsi="Arial"/>
          <w:sz w:val="16"/>
          <w:szCs w:val="16"/>
          <w:color w:val="231F20"/>
        </w:rPr>
        <w:t xml:space="preserve"> </w:t>
      </w:r>
      <w:r>
        <w:rPr>
          <w:rFonts w:ascii="Arial" w:cs="Arial" w:eastAsia="Arial" w:hAnsi="Arial"/>
          <w:sz w:val="16"/>
          <w:szCs w:val="16"/>
          <w:color w:val="000000"/>
        </w:rPr>
        <w:t xml:space="preserve">Allergy, Asthma and Immunology, or AAAAI,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000000"/>
        </w:rPr>
        <w:t>ex</w:t>
      </w:r>
    </w:p>
    <w:p>
      <w:pPr>
        <w:spacing w:after="0" w:line="3"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i w:val="1"/>
          <w:iCs w:val="1"/>
          <w:color w:val="auto"/>
        </w:rPr>
        <w:t xml:space="preserve">vivo </w:t>
      </w:r>
      <w:r>
        <w:rPr>
          <w:rFonts w:ascii="Arial" w:cs="Arial" w:eastAsia="Arial" w:hAnsi="Arial"/>
          <w:sz w:val="18"/>
          <w:szCs w:val="18"/>
          <w:color w:val="auto"/>
        </w:rPr>
        <w:t>pharmacodynamic assay. We have subsequently completed a Phase 2a trial of ANB020 in 12 moderate-to-severe adult atopic dermatitis patients</w:t>
      </w:r>
      <w:r>
        <w:rPr>
          <w:rFonts w:ascii="Arial" w:cs="Arial" w:eastAsia="Arial" w:hAnsi="Arial"/>
          <w:sz w:val="18"/>
          <w:szCs w:val="18"/>
          <w:color w:val="231F20"/>
        </w:rPr>
        <w:t>, under</w:t>
      </w:r>
      <w:r>
        <w:rPr>
          <w:rFonts w:ascii="Arial" w:cs="Arial" w:eastAsia="Arial" w:hAnsi="Arial"/>
          <w:sz w:val="18"/>
          <w:szCs w:val="18"/>
          <w:i w:val="1"/>
          <w:iCs w:val="1"/>
          <w:color w:val="auto"/>
        </w:rPr>
        <w:t xml:space="preserve"> </w:t>
      </w:r>
      <w:r>
        <w:rPr>
          <w:rFonts w:ascii="Arial" w:cs="Arial" w:eastAsia="Arial" w:hAnsi="Arial"/>
          <w:sz w:val="18"/>
          <w:szCs w:val="18"/>
          <w:color w:val="231F20"/>
        </w:rPr>
        <w:t>an approved Clinical Trial Authorisation, or CTA, with the U.K. Medicines and Healthcare Products Regulatory Agency, or MHRA, announced top-line data from an interim analysis of this trial in October 2017 and presented data upon completion of this trial at the 2018 AAD Annual Meeting on February 17</w:t>
      </w:r>
      <w:r>
        <w:rPr>
          <w:rFonts w:ascii="Arial" w:cs="Arial" w:eastAsia="Arial" w:hAnsi="Arial"/>
          <w:sz w:val="25"/>
          <w:szCs w:val="25"/>
          <w:color w:val="231F20"/>
          <w:vertAlign w:val="superscript"/>
        </w:rPr>
        <w:t>th</w:t>
      </w:r>
      <w:r>
        <w:rPr>
          <w:rFonts w:ascii="Arial" w:cs="Arial" w:eastAsia="Arial" w:hAnsi="Arial"/>
          <w:sz w:val="18"/>
          <w:szCs w:val="18"/>
          <w:color w:val="231F20"/>
        </w:rPr>
        <w:t xml:space="preserve"> 2018.</w:t>
      </w:r>
    </w:p>
    <w:p>
      <w:pPr>
        <w:spacing w:after="0" w:line="203"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The average baseline EASI score at enrollment amongst all 12 patients was 32. Other efficacy endpoints measured during the trial included the 5-dimensional pruritus (5-D pruritus) scale which measures itchiness, the 5-point Investigator’s Global Assessment (IGA) scale, Dermatology Life Quality Index (DLQI) and the SCORing Atopic Dermatitis (SCORAD) scale. Exploratory mechanistic biomarkers included granulocyte infiltration and cytokine levels in localized skin lesions measured five days after placebo administration and five days after ANB020 administration.</w:t>
      </w:r>
    </w:p>
    <w:p>
      <w:pPr>
        <w:spacing w:after="0" w:line="178"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different dose levels and dosing frequencies of subcutaneous administration of ANB020, with data expected in 2019.</w:t>
      </w:r>
    </w:p>
    <w:p>
      <w:pPr>
        <w:spacing w:after="0" w:line="171" w:lineRule="exact"/>
        <w:rPr>
          <w:sz w:val="20"/>
          <w:szCs w:val="20"/>
          <w:color w:val="auto"/>
        </w:rPr>
      </w:pPr>
    </w:p>
    <w:p>
      <w:pPr>
        <w:ind w:right="100" w:firstLine="567"/>
        <w:spacing w:after="0" w:line="257" w:lineRule="auto"/>
        <w:rPr>
          <w:sz w:val="20"/>
          <w:szCs w:val="20"/>
          <w:color w:val="auto"/>
        </w:rPr>
      </w:pPr>
      <w:r>
        <w:rPr>
          <w:rFonts w:ascii="Arial" w:cs="Arial" w:eastAsia="Arial" w:hAnsi="Arial"/>
          <w:sz w:val="18"/>
          <w:szCs w:val="18"/>
          <w:color w:val="231F20"/>
        </w:rPr>
        <w:t>We have completed enrollment, under our Investigational New Drug application, or IND, with the U.S. Food and Drug Administration, or FDA, of a Phase 2a trial of ANB020 with 20 severe adult peanut allergy patients where efficacy is assessed by measuring the cumulative dose of peanut tolerated in an oral food challenge, or OFC, within one month before and within one month after a single dose of ANB020 or placebo. This trial randomizes severe adult peanut allergy patients, each of which have a history of anaphylaxis to accidental peanut exposure, to drug versus placebo on a 3 versus 1 ratio. Top-line data from this trial is expected in March 2018.</w:t>
      </w:r>
    </w:p>
    <w:p>
      <w:pPr>
        <w:spacing w:after="0" w:line="188"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231F20"/>
        </w:rPr>
        <w:t>We are enrolling, under a CTA with MHRA, of a randomized, placebo controlled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88" w:right="239" w:bottom="1440" w:gutter="0" w:footer="0" w:header="0"/>
        </w:sectPr>
      </w:pPr>
    </w:p>
    <w:bookmarkStart w:id="4" w:name="page5"/>
    <w:bookmarkEnd w:id="4"/>
    <w:p>
      <w:pPr>
        <w:ind w:right="40" w:firstLine="567"/>
        <w:spacing w:after="0" w:line="291" w:lineRule="auto"/>
        <w:rPr>
          <w:sz w:val="20"/>
          <w:szCs w:val="20"/>
          <w:color w:val="auto"/>
        </w:rPr>
      </w:pPr>
      <w:r>
        <w:rPr>
          <w:rFonts w:ascii="Arial" w:cs="Arial" w:eastAsia="Arial" w:hAnsi="Arial"/>
          <w:sz w:val="16"/>
          <w:szCs w:val="16"/>
          <w:color w:val="auto"/>
        </w:rPr>
        <w:t xml:space="preserve">ANB019 inhibits the interleukin-36 receptor, or IL-36R, for the treatment of rare inflammatory diseases including generalized pustular psoriasis, or GPP, and palmo-plantar pustular psoriasis, or PPP. </w:t>
      </w:r>
      <w:r>
        <w:rPr>
          <w:rFonts w:ascii="Arial" w:cs="Arial" w:eastAsia="Arial" w:hAnsi="Arial"/>
          <w:sz w:val="16"/>
          <w:szCs w:val="16"/>
          <w:color w:val="231F20"/>
        </w:rPr>
        <w:t>We have completed, under an approved Clinical Trial Notification, or CTN, a Phase 1 clinical trial in</w:t>
      </w:r>
      <w:r>
        <w:rPr>
          <w:rFonts w:ascii="Arial" w:cs="Arial" w:eastAsia="Arial" w:hAnsi="Arial"/>
          <w:sz w:val="16"/>
          <w:szCs w:val="16"/>
          <w:color w:val="auto"/>
        </w:rPr>
        <w:t xml:space="preserve"> </w:t>
      </w:r>
      <w:r>
        <w:rPr>
          <w:rFonts w:ascii="Arial" w:cs="Arial" w:eastAsia="Arial" w:hAnsi="Arial"/>
          <w:sz w:val="16"/>
          <w:szCs w:val="16"/>
          <w:color w:val="231F20"/>
        </w:rPr>
        <w:t xml:space="preserve">healthy volunteers, </w:t>
      </w:r>
      <w:r>
        <w:rPr>
          <w:rFonts w:ascii="Arial" w:cs="Arial" w:eastAsia="Arial" w:hAnsi="Arial"/>
          <w:sz w:val="16"/>
          <w:szCs w:val="16"/>
          <w:color w:val="000000"/>
        </w:rPr>
        <w:t>where 48 subjects are dosed with ANB019 and 24 are dosed with placebo in single and multi-dose cohorts at various subcutaneous and</w:t>
      </w:r>
      <w:r>
        <w:rPr>
          <w:rFonts w:ascii="Arial" w:cs="Arial" w:eastAsia="Arial" w:hAnsi="Arial"/>
          <w:sz w:val="16"/>
          <w:szCs w:val="16"/>
          <w:color w:val="231F20"/>
        </w:rPr>
        <w:t xml:space="preserve"> </w:t>
      </w:r>
      <w:r>
        <w:rPr>
          <w:rFonts w:ascii="Arial" w:cs="Arial" w:eastAsia="Arial" w:hAnsi="Arial"/>
          <w:sz w:val="16"/>
          <w:szCs w:val="16"/>
          <w:color w:val="000000"/>
        </w:rPr>
        <w:t>intravenously administered dose levels. In November 2017, we announced positive top-line results from an interim analysis, which showed favorable safety, pharmacokinetics and pharmacodynamic properties that support advancement of ANB019 into Phase 2 studies for GPP and PPP during 2018. We have submitted a CTA filing to the MHRA supporting the initiation of a 10-patient open-label multi-dose Phase 2 study of ANB019 in GPP patients. We anticipate filing an additional CTA application to support the initiation of a placebo-controlled multi-dose study of ANB019 in PPP.</w:t>
      </w:r>
    </w:p>
    <w:p>
      <w:pPr>
        <w:spacing w:after="0" w:line="16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where we anticipate filing an IND in the second half of 2019.</w:t>
      </w:r>
    </w:p>
    <w:p>
      <w:pPr>
        <w:spacing w:after="0" w:line="181"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8"/>
          <w:szCs w:val="18"/>
          <w:color w:val="231F20"/>
        </w:rPr>
        <w:t>TESARO, Inc. and TESARO</w:t>
      </w:r>
      <w:r>
        <w:rPr>
          <w:rFonts w:ascii="Arial" w:cs="Arial" w:eastAsia="Arial" w:hAnsi="Arial"/>
          <w:sz w:val="18"/>
          <w:szCs w:val="18"/>
          <w:color w:val="auto"/>
        </w:rPr>
        <w:t xml:space="preserve"> </w:t>
      </w:r>
      <w:r>
        <w:rPr>
          <w:rFonts w:ascii="Arial" w:cs="Arial" w:eastAsia="Arial" w:hAnsi="Arial"/>
          <w:sz w:val="18"/>
          <w:szCs w:val="18"/>
          <w:color w:val="231F20"/>
        </w:rPr>
        <w:t xml:space="preserve">Development, Ltd., or collectively, TESARO </w:t>
      </w:r>
      <w:r>
        <w:rPr>
          <w:rFonts w:ascii="Arial" w:cs="Arial" w:eastAsia="Arial" w:hAnsi="Arial"/>
          <w:sz w:val="18"/>
          <w:szCs w:val="18"/>
          <w:color w:val="000000"/>
        </w:rPr>
        <w:t>and an inflammation-focused collaboration with Celgene Corporation, or Celgene. For more information about</w:t>
      </w:r>
      <w:r>
        <w:rPr>
          <w:rFonts w:ascii="Arial" w:cs="Arial" w:eastAsia="Arial" w:hAnsi="Arial"/>
          <w:sz w:val="18"/>
          <w:szCs w:val="18"/>
          <w:color w:val="231F20"/>
        </w:rPr>
        <w:t xml:space="preserve"> </w:t>
      </w:r>
      <w:r>
        <w:rPr>
          <w:rFonts w:ascii="Arial" w:cs="Arial" w:eastAsia="Arial" w:hAnsi="Arial"/>
          <w:sz w:val="18"/>
          <w:szCs w:val="18"/>
          <w:color w:val="000000"/>
        </w:rPr>
        <w:t>these collaborations, see “— Collaborations”.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19050</wp:posOffset>
            </wp:positionV>
            <wp:extent cx="5848985" cy="3404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13" w:lineRule="exact"/>
        <w:rPr>
          <w:sz w:val="20"/>
          <w:szCs w:val="20"/>
          <w:color w:val="auto"/>
        </w:rPr>
      </w:pPr>
    </w:p>
    <w:p>
      <w:pPr>
        <w:ind w:left="660" w:right="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ANB020 </w:t>
      </w:r>
      <w:r>
        <w:rPr>
          <w:rFonts w:ascii="Arial" w:cs="Arial" w:eastAsia="Arial" w:hAnsi="Arial"/>
          <w:sz w:val="18"/>
          <w:szCs w:val="18"/>
          <w:color w:val="auto"/>
        </w:rPr>
        <w:t>is a potentially first-in-class antibody that inhibits the activity of IL-33, a pro-inflammatory cytokine that multiple studies have indicated is</w:t>
      </w:r>
      <w:r>
        <w:rPr>
          <w:rFonts w:ascii="Arial" w:cs="Arial" w:eastAsia="Arial" w:hAnsi="Arial"/>
          <w:sz w:val="18"/>
          <w:szCs w:val="18"/>
          <w:b w:val="1"/>
          <w:bCs w:val="1"/>
          <w:color w:val="auto"/>
        </w:rPr>
        <w:t xml:space="preserve"> </w:t>
      </w:r>
      <w:r>
        <w:rPr>
          <w:rFonts w:ascii="Arial" w:cs="Arial" w:eastAsia="Arial" w:hAnsi="Arial"/>
          <w:sz w:val="18"/>
          <w:szCs w:val="18"/>
          <w:color w:val="auto"/>
        </w:rPr>
        <w:t>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00" w:right="259" w:bottom="1440" w:gutter="0" w:footer="0" w:header="0"/>
        </w:sectPr>
      </w:pPr>
    </w:p>
    <w:bookmarkStart w:id="5" w:name="page6"/>
    <w:bookmarkEnd w:id="5"/>
    <w:p>
      <w:pPr>
        <w:ind w:left="660" w:right="140"/>
        <w:spacing w:after="0" w:line="311" w:lineRule="auto"/>
        <w:rPr>
          <w:sz w:val="20"/>
          <w:szCs w:val="20"/>
          <w:color w:val="auto"/>
        </w:rPr>
      </w:pPr>
      <w:r>
        <w:rPr>
          <w:rFonts w:ascii="Arial" w:cs="Arial" w:eastAsia="Arial" w:hAnsi="Arial"/>
          <w:sz w:val="18"/>
          <w:szCs w:val="18"/>
          <w:color w:val="auto"/>
        </w:rPr>
        <w:t>and cytokines involved in atopy, we believe that its mechanism has advantages in the treatment of atopic diseases over competing agents that block only a subset of the cytokines responsible for atopic diseases. The role of IL-33 signaling in asthma and atopic dermatitis has been genetically validated through human studies published in the medical literature.</w:t>
      </w:r>
    </w:p>
    <w:p>
      <w:pPr>
        <w:spacing w:after="0" w:line="42" w:lineRule="exact"/>
        <w:rPr>
          <w:sz w:val="20"/>
          <w:szCs w:val="20"/>
          <w:color w:val="auto"/>
        </w:rPr>
      </w:pPr>
    </w:p>
    <w:p>
      <w:pPr>
        <w:ind w:left="660" w:hanging="314"/>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 PPP</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GPP is a life-threatening, rare, systemic inflammatory disorder with no approved therapies.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and is believed to be caused by increased systemic levels of interleukin-36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The FDA may grant Orphan Drug Designation to a drug intended to treat a disease or condition that generally affects fewer than 200,000 individuals in the United States.</w:t>
      </w:r>
    </w:p>
    <w:p>
      <w:pPr>
        <w:spacing w:after="0" w:line="64" w:lineRule="exact"/>
        <w:rPr>
          <w:rFonts w:ascii="Arial" w:cs="Arial" w:eastAsia="Arial" w:hAnsi="Arial"/>
          <w:sz w:val="17"/>
          <w:szCs w:val="17"/>
          <w:color w:val="auto"/>
        </w:rPr>
      </w:pPr>
    </w:p>
    <w:p>
      <w:pPr>
        <w:ind w:left="660" w:hanging="314"/>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AnaptysBio to multiple different immune checkpoint receptors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autoimmune diseases where we believe checkpoint receptor function is insufficiently activated. Known human immune checkpoint receptors include CTLA-4, PD-1, LAG-3, BTLA, TIM-3 and TIGIT. We have discovered certain checkpoint receptor agonist antibodies that have demonstrated efficacy in a rodent model of graft-versus-host disease. We anticipate filing an IND for one such checkpoint agonist antibody in the second half of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58" w:lineRule="exact"/>
        <w:rPr>
          <w:sz w:val="20"/>
          <w:szCs w:val="20"/>
          <w:color w:val="auto"/>
        </w:rPr>
      </w:pPr>
    </w:p>
    <w:p>
      <w:pPr>
        <w:ind w:left="660" w:right="100" w:hanging="314"/>
        <w:spacing w:after="0" w:line="27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Advancing our wholly-owned lead product candidates to clinical milestones. </w:t>
      </w:r>
      <w:r>
        <w:rPr>
          <w:rFonts w:ascii="Arial" w:cs="Arial" w:eastAsia="Arial" w:hAnsi="Arial"/>
          <w:sz w:val="17"/>
          <w:szCs w:val="17"/>
          <w:color w:val="auto"/>
        </w:rPr>
        <w:t>We are working to demonstrate the safety and efficacy of our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wholly-owned pipeline programs, and have completed a Phase 1 trial of ANB020 in healthy volunteers in Australia, which we believe has demonstrated favorable safety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properties. We have completed a Phase 2a trial of ANB020 in patients with moderate-to-severe adult atopic dermatitis where top-line data efficacy was announced in October 2017 and completed trial data was presented at the 2018 AAD Annual Meeting, and have completed enrollment of a severe adult peanut allergy Phase 2a trial where top-line data is anticipated in March 2018 and a severe adult eosinophilic asthma Phase 2a trial where enrollment is ongoing and top-line data is anticipated during the second quarter of 2018. We have conducted, under an approved CTN, a Phase 1 clinical trial in healthy volunteers to assess the safety, pharmacokinetics and pharmacodynamics of ANB019 and have announced top-line data from this trial in November 2017. We plan to initiate Phase 2 studies of ANB019 in GPP and PPP patients during 2018, subject to clearance of applicable regulatory filings.</w:t>
      </w:r>
    </w:p>
    <w:p>
      <w:pPr>
        <w:spacing w:after="0" w:line="66" w:lineRule="exact"/>
        <w:rPr>
          <w:rFonts w:ascii="Arial" w:cs="Arial" w:eastAsia="Arial" w:hAnsi="Arial"/>
          <w:sz w:val="17"/>
          <w:szCs w:val="17"/>
          <w:color w:val="auto"/>
        </w:rPr>
      </w:pPr>
    </w:p>
    <w:p>
      <w:pPr>
        <w:ind w:left="660" w:right="40" w:hanging="314"/>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SHM antibody generation platform, we are able to rapidly develop novel antibodies against biological targets. Our goal is to continue expanding our wholly-owned new therapeutic antibody program pipeline by innovating one or more wholly-owned novel pipeline antibodies to potentially first-in-class immune-related targets.</w:t>
      </w:r>
    </w:p>
    <w:p>
      <w:pPr>
        <w:spacing w:after="0" w:line="71"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60" w:lineRule="exact"/>
        <w:rPr>
          <w:rFonts w:ascii="Arial" w:cs="Arial" w:eastAsia="Arial" w:hAnsi="Arial"/>
          <w:sz w:val="17"/>
          <w:szCs w:val="17"/>
          <w:color w:val="auto"/>
        </w:rPr>
      </w:pPr>
    </w:p>
    <w:p>
      <w:pPr>
        <w:ind w:left="660" w:right="180" w:hanging="314"/>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19"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chart describes milestones achieved during fiscal 2017 and anticipated during fiscal 2018 and 2019:</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3900" w:type="dxa"/>
            <w:vAlign w:val="bottom"/>
            <w:tcBorders>
              <w:left w:val="single" w:sz="8" w:color="C0C0C0"/>
              <w:bottom w:val="single" w:sz="8" w:color="C0C0C0"/>
            </w:tcBorders>
            <w:shd w:val="clear" w:color="auto" w:fill="C0C0C0"/>
          </w:tcPr>
          <w:p>
            <w:pPr>
              <w:jc w:val="center"/>
              <w:spacing w:after="0"/>
              <w:rPr>
                <w:sz w:val="20"/>
                <w:szCs w:val="20"/>
                <w:color w:val="auto"/>
              </w:rPr>
            </w:pPr>
            <w:r>
              <w:rPr>
                <w:rFonts w:ascii="Arial" w:cs="Arial" w:eastAsia="Arial" w:hAnsi="Arial"/>
                <w:sz w:val="20"/>
                <w:szCs w:val="20"/>
                <w:b w:val="1"/>
                <w:bCs w:val="1"/>
                <w:color w:val="333333"/>
                <w:w w:val="92"/>
              </w:rPr>
              <w:t>Program</w:t>
            </w:r>
          </w:p>
        </w:tc>
        <w:tc>
          <w:tcPr>
            <w:tcW w:w="376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20"/>
                <w:szCs w:val="20"/>
                <w:b w:val="1"/>
                <w:bCs w:val="1"/>
                <w:color w:val="333333"/>
                <w:w w:val="91"/>
              </w:rPr>
              <w:t>Milestone</w:t>
            </w:r>
          </w:p>
        </w:tc>
        <w:tc>
          <w:tcPr>
            <w:tcW w:w="3780" w:type="dxa"/>
            <w:vAlign w:val="bottom"/>
            <w:tcBorders>
              <w:bottom w:val="single" w:sz="8" w:color="C0C0C0"/>
              <w:right w:val="single" w:sz="8" w:color="C0C0C0"/>
            </w:tcBorders>
            <w:shd w:val="clear" w:color="auto" w:fill="C0C0C0"/>
          </w:tcPr>
          <w:p>
            <w:pPr>
              <w:jc w:val="center"/>
              <w:spacing w:after="0"/>
              <w:rPr>
                <w:sz w:val="20"/>
                <w:szCs w:val="20"/>
                <w:color w:val="auto"/>
              </w:rPr>
            </w:pPr>
            <w:r>
              <w:rPr>
                <w:rFonts w:ascii="Arial" w:cs="Arial" w:eastAsia="Arial" w:hAnsi="Arial"/>
                <w:sz w:val="20"/>
                <w:szCs w:val="20"/>
                <w:b w:val="1"/>
                <w:bCs w:val="1"/>
                <w:color w:val="333333"/>
                <w:w w:val="94"/>
              </w:rPr>
              <w:t>Timing</w:t>
            </w:r>
          </w:p>
        </w:tc>
        <w:tc>
          <w:tcPr>
            <w:tcW w:w="0" w:type="dxa"/>
            <w:vAlign w:val="bottom"/>
          </w:tcPr>
          <w:p>
            <w:pPr>
              <w:spacing w:after="0"/>
              <w:rPr>
                <w:sz w:val="1"/>
                <w:szCs w:val="1"/>
                <w:color w:val="auto"/>
              </w:rPr>
            </w:pPr>
          </w:p>
        </w:tc>
      </w:tr>
      <w:tr>
        <w:trPr>
          <w:trHeight w:val="220"/>
        </w:trPr>
        <w:tc>
          <w:tcPr>
            <w:tcW w:w="3900" w:type="dxa"/>
            <w:vAlign w:val="bottom"/>
            <w:tcBorders>
              <w:left w:val="single" w:sz="8" w:color="C0C0C0"/>
            </w:tcBorders>
            <w:shd w:val="clear" w:color="auto" w:fill="CCEEFF"/>
          </w:tcPr>
          <w:p>
            <w:pPr>
              <w:spacing w:after="0"/>
              <w:rPr>
                <w:sz w:val="19"/>
                <w:szCs w:val="19"/>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6"/>
                <w:szCs w:val="16"/>
                <w:color w:val="333333"/>
                <w:w w:val="95"/>
              </w:rPr>
              <w:t>Atopic Dermatitis</w:t>
            </w:r>
          </w:p>
        </w:tc>
        <w:tc>
          <w:tcPr>
            <w:tcW w:w="3780" w:type="dxa"/>
            <w:vAlign w:val="bottom"/>
            <w:tcBorders>
              <w:right w:val="single" w:sz="8" w:color="C0C0C0"/>
            </w:tcBorders>
            <w:shd w:val="clear" w:color="auto" w:fill="CCEEFF"/>
          </w:tcPr>
          <w:p>
            <w:pPr>
              <w:jc w:val="center"/>
              <w:spacing w:after="0"/>
              <w:rPr>
                <w:sz w:val="20"/>
                <w:szCs w:val="20"/>
                <w:color w:val="auto"/>
              </w:rPr>
            </w:pPr>
            <w:r>
              <w:rPr>
                <w:rFonts w:ascii="Arial" w:cs="Arial" w:eastAsia="Arial" w:hAnsi="Arial"/>
                <w:sz w:val="16"/>
                <w:szCs w:val="16"/>
                <w:color w:val="333333"/>
                <w:w w:val="92"/>
              </w:rPr>
              <w:t>Presented at AAD</w:t>
            </w:r>
          </w:p>
        </w:tc>
        <w:tc>
          <w:tcPr>
            <w:tcW w:w="0" w:type="dxa"/>
            <w:vAlign w:val="bottom"/>
          </w:tcPr>
          <w:p>
            <w:pPr>
              <w:spacing w:after="0"/>
              <w:rPr>
                <w:sz w:val="1"/>
                <w:szCs w:val="1"/>
                <w:color w:val="auto"/>
              </w:rPr>
            </w:pPr>
          </w:p>
        </w:tc>
      </w:tr>
      <w:tr>
        <w:trPr>
          <w:trHeight w:val="206"/>
        </w:trPr>
        <w:tc>
          <w:tcPr>
            <w:tcW w:w="3900" w:type="dxa"/>
            <w:vAlign w:val="bottom"/>
            <w:tcBorders>
              <w:left w:val="single" w:sz="8" w:color="C0C0C0"/>
            </w:tcBorders>
            <w:shd w:val="clear" w:color="auto" w:fill="CCEEFF"/>
          </w:tcPr>
          <w:p>
            <w:pPr>
              <w:spacing w:after="0"/>
              <w:rPr>
                <w:sz w:val="17"/>
                <w:szCs w:val="17"/>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6"/>
                <w:szCs w:val="16"/>
                <w:color w:val="333333"/>
                <w:w w:val="86"/>
              </w:rPr>
              <w:t>Phase 2a Data</w:t>
            </w:r>
          </w:p>
        </w:tc>
        <w:tc>
          <w:tcPr>
            <w:tcW w:w="3780" w:type="dxa"/>
            <w:vAlign w:val="bottom"/>
            <w:tcBorders>
              <w:right w:val="single" w:sz="8" w:color="C0C0C0"/>
            </w:tcBorders>
            <w:shd w:val="clear" w:color="auto" w:fill="CCEEFF"/>
          </w:tcPr>
          <w:p>
            <w:pPr>
              <w:jc w:val="center"/>
              <w:spacing w:after="0"/>
              <w:rPr>
                <w:sz w:val="20"/>
                <w:szCs w:val="20"/>
                <w:color w:val="auto"/>
              </w:rPr>
            </w:pPr>
            <w:r>
              <w:rPr>
                <w:rFonts w:ascii="Arial" w:cs="Arial" w:eastAsia="Arial" w:hAnsi="Arial"/>
                <w:sz w:val="16"/>
                <w:szCs w:val="16"/>
                <w:color w:val="333333"/>
                <w:w w:val="92"/>
              </w:rPr>
              <w:t>February 2018</w:t>
            </w:r>
          </w:p>
        </w:tc>
        <w:tc>
          <w:tcPr>
            <w:tcW w:w="0" w:type="dxa"/>
            <w:vAlign w:val="bottom"/>
          </w:tcPr>
          <w:p>
            <w:pPr>
              <w:spacing w:after="0"/>
              <w:rPr>
                <w:sz w:val="1"/>
                <w:szCs w:val="1"/>
                <w:color w:val="auto"/>
              </w:rPr>
            </w:pPr>
          </w:p>
        </w:tc>
      </w:tr>
      <w:tr>
        <w:trPr>
          <w:trHeight w:val="253"/>
        </w:trPr>
        <w:tc>
          <w:tcPr>
            <w:tcW w:w="3900" w:type="dxa"/>
            <w:vAlign w:val="bottom"/>
            <w:tcBorders>
              <w:left w:val="single" w:sz="8" w:color="C0C0C0"/>
            </w:tcBorders>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6"/>
                <w:szCs w:val="16"/>
                <w:color w:val="333333"/>
                <w:w w:val="92"/>
              </w:rPr>
              <w:t>Peanut Allergy</w:t>
            </w:r>
          </w:p>
        </w:tc>
        <w:tc>
          <w:tcPr>
            <w:tcW w:w="3780" w:type="dxa"/>
            <w:vAlign w:val="bottom"/>
            <w:tcBorders>
              <w:right w:val="single" w:sz="8" w:color="C0C0C0"/>
            </w:tcBorders>
            <w:vMerge w:val="restart"/>
            <w:shd w:val="clear" w:color="auto" w:fill="CCEEFF"/>
          </w:tcPr>
          <w:p>
            <w:pPr>
              <w:jc w:val="center"/>
              <w:spacing w:after="0"/>
              <w:rPr>
                <w:sz w:val="20"/>
                <w:szCs w:val="20"/>
                <w:color w:val="auto"/>
              </w:rPr>
            </w:pPr>
            <w:r>
              <w:rPr>
                <w:rFonts w:ascii="Arial" w:cs="Arial" w:eastAsia="Arial" w:hAnsi="Arial"/>
                <w:sz w:val="16"/>
                <w:szCs w:val="16"/>
                <w:color w:val="333333"/>
                <w:w w:val="92"/>
              </w:rPr>
              <w:t>March 2018</w:t>
            </w:r>
          </w:p>
        </w:tc>
        <w:tc>
          <w:tcPr>
            <w:tcW w:w="0" w:type="dxa"/>
            <w:vAlign w:val="bottom"/>
          </w:tcPr>
          <w:p>
            <w:pPr>
              <w:spacing w:after="0"/>
              <w:rPr>
                <w:sz w:val="1"/>
                <w:szCs w:val="1"/>
                <w:color w:val="auto"/>
              </w:rPr>
            </w:pPr>
          </w:p>
        </w:tc>
      </w:tr>
      <w:tr>
        <w:trPr>
          <w:trHeight w:val="98"/>
        </w:trPr>
        <w:tc>
          <w:tcPr>
            <w:tcW w:w="3900" w:type="dxa"/>
            <w:vAlign w:val="bottom"/>
            <w:tcBorders>
              <w:left w:val="single" w:sz="8" w:color="C0C0C0"/>
            </w:tcBorders>
            <w:shd w:val="clear" w:color="auto" w:fill="CCEEFF"/>
          </w:tcPr>
          <w:p>
            <w:pPr>
              <w:spacing w:after="0"/>
              <w:rPr>
                <w:sz w:val="8"/>
                <w:szCs w:val="8"/>
                <w:color w:val="auto"/>
              </w:rPr>
            </w:pPr>
          </w:p>
        </w:tc>
        <w:tc>
          <w:tcPr>
            <w:tcW w:w="3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333333"/>
                <w:w w:val="89"/>
              </w:rPr>
              <w:t>Top-Line Phase 2a Data</w:t>
            </w:r>
          </w:p>
        </w:tc>
        <w:tc>
          <w:tcPr>
            <w:tcW w:w="3780" w:type="dxa"/>
            <w:vAlign w:val="bottom"/>
            <w:tcBorders>
              <w:right w:val="single" w:sz="8" w:color="C0C0C0"/>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C0C0C0"/>
            </w:tcBorders>
            <w:vMerge w:val="restart"/>
            <w:shd w:val="clear" w:color="auto" w:fill="CCEEFF"/>
          </w:tcPr>
          <w:p>
            <w:pPr>
              <w:jc w:val="center"/>
              <w:spacing w:after="0"/>
              <w:rPr>
                <w:sz w:val="20"/>
                <w:szCs w:val="20"/>
                <w:color w:val="auto"/>
              </w:rPr>
            </w:pPr>
            <w:r>
              <w:rPr>
                <w:rFonts w:ascii="Arial" w:cs="Arial" w:eastAsia="Arial" w:hAnsi="Arial"/>
                <w:sz w:val="16"/>
                <w:szCs w:val="16"/>
                <w:b w:val="1"/>
                <w:bCs w:val="1"/>
                <w:color w:val="333333"/>
                <w:w w:val="98"/>
              </w:rPr>
              <w:t>ANB020 (Anti-IL-33)</w:t>
            </w:r>
          </w:p>
        </w:tc>
        <w:tc>
          <w:tcPr>
            <w:tcW w:w="3760" w:type="dxa"/>
            <w:vAlign w:val="bottom"/>
            <w:vMerge w:val="continue"/>
            <w:shd w:val="clear" w:color="auto" w:fill="CCEEFF"/>
          </w:tcPr>
          <w:p>
            <w:pPr>
              <w:spacing w:after="0"/>
              <w:rPr>
                <w:sz w:val="9"/>
                <w:szCs w:val="9"/>
                <w:color w:val="auto"/>
              </w:rPr>
            </w:pPr>
          </w:p>
        </w:tc>
        <w:tc>
          <w:tcPr>
            <w:tcW w:w="3780" w:type="dxa"/>
            <w:vAlign w:val="bottom"/>
            <w:tcBorders>
              <w:right w:val="single" w:sz="8" w:color="C0C0C0"/>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900" w:type="dxa"/>
            <w:vAlign w:val="bottom"/>
            <w:tcBorders>
              <w:left w:val="single" w:sz="8" w:color="C0C0C0"/>
            </w:tcBorders>
            <w:vMerge w:val="continue"/>
            <w:shd w:val="clear" w:color="auto" w:fill="CCEEFF"/>
          </w:tcPr>
          <w:p>
            <w:pPr>
              <w:spacing w:after="0"/>
              <w:rPr>
                <w:sz w:val="10"/>
                <w:szCs w:val="10"/>
                <w:color w:val="auto"/>
              </w:rPr>
            </w:pPr>
          </w:p>
        </w:tc>
        <w:tc>
          <w:tcPr>
            <w:tcW w:w="3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333333"/>
                <w:w w:val="94"/>
              </w:rPr>
              <w:t>Eosinophilic Asthma</w:t>
            </w:r>
          </w:p>
        </w:tc>
        <w:tc>
          <w:tcPr>
            <w:tcW w:w="3780" w:type="dxa"/>
            <w:vAlign w:val="bottom"/>
            <w:tcBorders>
              <w:right w:val="single" w:sz="8" w:color="C0C0C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900" w:type="dxa"/>
            <w:vAlign w:val="bottom"/>
            <w:tcBorders>
              <w:left w:val="single" w:sz="8" w:color="C0C0C0"/>
            </w:tcBorders>
            <w:shd w:val="clear" w:color="auto" w:fill="CCEEFF"/>
          </w:tcPr>
          <w:p>
            <w:pPr>
              <w:spacing w:after="0"/>
              <w:rPr>
                <w:sz w:val="11"/>
                <w:szCs w:val="11"/>
                <w:color w:val="auto"/>
              </w:rPr>
            </w:pPr>
          </w:p>
        </w:tc>
        <w:tc>
          <w:tcPr>
            <w:tcW w:w="3760" w:type="dxa"/>
            <w:vAlign w:val="bottom"/>
            <w:vMerge w:val="continue"/>
            <w:shd w:val="clear" w:color="auto" w:fill="CCEEFF"/>
          </w:tcPr>
          <w:p>
            <w:pPr>
              <w:spacing w:after="0"/>
              <w:rPr>
                <w:sz w:val="11"/>
                <w:szCs w:val="11"/>
                <w:color w:val="auto"/>
              </w:rPr>
            </w:pPr>
          </w:p>
        </w:tc>
        <w:tc>
          <w:tcPr>
            <w:tcW w:w="3780" w:type="dxa"/>
            <w:vAlign w:val="bottom"/>
            <w:tcBorders>
              <w:right w:val="single" w:sz="8" w:color="C0C0C0"/>
            </w:tcBorders>
            <w:vMerge w:val="restart"/>
            <w:shd w:val="clear" w:color="auto" w:fill="CCEEFF"/>
          </w:tcPr>
          <w:p>
            <w:pPr>
              <w:jc w:val="center"/>
              <w:spacing w:after="0"/>
              <w:rPr>
                <w:sz w:val="20"/>
                <w:szCs w:val="20"/>
                <w:color w:val="auto"/>
              </w:rPr>
            </w:pPr>
            <w:r>
              <w:rPr>
                <w:rFonts w:ascii="Arial" w:cs="Arial" w:eastAsia="Arial" w:hAnsi="Arial"/>
                <w:sz w:val="16"/>
                <w:szCs w:val="16"/>
                <w:color w:val="333333"/>
                <w:w w:val="91"/>
              </w:rPr>
              <w:t>Q2 2018</w:t>
            </w:r>
          </w:p>
        </w:tc>
        <w:tc>
          <w:tcPr>
            <w:tcW w:w="0" w:type="dxa"/>
            <w:vAlign w:val="bottom"/>
          </w:tcPr>
          <w:p>
            <w:pPr>
              <w:spacing w:after="0"/>
              <w:rPr>
                <w:sz w:val="1"/>
                <w:szCs w:val="1"/>
                <w:color w:val="auto"/>
              </w:rPr>
            </w:pPr>
          </w:p>
        </w:tc>
      </w:tr>
      <w:tr>
        <w:trPr>
          <w:trHeight w:val="98"/>
        </w:trPr>
        <w:tc>
          <w:tcPr>
            <w:tcW w:w="3900" w:type="dxa"/>
            <w:vAlign w:val="bottom"/>
            <w:tcBorders>
              <w:left w:val="single" w:sz="8" w:color="C0C0C0"/>
            </w:tcBorders>
            <w:shd w:val="clear" w:color="auto" w:fill="CCEEFF"/>
          </w:tcPr>
          <w:p>
            <w:pPr>
              <w:spacing w:after="0"/>
              <w:rPr>
                <w:sz w:val="8"/>
                <w:szCs w:val="8"/>
                <w:color w:val="auto"/>
              </w:rPr>
            </w:pPr>
          </w:p>
        </w:tc>
        <w:tc>
          <w:tcPr>
            <w:tcW w:w="3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333333"/>
                <w:w w:val="90"/>
              </w:rPr>
              <w:t>Top-line Phase 2a Data</w:t>
            </w:r>
          </w:p>
        </w:tc>
        <w:tc>
          <w:tcPr>
            <w:tcW w:w="3780" w:type="dxa"/>
            <w:vAlign w:val="bottom"/>
            <w:tcBorders>
              <w:right w:val="single" w:sz="8" w:color="C0C0C0"/>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C0C0C0"/>
            </w:tcBorders>
            <w:shd w:val="clear" w:color="auto" w:fill="CCEEFF"/>
          </w:tcPr>
          <w:p>
            <w:pPr>
              <w:spacing w:after="0"/>
              <w:rPr>
                <w:sz w:val="9"/>
                <w:szCs w:val="9"/>
                <w:color w:val="auto"/>
              </w:rPr>
            </w:pPr>
          </w:p>
        </w:tc>
        <w:tc>
          <w:tcPr>
            <w:tcW w:w="3760" w:type="dxa"/>
            <w:vAlign w:val="bottom"/>
            <w:vMerge w:val="continue"/>
            <w:shd w:val="clear" w:color="auto" w:fill="CCEEFF"/>
          </w:tcPr>
          <w:p>
            <w:pPr>
              <w:spacing w:after="0"/>
              <w:rPr>
                <w:sz w:val="9"/>
                <w:szCs w:val="9"/>
                <w:color w:val="auto"/>
              </w:rPr>
            </w:pPr>
          </w:p>
        </w:tc>
        <w:tc>
          <w:tcPr>
            <w:tcW w:w="3780" w:type="dxa"/>
            <w:vAlign w:val="bottom"/>
            <w:tcBorders>
              <w:right w:val="single" w:sz="8" w:color="C0C0C0"/>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900" w:type="dxa"/>
            <w:vAlign w:val="bottom"/>
            <w:tcBorders>
              <w:left w:val="single" w:sz="8" w:color="C0C0C0"/>
            </w:tcBorders>
            <w:shd w:val="clear" w:color="auto" w:fill="CCEEFF"/>
          </w:tcPr>
          <w:p>
            <w:pPr>
              <w:spacing w:after="0"/>
              <w:rPr>
                <w:sz w:val="21"/>
                <w:szCs w:val="21"/>
                <w:color w:val="auto"/>
              </w:rPr>
            </w:pPr>
          </w:p>
        </w:tc>
        <w:tc>
          <w:tcPr>
            <w:tcW w:w="3760" w:type="dxa"/>
            <w:vAlign w:val="bottom"/>
            <w:shd w:val="clear" w:color="auto" w:fill="CCEEFF"/>
          </w:tcPr>
          <w:p>
            <w:pPr>
              <w:jc w:val="center"/>
              <w:spacing w:after="0"/>
              <w:rPr>
                <w:sz w:val="20"/>
                <w:szCs w:val="20"/>
                <w:color w:val="auto"/>
              </w:rPr>
            </w:pPr>
            <w:r>
              <w:rPr>
                <w:rFonts w:ascii="Arial" w:cs="Arial" w:eastAsia="Arial" w:hAnsi="Arial"/>
                <w:sz w:val="16"/>
                <w:szCs w:val="16"/>
                <w:color w:val="333333"/>
                <w:w w:val="95"/>
              </w:rPr>
              <w:t>Atopic Dermatitis</w:t>
            </w:r>
          </w:p>
        </w:tc>
        <w:tc>
          <w:tcPr>
            <w:tcW w:w="3780" w:type="dxa"/>
            <w:vAlign w:val="bottom"/>
            <w:tcBorders>
              <w:right w:val="single" w:sz="8" w:color="C0C0C0"/>
            </w:tcBorders>
            <w:vMerge w:val="restart"/>
            <w:shd w:val="clear" w:color="auto" w:fill="CCEEFF"/>
          </w:tcPr>
          <w:p>
            <w:pPr>
              <w:jc w:val="center"/>
              <w:spacing w:after="0"/>
              <w:rPr>
                <w:sz w:val="20"/>
                <w:szCs w:val="20"/>
                <w:color w:val="auto"/>
              </w:rPr>
            </w:pPr>
            <w:r>
              <w:rPr>
                <w:rFonts w:ascii="Arial" w:cs="Arial" w:eastAsia="Arial" w:hAnsi="Arial"/>
                <w:sz w:val="16"/>
                <w:szCs w:val="16"/>
                <w:color w:val="333333"/>
                <w:w w:val="89"/>
              </w:rPr>
              <w:t>2019</w:t>
            </w:r>
          </w:p>
        </w:tc>
        <w:tc>
          <w:tcPr>
            <w:tcW w:w="0" w:type="dxa"/>
            <w:vAlign w:val="bottom"/>
          </w:tcPr>
          <w:p>
            <w:pPr>
              <w:spacing w:after="0"/>
              <w:rPr>
                <w:sz w:val="1"/>
                <w:szCs w:val="1"/>
                <w:color w:val="auto"/>
              </w:rPr>
            </w:pPr>
          </w:p>
        </w:tc>
      </w:tr>
      <w:tr>
        <w:trPr>
          <w:trHeight w:val="98"/>
        </w:trPr>
        <w:tc>
          <w:tcPr>
            <w:tcW w:w="3900" w:type="dxa"/>
            <w:vAlign w:val="bottom"/>
            <w:tcBorders>
              <w:left w:val="single" w:sz="8" w:color="C0C0C0"/>
            </w:tcBorders>
            <w:shd w:val="clear" w:color="auto" w:fill="CCEEFF"/>
          </w:tcPr>
          <w:p>
            <w:pPr>
              <w:spacing w:after="0"/>
              <w:rPr>
                <w:sz w:val="8"/>
                <w:szCs w:val="8"/>
                <w:color w:val="auto"/>
              </w:rPr>
            </w:pPr>
          </w:p>
        </w:tc>
        <w:tc>
          <w:tcPr>
            <w:tcW w:w="37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333333"/>
                <w:w w:val="86"/>
              </w:rPr>
              <w:t>Phase 2b Data</w:t>
            </w:r>
          </w:p>
        </w:tc>
        <w:tc>
          <w:tcPr>
            <w:tcW w:w="3780" w:type="dxa"/>
            <w:vAlign w:val="bottom"/>
            <w:tcBorders>
              <w:right w:val="single" w:sz="8" w:color="C0C0C0"/>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00" w:type="dxa"/>
            <w:vAlign w:val="bottom"/>
            <w:tcBorders>
              <w:left w:val="single" w:sz="8" w:color="C0C0C0"/>
              <w:bottom w:val="single" w:sz="8" w:color="CCEEFF"/>
            </w:tcBorders>
            <w:shd w:val="clear" w:color="auto" w:fill="CCEEFF"/>
          </w:tcPr>
          <w:p>
            <w:pPr>
              <w:spacing w:after="0"/>
              <w:rPr>
                <w:sz w:val="10"/>
                <w:szCs w:val="10"/>
                <w:color w:val="auto"/>
              </w:rPr>
            </w:pPr>
          </w:p>
        </w:tc>
        <w:tc>
          <w:tcPr>
            <w:tcW w:w="3760" w:type="dxa"/>
            <w:vAlign w:val="bottom"/>
            <w:tcBorders>
              <w:bottom w:val="single" w:sz="8" w:color="CCEEFF"/>
            </w:tcBorders>
            <w:vMerge w:val="continue"/>
            <w:shd w:val="clear" w:color="auto" w:fill="CCEEFF"/>
          </w:tcPr>
          <w:p>
            <w:pPr>
              <w:spacing w:after="0"/>
              <w:rPr>
                <w:sz w:val="10"/>
                <w:szCs w:val="10"/>
                <w:color w:val="auto"/>
              </w:rPr>
            </w:pPr>
          </w:p>
        </w:tc>
        <w:tc>
          <w:tcPr>
            <w:tcW w:w="3780" w:type="dxa"/>
            <w:vAlign w:val="bottom"/>
            <w:tcBorders>
              <w:bottom w:val="single" w:sz="8" w:color="CCEEFF"/>
              <w:right w:val="single" w:sz="8" w:color="C0C0C0"/>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900" w:type="dxa"/>
            <w:vAlign w:val="bottom"/>
            <w:tcBorders>
              <w:left w:val="single" w:sz="8" w:color="C0C0C0"/>
            </w:tcBorders>
            <w:shd w:val="clear" w:color="auto" w:fill="E8E8E8"/>
          </w:tcPr>
          <w:p>
            <w:pPr>
              <w:spacing w:after="0"/>
              <w:rPr>
                <w:sz w:val="19"/>
                <w:szCs w:val="19"/>
                <w:color w:val="auto"/>
              </w:rPr>
            </w:pPr>
          </w:p>
        </w:tc>
        <w:tc>
          <w:tcPr>
            <w:tcW w:w="3760" w:type="dxa"/>
            <w:vAlign w:val="bottom"/>
            <w:shd w:val="clear" w:color="auto" w:fill="E8E8E8"/>
          </w:tcPr>
          <w:p>
            <w:pPr>
              <w:jc w:val="center"/>
              <w:spacing w:after="0"/>
              <w:rPr>
                <w:sz w:val="20"/>
                <w:szCs w:val="20"/>
                <w:color w:val="auto"/>
              </w:rPr>
            </w:pPr>
            <w:r>
              <w:rPr>
                <w:rFonts w:ascii="Arial" w:cs="Arial" w:eastAsia="Arial" w:hAnsi="Arial"/>
                <w:sz w:val="16"/>
                <w:szCs w:val="16"/>
                <w:color w:val="333333"/>
                <w:w w:val="92"/>
              </w:rPr>
              <w:t>Healthy Volunteer</w:t>
            </w:r>
          </w:p>
        </w:tc>
        <w:tc>
          <w:tcPr>
            <w:tcW w:w="3780" w:type="dxa"/>
            <w:vAlign w:val="bottom"/>
            <w:tcBorders>
              <w:right w:val="single" w:sz="8" w:color="C0C0C0"/>
            </w:tcBorders>
            <w:shd w:val="clear" w:color="auto" w:fill="E8E8E8"/>
          </w:tcPr>
          <w:p>
            <w:pPr>
              <w:jc w:val="center"/>
              <w:spacing w:after="0"/>
              <w:rPr>
                <w:sz w:val="20"/>
                <w:szCs w:val="20"/>
                <w:color w:val="auto"/>
              </w:rPr>
            </w:pPr>
            <w:r>
              <w:rPr>
                <w:rFonts w:ascii="Arial" w:cs="Arial" w:eastAsia="Arial" w:hAnsi="Arial"/>
                <w:sz w:val="16"/>
                <w:szCs w:val="16"/>
                <w:color w:val="333333"/>
                <w:w w:val="91"/>
              </w:rPr>
              <w:t>Announced</w:t>
            </w:r>
          </w:p>
        </w:tc>
        <w:tc>
          <w:tcPr>
            <w:tcW w:w="0" w:type="dxa"/>
            <w:vAlign w:val="bottom"/>
          </w:tcPr>
          <w:p>
            <w:pPr>
              <w:spacing w:after="0"/>
              <w:rPr>
                <w:sz w:val="1"/>
                <w:szCs w:val="1"/>
                <w:color w:val="auto"/>
              </w:rPr>
            </w:pPr>
          </w:p>
        </w:tc>
      </w:tr>
      <w:tr>
        <w:trPr>
          <w:trHeight w:val="206"/>
        </w:trPr>
        <w:tc>
          <w:tcPr>
            <w:tcW w:w="3900" w:type="dxa"/>
            <w:vAlign w:val="bottom"/>
            <w:tcBorders>
              <w:left w:val="single" w:sz="8" w:color="C0C0C0"/>
            </w:tcBorders>
            <w:shd w:val="clear" w:color="auto" w:fill="E8E8E8"/>
          </w:tcPr>
          <w:p>
            <w:pPr>
              <w:spacing w:after="0"/>
              <w:rPr>
                <w:sz w:val="17"/>
                <w:szCs w:val="17"/>
                <w:color w:val="auto"/>
              </w:rPr>
            </w:pPr>
          </w:p>
        </w:tc>
        <w:tc>
          <w:tcPr>
            <w:tcW w:w="3760" w:type="dxa"/>
            <w:vAlign w:val="bottom"/>
            <w:shd w:val="clear" w:color="auto" w:fill="E8E8E8"/>
          </w:tcPr>
          <w:p>
            <w:pPr>
              <w:jc w:val="center"/>
              <w:spacing w:after="0"/>
              <w:rPr>
                <w:sz w:val="20"/>
                <w:szCs w:val="20"/>
                <w:color w:val="auto"/>
              </w:rPr>
            </w:pPr>
            <w:r>
              <w:rPr>
                <w:rFonts w:ascii="Arial" w:cs="Arial" w:eastAsia="Arial" w:hAnsi="Arial"/>
                <w:sz w:val="16"/>
                <w:szCs w:val="16"/>
                <w:color w:val="333333"/>
                <w:w w:val="90"/>
              </w:rPr>
              <w:t>Top-line Phase I Data</w:t>
            </w:r>
          </w:p>
        </w:tc>
        <w:tc>
          <w:tcPr>
            <w:tcW w:w="3780" w:type="dxa"/>
            <w:vAlign w:val="bottom"/>
            <w:tcBorders>
              <w:right w:val="single" w:sz="8" w:color="C0C0C0"/>
            </w:tcBorders>
            <w:shd w:val="clear" w:color="auto" w:fill="E8E8E8"/>
          </w:tcPr>
          <w:p>
            <w:pPr>
              <w:jc w:val="center"/>
              <w:spacing w:after="0"/>
              <w:rPr>
                <w:sz w:val="20"/>
                <w:szCs w:val="20"/>
                <w:color w:val="auto"/>
              </w:rPr>
            </w:pPr>
            <w:r>
              <w:rPr>
                <w:rFonts w:ascii="Arial" w:cs="Arial" w:eastAsia="Arial" w:hAnsi="Arial"/>
                <w:sz w:val="16"/>
                <w:szCs w:val="16"/>
                <w:color w:val="333333"/>
                <w:w w:val="91"/>
              </w:rPr>
              <w:t>November 2017</w:t>
            </w:r>
          </w:p>
        </w:tc>
        <w:tc>
          <w:tcPr>
            <w:tcW w:w="0" w:type="dxa"/>
            <w:vAlign w:val="bottom"/>
          </w:tcPr>
          <w:p>
            <w:pPr>
              <w:spacing w:after="0"/>
              <w:rPr>
                <w:sz w:val="1"/>
                <w:szCs w:val="1"/>
                <w:color w:val="auto"/>
              </w:rPr>
            </w:pPr>
          </w:p>
        </w:tc>
      </w:tr>
      <w:tr>
        <w:trPr>
          <w:trHeight w:val="253"/>
        </w:trPr>
        <w:tc>
          <w:tcPr>
            <w:tcW w:w="3900" w:type="dxa"/>
            <w:vAlign w:val="bottom"/>
            <w:tcBorders>
              <w:left w:val="single" w:sz="8" w:color="C0C0C0"/>
            </w:tcBorders>
            <w:vMerge w:val="restart"/>
            <w:shd w:val="clear" w:color="auto" w:fill="E8E8E8"/>
          </w:tcPr>
          <w:p>
            <w:pPr>
              <w:jc w:val="center"/>
              <w:spacing w:after="0"/>
              <w:rPr>
                <w:sz w:val="20"/>
                <w:szCs w:val="20"/>
                <w:color w:val="auto"/>
              </w:rPr>
            </w:pPr>
            <w:r>
              <w:rPr>
                <w:rFonts w:ascii="Arial" w:cs="Arial" w:eastAsia="Arial" w:hAnsi="Arial"/>
                <w:sz w:val="16"/>
                <w:szCs w:val="16"/>
                <w:b w:val="1"/>
                <w:bCs w:val="1"/>
                <w:color w:val="333333"/>
                <w:w w:val="98"/>
              </w:rPr>
              <w:t>ANB019 (Anti-IL-36R)</w:t>
            </w:r>
          </w:p>
        </w:tc>
        <w:tc>
          <w:tcPr>
            <w:tcW w:w="3760" w:type="dxa"/>
            <w:vAlign w:val="bottom"/>
            <w:shd w:val="clear" w:color="auto" w:fill="E8E8E8"/>
          </w:tcPr>
          <w:p>
            <w:pPr>
              <w:jc w:val="center"/>
              <w:spacing w:after="0"/>
              <w:rPr>
                <w:sz w:val="20"/>
                <w:szCs w:val="20"/>
                <w:color w:val="auto"/>
              </w:rPr>
            </w:pPr>
            <w:r>
              <w:rPr>
                <w:rFonts w:ascii="Arial" w:cs="Arial" w:eastAsia="Arial" w:hAnsi="Arial"/>
                <w:sz w:val="16"/>
                <w:szCs w:val="16"/>
                <w:color w:val="333333"/>
                <w:w w:val="88"/>
              </w:rPr>
              <w:t>GPP</w:t>
            </w:r>
          </w:p>
        </w:tc>
        <w:tc>
          <w:tcPr>
            <w:tcW w:w="3780" w:type="dxa"/>
            <w:vAlign w:val="bottom"/>
            <w:tcBorders>
              <w:right w:val="single" w:sz="8" w:color="C0C0C0"/>
            </w:tcBorders>
            <w:vMerge w:val="restart"/>
            <w:shd w:val="clear" w:color="auto" w:fill="E8E8E8"/>
          </w:tcPr>
          <w:p>
            <w:pPr>
              <w:jc w:val="center"/>
              <w:spacing w:after="0"/>
              <w:rPr>
                <w:sz w:val="20"/>
                <w:szCs w:val="20"/>
                <w:color w:val="auto"/>
              </w:rPr>
            </w:pPr>
            <w:r>
              <w:rPr>
                <w:rFonts w:ascii="Arial" w:cs="Arial" w:eastAsia="Arial" w:hAnsi="Arial"/>
                <w:sz w:val="16"/>
                <w:szCs w:val="16"/>
                <w:color w:val="333333"/>
                <w:w w:val="89"/>
              </w:rPr>
              <w:t>2018</w:t>
            </w:r>
          </w:p>
        </w:tc>
        <w:tc>
          <w:tcPr>
            <w:tcW w:w="0" w:type="dxa"/>
            <w:vAlign w:val="bottom"/>
          </w:tcPr>
          <w:p>
            <w:pPr>
              <w:spacing w:after="0"/>
              <w:rPr>
                <w:sz w:val="1"/>
                <w:szCs w:val="1"/>
                <w:color w:val="auto"/>
              </w:rPr>
            </w:pPr>
          </w:p>
        </w:tc>
      </w:tr>
      <w:tr>
        <w:trPr>
          <w:trHeight w:val="98"/>
        </w:trPr>
        <w:tc>
          <w:tcPr>
            <w:tcW w:w="3900" w:type="dxa"/>
            <w:vAlign w:val="bottom"/>
            <w:tcBorders>
              <w:left w:val="single" w:sz="8" w:color="C0C0C0"/>
            </w:tcBorders>
            <w:vMerge w:val="continue"/>
            <w:shd w:val="clear" w:color="auto" w:fill="E8E8E8"/>
          </w:tcPr>
          <w:p>
            <w:pPr>
              <w:spacing w:after="0"/>
              <w:rPr>
                <w:sz w:val="8"/>
                <w:szCs w:val="8"/>
                <w:color w:val="auto"/>
              </w:rPr>
            </w:pPr>
          </w:p>
        </w:tc>
        <w:tc>
          <w:tcPr>
            <w:tcW w:w="3760" w:type="dxa"/>
            <w:vAlign w:val="bottom"/>
            <w:vMerge w:val="restart"/>
            <w:shd w:val="clear" w:color="auto" w:fill="E8E8E8"/>
          </w:tcPr>
          <w:p>
            <w:pPr>
              <w:jc w:val="center"/>
              <w:spacing w:after="0"/>
              <w:rPr>
                <w:sz w:val="20"/>
                <w:szCs w:val="20"/>
                <w:color w:val="auto"/>
              </w:rPr>
            </w:pPr>
            <w:r>
              <w:rPr>
                <w:rFonts w:ascii="Arial" w:cs="Arial" w:eastAsia="Arial" w:hAnsi="Arial"/>
                <w:sz w:val="16"/>
                <w:szCs w:val="16"/>
                <w:color w:val="333333"/>
                <w:w w:val="91"/>
              </w:rPr>
              <w:t>Phase 2 Initiation</w:t>
            </w:r>
          </w:p>
        </w:tc>
        <w:tc>
          <w:tcPr>
            <w:tcW w:w="3780" w:type="dxa"/>
            <w:vAlign w:val="bottom"/>
            <w:tcBorders>
              <w:right w:val="single" w:sz="8" w:color="C0C0C0"/>
            </w:tcBorders>
            <w:vMerge w:val="continue"/>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00" w:type="dxa"/>
            <w:vAlign w:val="bottom"/>
            <w:tcBorders>
              <w:left w:val="single" w:sz="8" w:color="C0C0C0"/>
            </w:tcBorders>
            <w:shd w:val="clear" w:color="auto" w:fill="E8E8E8"/>
          </w:tcPr>
          <w:p>
            <w:pPr>
              <w:spacing w:after="0"/>
              <w:rPr>
                <w:sz w:val="9"/>
                <w:szCs w:val="9"/>
                <w:color w:val="auto"/>
              </w:rPr>
            </w:pPr>
          </w:p>
        </w:tc>
        <w:tc>
          <w:tcPr>
            <w:tcW w:w="3760" w:type="dxa"/>
            <w:vAlign w:val="bottom"/>
            <w:vMerge w:val="continue"/>
            <w:shd w:val="clear" w:color="auto" w:fill="E8E8E8"/>
          </w:tcPr>
          <w:p>
            <w:pPr>
              <w:spacing w:after="0"/>
              <w:rPr>
                <w:sz w:val="9"/>
                <w:szCs w:val="9"/>
                <w:color w:val="auto"/>
              </w:rPr>
            </w:pPr>
          </w:p>
        </w:tc>
        <w:tc>
          <w:tcPr>
            <w:tcW w:w="3780" w:type="dxa"/>
            <w:vAlign w:val="bottom"/>
            <w:tcBorders>
              <w:right w:val="single" w:sz="8" w:color="C0C0C0"/>
            </w:tcBorders>
            <w:shd w:val="clear" w:color="auto" w:fill="E8E8E8"/>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900" w:type="dxa"/>
            <w:vAlign w:val="bottom"/>
            <w:tcBorders>
              <w:left w:val="single" w:sz="8" w:color="C0C0C0"/>
            </w:tcBorders>
            <w:shd w:val="clear" w:color="auto" w:fill="E8E8E8"/>
          </w:tcPr>
          <w:p>
            <w:pPr>
              <w:spacing w:after="0"/>
              <w:rPr>
                <w:sz w:val="21"/>
                <w:szCs w:val="21"/>
                <w:color w:val="auto"/>
              </w:rPr>
            </w:pPr>
          </w:p>
        </w:tc>
        <w:tc>
          <w:tcPr>
            <w:tcW w:w="3760" w:type="dxa"/>
            <w:vAlign w:val="bottom"/>
            <w:shd w:val="clear" w:color="auto" w:fill="E8E8E8"/>
          </w:tcPr>
          <w:p>
            <w:pPr>
              <w:jc w:val="center"/>
              <w:spacing w:after="0"/>
              <w:rPr>
                <w:sz w:val="20"/>
                <w:szCs w:val="20"/>
                <w:color w:val="auto"/>
              </w:rPr>
            </w:pPr>
            <w:r>
              <w:rPr>
                <w:rFonts w:ascii="Arial" w:cs="Arial" w:eastAsia="Arial" w:hAnsi="Arial"/>
                <w:sz w:val="16"/>
                <w:szCs w:val="16"/>
                <w:color w:val="333333"/>
                <w:w w:val="87"/>
              </w:rPr>
              <w:t>PPP</w:t>
            </w:r>
          </w:p>
        </w:tc>
        <w:tc>
          <w:tcPr>
            <w:tcW w:w="3780" w:type="dxa"/>
            <w:vAlign w:val="bottom"/>
            <w:tcBorders>
              <w:right w:val="single" w:sz="8" w:color="C0C0C0"/>
            </w:tcBorders>
            <w:vMerge w:val="restart"/>
            <w:shd w:val="clear" w:color="auto" w:fill="E8E8E8"/>
          </w:tcPr>
          <w:p>
            <w:pPr>
              <w:jc w:val="center"/>
              <w:spacing w:after="0"/>
              <w:rPr>
                <w:sz w:val="20"/>
                <w:szCs w:val="20"/>
                <w:color w:val="auto"/>
              </w:rPr>
            </w:pPr>
            <w:r>
              <w:rPr>
                <w:rFonts w:ascii="Arial" w:cs="Arial" w:eastAsia="Arial" w:hAnsi="Arial"/>
                <w:sz w:val="16"/>
                <w:szCs w:val="16"/>
                <w:color w:val="333333"/>
                <w:w w:val="89"/>
              </w:rPr>
              <w:t>2018</w:t>
            </w:r>
          </w:p>
        </w:tc>
        <w:tc>
          <w:tcPr>
            <w:tcW w:w="0" w:type="dxa"/>
            <w:vAlign w:val="bottom"/>
          </w:tcPr>
          <w:p>
            <w:pPr>
              <w:spacing w:after="0"/>
              <w:rPr>
                <w:sz w:val="1"/>
                <w:szCs w:val="1"/>
                <w:color w:val="auto"/>
              </w:rPr>
            </w:pPr>
          </w:p>
        </w:tc>
      </w:tr>
      <w:tr>
        <w:trPr>
          <w:trHeight w:val="98"/>
        </w:trPr>
        <w:tc>
          <w:tcPr>
            <w:tcW w:w="3900" w:type="dxa"/>
            <w:vAlign w:val="bottom"/>
            <w:tcBorders>
              <w:left w:val="single" w:sz="8" w:color="C0C0C0"/>
            </w:tcBorders>
            <w:shd w:val="clear" w:color="auto" w:fill="E8E8E8"/>
          </w:tcPr>
          <w:p>
            <w:pPr>
              <w:spacing w:after="0"/>
              <w:rPr>
                <w:sz w:val="8"/>
                <w:szCs w:val="8"/>
                <w:color w:val="auto"/>
              </w:rPr>
            </w:pPr>
          </w:p>
        </w:tc>
        <w:tc>
          <w:tcPr>
            <w:tcW w:w="3760" w:type="dxa"/>
            <w:vAlign w:val="bottom"/>
            <w:vMerge w:val="restart"/>
            <w:shd w:val="clear" w:color="auto" w:fill="E8E8E8"/>
          </w:tcPr>
          <w:p>
            <w:pPr>
              <w:jc w:val="center"/>
              <w:spacing w:after="0"/>
              <w:rPr>
                <w:sz w:val="20"/>
                <w:szCs w:val="20"/>
                <w:color w:val="auto"/>
              </w:rPr>
            </w:pPr>
            <w:r>
              <w:rPr>
                <w:rFonts w:ascii="Arial" w:cs="Arial" w:eastAsia="Arial" w:hAnsi="Arial"/>
                <w:sz w:val="16"/>
                <w:szCs w:val="16"/>
                <w:color w:val="333333"/>
                <w:w w:val="91"/>
              </w:rPr>
              <w:t>Phase 2 Initiation</w:t>
            </w:r>
          </w:p>
        </w:tc>
        <w:tc>
          <w:tcPr>
            <w:tcW w:w="3780" w:type="dxa"/>
            <w:vAlign w:val="bottom"/>
            <w:tcBorders>
              <w:right w:val="single" w:sz="8" w:color="C0C0C0"/>
            </w:tcBorders>
            <w:vMerge w:val="continue"/>
            <w:shd w:val="clear" w:color="auto" w:fill="E8E8E8"/>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900" w:type="dxa"/>
            <w:vAlign w:val="bottom"/>
            <w:tcBorders>
              <w:left w:val="single" w:sz="8" w:color="C0C0C0"/>
              <w:bottom w:val="single" w:sz="8" w:color="E8E8E8"/>
            </w:tcBorders>
            <w:shd w:val="clear" w:color="auto" w:fill="E8E8E8"/>
          </w:tcPr>
          <w:p>
            <w:pPr>
              <w:spacing w:after="0"/>
              <w:rPr>
                <w:sz w:val="10"/>
                <w:szCs w:val="10"/>
                <w:color w:val="auto"/>
              </w:rPr>
            </w:pPr>
          </w:p>
        </w:tc>
        <w:tc>
          <w:tcPr>
            <w:tcW w:w="3760" w:type="dxa"/>
            <w:vAlign w:val="bottom"/>
            <w:tcBorders>
              <w:bottom w:val="single" w:sz="8" w:color="E8E8E8"/>
            </w:tcBorders>
            <w:vMerge w:val="continue"/>
            <w:shd w:val="clear" w:color="auto" w:fill="E8E8E8"/>
          </w:tcPr>
          <w:p>
            <w:pPr>
              <w:spacing w:after="0"/>
              <w:rPr>
                <w:sz w:val="10"/>
                <w:szCs w:val="10"/>
                <w:color w:val="auto"/>
              </w:rPr>
            </w:pPr>
          </w:p>
        </w:tc>
        <w:tc>
          <w:tcPr>
            <w:tcW w:w="3780" w:type="dxa"/>
            <w:vAlign w:val="bottom"/>
            <w:tcBorders>
              <w:bottom w:val="single" w:sz="8" w:color="E8E8E8"/>
              <w:right w:val="single" w:sz="8" w:color="C0C0C0"/>
            </w:tcBorders>
            <w:shd w:val="clear" w:color="auto" w:fill="E8E8E8"/>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900" w:type="dxa"/>
            <w:vAlign w:val="bottom"/>
            <w:tcBorders>
              <w:left w:val="single" w:sz="8" w:color="C0C0C0"/>
            </w:tcBorders>
            <w:shd w:val="clear" w:color="auto" w:fill="C0C0C0"/>
          </w:tcPr>
          <w:p>
            <w:pPr>
              <w:spacing w:after="0"/>
              <w:rPr>
                <w:sz w:val="2"/>
                <w:szCs w:val="2"/>
                <w:color w:val="auto"/>
              </w:rPr>
            </w:pPr>
          </w:p>
        </w:tc>
        <w:tc>
          <w:tcPr>
            <w:tcW w:w="3760" w:type="dxa"/>
            <w:vAlign w:val="bottom"/>
            <w:shd w:val="clear" w:color="auto" w:fill="C0C0C0"/>
          </w:tcPr>
          <w:p>
            <w:pPr>
              <w:spacing w:after="0"/>
              <w:rPr>
                <w:sz w:val="2"/>
                <w:szCs w:val="2"/>
                <w:color w:val="auto"/>
              </w:rPr>
            </w:pPr>
          </w:p>
        </w:tc>
        <w:tc>
          <w:tcPr>
            <w:tcW w:w="3780" w:type="dxa"/>
            <w:vAlign w:val="bottom"/>
            <w:tcBorders>
              <w:right w:val="single" w:sz="8" w:color="C0C0C0"/>
            </w:tcBorders>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Anti-IL-33 Antibody</w:t>
      </w:r>
    </w:p>
    <w:p>
      <w:pPr>
        <w:spacing w:after="0" w:line="12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 xml:space="preserve">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have completed a Phase 1 trial of ANB020 in healthy volunteers in Australia under an approved CTN, completed a Phase 2a clinical trial of ANB020 in moderate-to-severe atopic dermatitis under an approved UK CTA, completed enrollment of a Phase 2a clinical trial of ANB020 in severe peanut allergy patients under an approved US IND and </w:t>
      </w:r>
      <w:r>
        <w:rPr>
          <w:rFonts w:ascii="Arial" w:cs="Arial" w:eastAsia="Arial" w:hAnsi="Arial"/>
          <w:sz w:val="18"/>
          <w:szCs w:val="18"/>
          <w:color w:val="231F20"/>
        </w:rPr>
        <w:t>enrollment is ongoing for a Phase 2a trial of ANB020 in</w:t>
      </w:r>
      <w:r>
        <w:rPr>
          <w:rFonts w:ascii="Arial" w:cs="Arial" w:eastAsia="Arial" w:hAnsi="Arial"/>
          <w:sz w:val="18"/>
          <w:szCs w:val="18"/>
          <w:color w:val="auto"/>
        </w:rPr>
        <w:t xml:space="preserve"> </w:t>
      </w:r>
      <w:r>
        <w:rPr>
          <w:rFonts w:ascii="Arial" w:cs="Arial" w:eastAsia="Arial" w:hAnsi="Arial"/>
          <w:sz w:val="18"/>
          <w:szCs w:val="18"/>
          <w:color w:val="231F20"/>
        </w:rPr>
        <w:t>severe adult eosinophilic asthma patients</w:t>
      </w:r>
      <w:r>
        <w:rPr>
          <w:rFonts w:ascii="Arial" w:cs="Arial" w:eastAsia="Arial" w:hAnsi="Arial"/>
          <w:sz w:val="18"/>
          <w:szCs w:val="18"/>
          <w:color w:val="000000"/>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IL-33 Target Biology</w:t>
      </w:r>
    </w:p>
    <w:p>
      <w:pPr>
        <w:spacing w:after="0" w:line="12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right="500" w:firstLine="567"/>
        <w:spacing w:after="0" w:line="342" w:lineRule="auto"/>
        <w:rPr>
          <w:sz w:val="20"/>
          <w:szCs w:val="20"/>
          <w:color w:val="auto"/>
        </w:rPr>
      </w:pPr>
      <w:r>
        <w:rPr>
          <w:rFonts w:ascii="Arial" w:cs="Arial" w:eastAsia="Arial" w:hAnsi="Arial"/>
          <w:sz w:val="16"/>
          <w:szCs w:val="16"/>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124"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The role of IL-33 in peanut allergy is supported by translational research data, generated under our scientific collaboration with the Benaroya Research Institute at Virginia Mason (BRI), which was presented at the AAAAI’s 2017 Annual Meeting on March 4th. This study assessed the biology of a distinct subset of T cells, called TH2A cells, which are found in elevated frequency in peanut allergic patients when compared to non-allergic individuals. TH2A cells isolated from peanut allergy patients demonstrated increased sensitivity to IL-33 signaling as a result of elevated expression of the IL-33 receptor. Data showed that, upon stimulus with IL-33, TH2A cells express significantly greater levels of effector cytokines IL-4, IL-5, and IL-13, which are believed to be associated with severe peanut allergy. The research concluded that IL-33 is a key checkpoint of allergic responses, and blocking IL-33 has the potential to reduce expression of the effector cytokines involved in</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904" w:right="219" w:bottom="1440" w:gutter="0" w:footer="0" w:header="0"/>
        </w:sectPr>
      </w:pPr>
    </w:p>
    <w:bookmarkStart w:id="7" w:name="page8"/>
    <w:bookmarkEnd w:id="7"/>
    <w:p>
      <w:pPr>
        <w:ind w:right="540"/>
        <w:spacing w:after="0" w:line="277" w:lineRule="auto"/>
        <w:rPr>
          <w:sz w:val="20"/>
          <w:szCs w:val="20"/>
          <w:color w:val="auto"/>
        </w:rPr>
      </w:pPr>
      <w:r>
        <w:rPr>
          <w:rFonts w:ascii="Arial" w:cs="Arial" w:eastAsia="Arial" w:hAnsi="Arial"/>
          <w:sz w:val="18"/>
          <w:szCs w:val="18"/>
          <w:color w:val="auto"/>
        </w:rPr>
        <w:t>severe peanut allergy. These findings provide further scientific support for the development of AnaptysBio’s proprietary anti-IL-33 antibody, known as ANB020, for the treatment of severe adult peanut allergy.</w:t>
      </w:r>
    </w:p>
    <w:p>
      <w:pPr>
        <w:spacing w:after="0" w:line="170"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Certain studies also demonstrate that mutation that increase IL-33 mediated signaling increase incidence of asthma and atopic dermatitis. This supports the hypothesis that an anti-IL-33 antibody, such as ANB020, has the potential to benefit asthma patients.</w:t>
      </w:r>
    </w:p>
    <w:p>
      <w:pPr>
        <w:spacing w:after="0" w:line="187"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(ii) anti-ST2 antibodies are likely to be internalized in vivo, which will likely require frequent dosing and (iii) soluble ST2 inhibits IL-33 function, therefore blocking ST2, and likely leading to the release of additional IL-33, thereby exacerbating atopic disease.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Description</w:t>
      </w:r>
    </w:p>
    <w:p>
      <w:pPr>
        <w:spacing w:after="0" w:line="12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 xml:space="preserve">ANB020, which is a potential first-in-class therapeutic antibody, is our wholly-owned anti-IL-33 antibody product candidate generated using our SHM technology platform. 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KD, and half-maximal inhibitory concentration values, or IC50. ANB020 demonstrated highly potent KD values of approximately 1 pM and 37 pM for human and cynomolgus monkey IL-33, respectively. ANB020 inhibits secretion of IL-5 from primary basophils purified from peripheral blood of healthy human subjects with an IC50 of approximately 1.5 nM, which is approximately 15-fold greater than that of the soluble ST2 antagonist. Lower KD and IC50 values indicate higher potency and functional activity, respectively.</w:t>
      </w:r>
    </w:p>
    <w:p>
      <w:pPr>
        <w:spacing w:after="0" w:line="178" w:lineRule="exact"/>
        <w:rPr>
          <w:sz w:val="20"/>
          <w:szCs w:val="20"/>
          <w:color w:val="auto"/>
        </w:rPr>
      </w:pPr>
    </w:p>
    <w:p>
      <w:pPr>
        <w:jc w:val="both"/>
        <w:ind w:right="120" w:firstLine="567"/>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IC50 of approximately 1.1 nM and approximately 20.4 nM, respectively. We have developed a whole blood version of the PBMC assay, which we used in our Phase 1 trial to understand the pharmacodynamic activity of ANB020 in clinical trials.</w:t>
      </w:r>
    </w:p>
    <w:p>
      <w:pPr>
        <w:spacing w:after="0" w:line="181"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 proved to be fully active in cynomolgus monkey sera two weeks after dosing. We have conducted preclinical toxicology studies under good laboratory practices, or GLPs, for ANB020. In addition, we have conducted manufacturing under good manufacturing practice to produce ANB020 in quantities for initial clinical use.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right="100" w:firstLine="567"/>
        <w:spacing w:after="0" w:line="287" w:lineRule="auto"/>
        <w:rPr>
          <w:sz w:val="20"/>
          <w:szCs w:val="20"/>
          <w:color w:val="auto"/>
        </w:rPr>
      </w:pPr>
      <w:r>
        <w:rPr>
          <w:rFonts w:ascii="Arial" w:cs="Arial" w:eastAsia="Arial" w:hAnsi="Arial"/>
          <w:sz w:val="16"/>
          <w:szCs w:val="16"/>
          <w:color w:val="auto"/>
        </w:rPr>
        <w:t>We have completed a Phase 1 trial of ANB020 in healthy volunteers in Australia under an approved CTN. Our Phase 1 trial assessed,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have also been completed. In the double-blind, placebo- controlled Phase 1 trial, 96 healthy volunteer subjects were dosed with either a single subcutaneous or intravenous dose of ANB020 ranging between 10 mg and 750 mg, or four multiple doses of ANB020 ranging between 40 mg and 300 mg over a period of four consecutive weeks. In the SAD portion of our Phase 1 clinical trial of ANB020, 51 subjects (80%) experienced at least one treatment-emergent adverse events (AE) however the occurrence of AEs was similar between ANB020 (38 of 48; 79%) versus placebo (13 of 16, 81%) dosed individuals, and the most common AEs were upper respiratory tract infection (ANB020 48% vs. placebo 50%) and headache (ANB020 27% vs. placebo 31%). The only serious adverse event reported in the SAD portion of the trial was severe neutropenia 22 days post single dose of intravenous 750 mg ANB020 in a single subject. Neutrophil levels in this subject returned to normal by 29 days post-dose and this event was preceded by prodromal viral symptoms consistent with an on-going viral infection. In the MAD portion of the Phase 1 clinical trial of ANB020, 24 subjects (75%) experienced an AE, however there was no difference in the percentage of AEs observed amongst subjects dosed with ANB020 (18 of 24, 75%) versus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8" w:name="page9"/>
    <w:bookmarkEnd w:id="8"/>
    <w:p>
      <w:pPr>
        <w:ind w:right="20"/>
        <w:spacing w:after="0" w:line="285" w:lineRule="auto"/>
        <w:rPr>
          <w:sz w:val="20"/>
          <w:szCs w:val="20"/>
          <w:color w:val="auto"/>
        </w:rPr>
      </w:pPr>
      <w:r>
        <w:rPr>
          <w:rFonts w:ascii="Arial" w:cs="Arial" w:eastAsia="Arial" w:hAnsi="Arial"/>
          <w:sz w:val="16"/>
          <w:szCs w:val="16"/>
          <w:color w:val="auto"/>
        </w:rPr>
        <w:t xml:space="preserve">placebo (6 of 8, 75%), and the most common AEs were upper respiratory tract infections (ANB020 21% versus placebo 38%) and headache (ANB020 33% versus placebo 38%). No severe adverse events were reported in the MAD portion of the clinical trial. None of these adverse events were determined to be drug-related and no dose-limiting toxicities were observed at any dose level. We concurrently evaluated the pharmacodynamics of ANB020 in the SAD portion of the Phase 1 study using a whole blood ex-vivo assay upon stimulation with IL-33/IL-12, where ANB020 inhibition of IFN-gamma release was measured. Persistent and nearly complete inhibition was observed at 1032 hours (day 43) post-dosing for all SAD cohorts dosed with 40 mg ANB020 or greater, regardless of whether such dose was through a subcutaneous or intravenous route of administration. In the 300 mg and 750 mg IV dosed cohorts of the SAD portion of the study, the pharmacodynamic assay was also performed at 2040 hours (day 85) post-dosing, and nearly complete IFN-gamma inhibition was observed through this time point. Pharmacokinetic testing indicated that the terminal half-life of ANB020 among the SAD cohorts was approximately 372 hours (15–16 days) with comparable values across all doses and regardless of intravenous or subcutaneous route of administration. Anti-drug antibodies were detected at only low titer levels, and were observed in 5 of 48 ANB020 dosed subjects in the SAD cohorts and 2 of 24 ANB020 dosed subjects in the MAD cohorts, and no effect was observed on pharmacokinetic parameters in any of the subjects with anti-drug antibody titers. All safety information generated under the single-ascending dose segment of our Phase 1 clinical trial was included in the US IND and UK CTA submissions which have been subsequent cleared. There were no adverse events that were determined to be drug-related, and no dose-limiting toxicities were observed at any dose level. We have concurrently utilized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to evaluate pharmacodynamics, and we believe the results of this assay suggest that the pharmacodynamic activity of ANB020 can, at certain dose levels, extend to three months subsequent to a single administration. We have disclosed detailed data from this Phase 1 trial at the AAD and AAAAI conferences in early March 2017.</w:t>
      </w:r>
    </w:p>
    <w:p>
      <w:pPr>
        <w:spacing w:after="0" w:line="178" w:lineRule="exact"/>
        <w:rPr>
          <w:sz w:val="20"/>
          <w:szCs w:val="20"/>
          <w:color w:val="auto"/>
        </w:rPr>
      </w:pPr>
    </w:p>
    <w:p>
      <w:pPr>
        <w:jc w:val="both"/>
        <w:ind w:right="140" w:firstLine="554"/>
        <w:spacing w:after="0" w:line="264" w:lineRule="auto"/>
        <w:rPr>
          <w:sz w:val="20"/>
          <w:szCs w:val="20"/>
          <w:color w:val="auto"/>
        </w:rPr>
      </w:pPr>
      <w:r>
        <w:rPr>
          <w:rFonts w:ascii="Arial" w:cs="Arial" w:eastAsia="Arial" w:hAnsi="Arial"/>
          <w:sz w:val="18"/>
          <w:szCs w:val="18"/>
          <w:color w:val="auto"/>
        </w:rPr>
        <w:t>We have subsequently completed a Phase 2a trial of ANB020 in 12 moderate-to-severe adult atopic dermatitis patients, under an approved CTA with the MHRA, announced top-line data from an interim analysis of this trial in October 2017 and presented data upon completion of this trial at the 2018 AAD Annual Meeting on February 17, 2018.</w:t>
      </w:r>
    </w:p>
    <w:p>
      <w:pPr>
        <w:spacing w:after="0" w:line="181" w:lineRule="exact"/>
        <w:rPr>
          <w:sz w:val="20"/>
          <w:szCs w:val="20"/>
          <w:color w:val="auto"/>
        </w:rPr>
      </w:pPr>
    </w:p>
    <w:p>
      <w:pPr>
        <w:ind w:firstLine="554"/>
        <w:spacing w:after="0" w:line="270" w:lineRule="auto"/>
        <w:rPr>
          <w:sz w:val="20"/>
          <w:szCs w:val="20"/>
          <w:color w:val="auto"/>
        </w:rPr>
      </w:pPr>
      <w:r>
        <w:rPr>
          <w:rFonts w:ascii="Arial" w:cs="Arial" w:eastAsia="Arial" w:hAnsi="Arial"/>
          <w:sz w:val="17"/>
          <w:szCs w:val="17"/>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EASI score, a tool used to measure the extent and severity of atopic dermatitis, at key time points following ANB020 administration relative to their enrollment baseline. The average baseline EASI score at enrollment amongst all 12 patients was 32. Other efficacy endpoints measured during the trial included the 5-D pruritus scale which measures itchiness, the 5-point IGA scale, the DLQI and the SCORAD scale. Exploratory mechanistic biomarkers included granulocyte infiltration and cytokine levels in localized skin lesions measured five days after placebo administration and five days after ANB020 administration.</w:t>
      </w:r>
    </w:p>
    <w:p>
      <w:pPr>
        <w:spacing w:after="0" w:line="182" w:lineRule="exact"/>
        <w:rPr>
          <w:sz w:val="20"/>
          <w:szCs w:val="20"/>
          <w:color w:val="auto"/>
        </w:rPr>
      </w:pPr>
    </w:p>
    <w:p>
      <w:pPr>
        <w:ind w:firstLine="554"/>
        <w:spacing w:after="0" w:line="283" w:lineRule="auto"/>
        <w:rPr>
          <w:sz w:val="20"/>
          <w:szCs w:val="20"/>
          <w:color w:val="auto"/>
        </w:rPr>
      </w:pPr>
      <w:r>
        <w:rPr>
          <w:rFonts w:ascii="Arial" w:cs="Arial" w:eastAsia="Arial" w:hAnsi="Arial"/>
          <w:sz w:val="16"/>
          <w:szCs w:val="16"/>
          <w:color w:val="auto"/>
        </w:rPr>
        <w:t>Trial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 reached EASI-50 and pruritus was reduced by 28%, which was sustained until Day 57 when 75% of patients achieved EASI-50; pruritus was reduced by 21% at Day 57. All 12 patients achieved EASI-50 on or before Day 57 post-ANB020 administration. Efficacy was sustained in some patients by Day 140 post-ANB020 administration where 42% of patients achieved EASI-50. ANB020 efficacy was not limited by disease severity as ANB020 had similar EASI score improvement in the 7 of 12 enrolled patients treated with systemic immuno-modulators pre-study, which exhibited an average EASI baseline score of 36 upon enrollment, relative to the remaining 5 of 12 enrolled patients that did not require systemic immuno-modulators pre-study, which exhibited an average EASI baseline score of 27. Twenty five percent of patients enrolled in this study achieved an IGA score of 0 or 1, indicating clear or almost clear skin, subsequent to a single ANB020 administration. Average DLQI score was maximized at 55% on Day 78 following ANB020 dosing and sustained to 43% at Day 140 relative to baseline. SCORAD efficacy was maximized at 40% at Day 29 following ANB020 dosing and sustained to 32% at Day 140 relative to baseline. Exploratory biomarker assessment indicated reduction of granulocyte infiltration into localized skin lesions by an average of</w:t>
      </w:r>
    </w:p>
    <w:p>
      <w:pPr>
        <w:spacing w:after="0" w:line="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30% amongst all patients and 60% among the 10 patients achieving EASI-50 at 29 days post-ANB020 administration, while exploratory cytokine biomarker levels were below detection limit and therefore inconclusive. ANB020 was generally well-tolerated by all patients and no drug-related safety signals were observed. The most frequent adverse events reported were dizziness in 17% of patients post-placebo and headache in 25% of patients post-ANB020 administration, while one serious adverse event of severe depression was reported by a single patient on Day 140 post-ANB020, which was deemed not drug related since the patient had a 10 year pre-trial history of severe depression. This trial was completed in December 2017 including patient follow-up through 140 days post-ANB020 dosing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9" w:name="page10"/>
    <w:bookmarkEnd w:id="9"/>
    <w:p>
      <w:pPr>
        <w:ind w:right="40" w:firstLine="554"/>
        <w:spacing w:after="0" w:line="279" w:lineRule="auto"/>
        <w:rPr>
          <w:sz w:val="20"/>
          <w:szCs w:val="20"/>
          <w:color w:val="auto"/>
        </w:rPr>
      </w:pPr>
      <w:r>
        <w:rPr>
          <w:rFonts w:ascii="Arial" w:cs="Arial" w:eastAsia="Arial" w:hAnsi="Arial"/>
          <w:sz w:val="17"/>
          <w:szCs w:val="17"/>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different dose levels and dosing frequencies of subcutaneous administration of ANB020, with data expected in 2019.</w:t>
      </w:r>
    </w:p>
    <w:p>
      <w:pPr>
        <w:spacing w:after="0" w:line="171" w:lineRule="exact"/>
        <w:rPr>
          <w:sz w:val="20"/>
          <w:szCs w:val="20"/>
          <w:color w:val="auto"/>
        </w:rPr>
      </w:pPr>
    </w:p>
    <w:p>
      <w:pPr>
        <w:ind w:right="160" w:firstLine="554"/>
        <w:spacing w:after="0" w:line="257" w:lineRule="auto"/>
        <w:rPr>
          <w:sz w:val="20"/>
          <w:szCs w:val="20"/>
          <w:color w:val="auto"/>
        </w:rPr>
      </w:pPr>
      <w:r>
        <w:rPr>
          <w:rFonts w:ascii="Arial" w:cs="Arial" w:eastAsia="Arial" w:hAnsi="Arial"/>
          <w:sz w:val="18"/>
          <w:szCs w:val="18"/>
          <w:color w:val="auto"/>
        </w:rPr>
        <w:t>We have completed enrollment,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within one month before and within one month after a single dose of ANB020 or placebo. This trial randomizes severe adult peanut allergy patients, each of which have a history of anaphylaxis to accidental peanut exposure, to drug versus placebo on a 3 versus 1 ratio. Top-line data from this trial is expected in March 2018.</w:t>
      </w:r>
    </w:p>
    <w:p>
      <w:pPr>
        <w:spacing w:after="0" w:line="188" w:lineRule="exact"/>
        <w:rPr>
          <w:sz w:val="20"/>
          <w:szCs w:val="20"/>
          <w:color w:val="auto"/>
        </w:rPr>
      </w:pPr>
    </w:p>
    <w:p>
      <w:pPr>
        <w:ind w:right="340" w:firstLine="554"/>
        <w:spacing w:after="0" w:line="264" w:lineRule="auto"/>
        <w:rPr>
          <w:sz w:val="20"/>
          <w:szCs w:val="20"/>
          <w:color w:val="auto"/>
        </w:rPr>
      </w:pPr>
      <w:r>
        <w:rPr>
          <w:rFonts w:ascii="Arial" w:cs="Arial" w:eastAsia="Arial" w:hAnsi="Arial"/>
          <w:sz w:val="18"/>
          <w:szCs w:val="18"/>
          <w:color w:val="auto"/>
        </w:rPr>
        <w:t>We are enrolling,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Each of the aforementioned clinical trials are subject to regulatory review by the respective regulatory authority applicable to the jurisdiction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11"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 Market Opportunity</w:t>
      </w:r>
    </w:p>
    <w:p>
      <w:pPr>
        <w:spacing w:after="0" w:line="121" w:lineRule="exact"/>
        <w:rPr>
          <w:sz w:val="20"/>
          <w:szCs w:val="20"/>
          <w:color w:val="auto"/>
        </w:rPr>
      </w:pPr>
    </w:p>
    <w:p>
      <w:pPr>
        <w:ind w:right="100" w:firstLine="567"/>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Atopic dermatitis is a chronic inflammatory skin disease that affects approximately 1.4 million adults in the United States. Human</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have demonstrated that IL-33 is highly expressed in atopic dermatitis lesions and leads to the recruitment of downstream cytokines (IL-4, IL-5 and IL-</w:t>
      </w:r>
    </w:p>
    <w:p>
      <w:pPr>
        <w:ind w:right="820" w:firstLine="8"/>
        <w:spacing w:after="0" w:line="290" w:lineRule="auto"/>
        <w:tabs>
          <w:tab w:leader="none" w:pos="285" w:val="left"/>
        </w:tabs>
        <w:numPr>
          <w:ilvl w:val="0"/>
          <w:numId w:val="7"/>
        </w:numPr>
        <w:rPr>
          <w:rFonts w:ascii="Arial" w:cs="Arial" w:eastAsia="Arial" w:hAnsi="Arial"/>
          <w:sz w:val="17"/>
          <w:szCs w:val="17"/>
          <w:color w:val="auto"/>
        </w:rPr>
      </w:pPr>
      <w:r>
        <w:rPr>
          <w:rFonts w:ascii="Arial" w:cs="Arial" w:eastAsia="Arial" w:hAnsi="Arial"/>
          <w:sz w:val="17"/>
          <w:szCs w:val="17"/>
          <w:color w:val="auto"/>
        </w:rPr>
        <w:t>and eosinophils to the disease site in patients. By inhibiting IL-33 function in patients, we believe ANB020 will suppress the production of the aforementioned downstream cytokines and lead to therapeutic benefit in patients with moderate to severe adult atopic dermatitis.</w:t>
      </w:r>
    </w:p>
    <w:p>
      <w:pPr>
        <w:spacing w:after="0" w:line="162"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Current therapies for atopic dermatitis include the topical use of non-biologic small molecules and anti-IL-4/13 receptor antibody known as dupilumab (Dupixent®). Dupilumab has been approved for the treatment of adults with moderate-to-severe atopic dermatitis that is not well controlled with prescription topical therapies or for those who cannot use topical therapies. While dupilumab has shown some benefit in disease remission, it requires the administration of a substantial antibody dose (300 mg) every other week, which we believe may not be convenient for atopic dermatitis patients. In addition, a significant number of atopic dermatitis patients taking dupilumab have reported conjunctivitis as a drug-related side effect.</w:t>
      </w:r>
    </w:p>
    <w:p>
      <w:pPr>
        <w:spacing w:after="0" w:line="173" w:lineRule="exact"/>
        <w:rPr>
          <w:sz w:val="20"/>
          <w:szCs w:val="20"/>
          <w:color w:val="auto"/>
        </w:rPr>
      </w:pPr>
    </w:p>
    <w:p>
      <w:pPr>
        <w:ind w:right="300" w:firstLine="567"/>
        <w:spacing w:after="0" w:line="312" w:lineRule="auto"/>
        <w:rPr>
          <w:sz w:val="20"/>
          <w:szCs w:val="20"/>
          <w:color w:val="auto"/>
        </w:rPr>
      </w:pPr>
      <w:r>
        <w:rPr>
          <w:rFonts w:ascii="Arial" w:cs="Arial" w:eastAsia="Arial" w:hAnsi="Arial"/>
          <w:sz w:val="16"/>
          <w:szCs w:val="16"/>
          <w:color w:val="auto"/>
        </w:rPr>
        <w:t>Based upon public data analyses and discussions with physicians and key opinion leaders in the field, we believe approximately 280,000 atopic dermatitis patients in the United States are diagnosed with a moderate-to- severe form of this disease that significantly impairs their daily professional and social lifestyle. We estimate that 98,000 atopic dermatitis patients would be eligible for treatment with a systemic biologic therapy such as ANB020.</w:t>
      </w:r>
    </w:p>
    <w:p>
      <w:pPr>
        <w:spacing w:after="0" w:line="147" w:lineRule="exact"/>
        <w:rPr>
          <w:sz w:val="20"/>
          <w:szCs w:val="20"/>
          <w:color w:val="auto"/>
        </w:rPr>
      </w:pPr>
    </w:p>
    <w:p>
      <w:pPr>
        <w:ind w:right="380" w:firstLine="567"/>
        <w:spacing w:after="0" w:line="279" w:lineRule="auto"/>
        <w:rPr>
          <w:sz w:val="20"/>
          <w:szCs w:val="20"/>
          <w:color w:val="auto"/>
        </w:rPr>
      </w:pPr>
      <w:r>
        <w:rPr>
          <w:rFonts w:ascii="Arial" w:cs="Arial" w:eastAsia="Arial" w:hAnsi="Arial"/>
          <w:sz w:val="17"/>
          <w:szCs w:val="17"/>
          <w:i w:val="1"/>
          <w:iCs w:val="1"/>
          <w:color w:val="auto"/>
        </w:rPr>
        <w:t xml:space="preserve">Peanut Allergy. </w:t>
      </w:r>
      <w:r>
        <w:rPr>
          <w:rFonts w:ascii="Arial" w:cs="Arial" w:eastAsia="Arial" w:hAnsi="Arial"/>
          <w:sz w:val="17"/>
          <w:szCs w:val="17"/>
          <w:color w:val="auto"/>
        </w:rPr>
        <w:t>Peanuts are the most common cause of food-induced allergy in the United States. We estimate, based on our analysis of publicly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71" w:lineRule="exact"/>
        <w:rPr>
          <w:sz w:val="20"/>
          <w:szCs w:val="20"/>
          <w:color w:val="auto"/>
        </w:rPr>
      </w:pPr>
    </w:p>
    <w:p>
      <w:pPr>
        <w:ind w:right="420" w:firstLine="567"/>
        <w:spacing w:after="0" w:line="264" w:lineRule="auto"/>
        <w:rPr>
          <w:sz w:val="20"/>
          <w:szCs w:val="20"/>
          <w:color w:val="auto"/>
        </w:rPr>
      </w:pPr>
      <w:r>
        <w:rPr>
          <w:rFonts w:ascii="Arial" w:cs="Arial" w:eastAsia="Arial" w:hAnsi="Arial"/>
          <w:sz w:val="18"/>
          <w:szCs w:val="18"/>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quantities of peanut antigens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over time. If patients are able to overcome the toxicities of this allergen- 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 Immunotherapy approaches are generally not applicable for treatment of severe peanut allergy patients due to safety concerns.</w:t>
      </w:r>
    </w:p>
    <w:p>
      <w:pPr>
        <w:spacing w:after="0" w:line="187" w:lineRule="exact"/>
        <w:rPr>
          <w:sz w:val="20"/>
          <w:szCs w:val="20"/>
          <w:color w:val="auto"/>
        </w:rPr>
      </w:pPr>
    </w:p>
    <w:p>
      <w:pPr>
        <w:ind w:right="260" w:firstLine="567"/>
        <w:spacing w:after="0" w:line="312" w:lineRule="auto"/>
        <w:rPr>
          <w:sz w:val="20"/>
          <w:szCs w:val="20"/>
          <w:color w:val="auto"/>
        </w:rPr>
      </w:pPr>
      <w:r>
        <w:rPr>
          <w:rFonts w:ascii="Arial" w:cs="Arial" w:eastAsia="Arial" w:hAnsi="Arial"/>
          <w:sz w:val="16"/>
          <w:szCs w:val="16"/>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a prophylactic therapy for severe adult peanut allergy patients at risk of accidental peanut exposure.</w:t>
      </w:r>
    </w:p>
    <w:p>
      <w:pPr>
        <w:spacing w:after="0" w:line="147"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affects approximately 7.7% of the adult U.S. population, or 19.0 million individuals, of which 1.1 million individuals have severe disease that cannot be controlled by standard-of-care therapy.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Existing biologic therapies include Xolair, also known as omalizumab, which is approved for the treatment of moderate to severe persistent allergic asthma patients whose asthma symptoms are not controlled by ICS, carries a black box warning about the risk of anaphylaxis, a severe, potentially fatal, allergic reaction. and Nucala, also known as mepolizumab, which was approved for the add-on maintenance treatment in patients aged 12 years or older with severe eosinophilic asthma and Fasenra, also known as benralizumab, which has been approved for the add-on maintenance treatment of patients with severe asthma aged 12 years or older with an eosinophilic phenotype, and Cinqair, also known as reslizumab, approved for add-on maintenance treatment of patients with severe asthma aged 18 years and older with an eosinophilic asthma. Other emerging therapies currently in development, such as, benralizumab, dupilumab, MSTT1041A and GSK3772847, have yet to be approved by the FDA for treatment of asthma. We believe that ANB020 may have therapeutic benefit across a broad range of ICS-refractory severe adult eosinophilic asthma patients, and plan to differentiate ANB020’s therapeutic efficacy, dosing frequency and safety relative to competitors.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67"/>
        <w:spacing w:after="0" w:line="290" w:lineRule="auto"/>
        <w:rPr>
          <w:sz w:val="20"/>
          <w:szCs w:val="20"/>
          <w:color w:val="auto"/>
        </w:rPr>
      </w:pPr>
      <w:r>
        <w:rPr>
          <w:rFonts w:ascii="Arial" w:cs="Arial" w:eastAsia="Arial" w:hAnsi="Arial"/>
          <w:sz w:val="16"/>
          <w:szCs w:val="16"/>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 We have completed a Phase 1 trial of ANB019 in healthy volunteers in Australia under an approved CTN.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IL-36R Target Biology</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166"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immuno-deficient mice transplanted with human psoriatic skin have been shown to require the IL-36R signaling to maintain disease.</w:t>
      </w:r>
    </w:p>
    <w:p>
      <w:pPr>
        <w:spacing w:after="0" w:line="225"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Recent human studies have demonstrated that mutations in the IL-36RA can lead to the occurrence of GPP by dysregulating the IL-36R signaling pathway</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IL- 36RA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right="300" w:firstLine="567"/>
        <w:spacing w:after="0" w:line="277" w:lineRule="auto"/>
        <w:rPr>
          <w:sz w:val="20"/>
          <w:szCs w:val="20"/>
          <w:color w:val="auto"/>
        </w:rPr>
      </w:pPr>
      <w:r>
        <w:rPr>
          <w:rFonts w:ascii="Arial" w:cs="Arial" w:eastAsia="Arial" w:hAnsi="Arial"/>
          <w:sz w:val="18"/>
          <w:szCs w:val="18"/>
          <w:color w:val="auto"/>
        </w:rPr>
        <w:t>In addition, studies have demonstrated that humans with genetic mutations that downregulate IL-36 receptor activity are otherwise normal with no specific clinical phenotype.</w:t>
      </w:r>
    </w:p>
    <w:p>
      <w:pPr>
        <w:spacing w:after="0" w:line="170" w:lineRule="exact"/>
        <w:rPr>
          <w:sz w:val="20"/>
          <w:szCs w:val="20"/>
          <w:color w:val="auto"/>
        </w:rPr>
      </w:pPr>
    </w:p>
    <w:p>
      <w:pPr>
        <w:ind w:right="500" w:firstLine="567"/>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Description</w:t>
      </w:r>
    </w:p>
    <w:p>
      <w:pPr>
        <w:spacing w:after="0" w:line="121" w:lineRule="exact"/>
        <w:rPr>
          <w:sz w:val="20"/>
          <w:szCs w:val="20"/>
          <w:color w:val="auto"/>
        </w:rPr>
      </w:pPr>
    </w:p>
    <w:p>
      <w:pPr>
        <w:ind w:right="480" w:firstLine="567"/>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Functional potency of ANB019 is at least 100-fold greater than IL-36RA in human systems, which is measured as the IC 50 of inhibition of interleukin-8, or IL-8, release from human keratinocytes.</w:t>
      </w:r>
    </w:p>
    <w:p>
      <w:pPr>
        <w:spacing w:after="0" w:line="178" w:lineRule="exact"/>
        <w:rPr>
          <w:sz w:val="20"/>
          <w:szCs w:val="20"/>
          <w:color w:val="auto"/>
        </w:rPr>
      </w:pPr>
    </w:p>
    <w:p>
      <w:pPr>
        <w:ind w:right="80" w:firstLine="567"/>
        <w:spacing w:after="0" w:line="286" w:lineRule="auto"/>
        <w:rPr>
          <w:sz w:val="20"/>
          <w:szCs w:val="20"/>
          <w:color w:val="auto"/>
        </w:rPr>
      </w:pPr>
      <w:r>
        <w:rPr>
          <w:rFonts w:ascii="Arial" w:cs="Arial" w:eastAsia="Arial" w:hAnsi="Arial"/>
          <w:sz w:val="17"/>
          <w:szCs w:val="17"/>
          <w:color w:val="auto"/>
        </w:rPr>
        <w:t>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166"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Plan</w:t>
      </w:r>
    </w:p>
    <w:p>
      <w:pPr>
        <w:spacing w:after="0" w:line="229"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231F20"/>
        </w:rPr>
        <w:t xml:space="preserve">We are currently conducting, under an approved CTN, a double-blind, placebo-controlled Phase 1 clinical trial in healthy volunteers, </w:t>
      </w:r>
      <w:r>
        <w:rPr>
          <w:rFonts w:ascii="Arial" w:cs="Arial" w:eastAsia="Arial" w:hAnsi="Arial"/>
          <w:sz w:val="17"/>
          <w:szCs w:val="17"/>
          <w:color w:val="000000"/>
        </w:rPr>
        <w:t>where 54</w:t>
      </w:r>
      <w:r>
        <w:rPr>
          <w:rFonts w:ascii="Arial" w:cs="Arial" w:eastAsia="Arial" w:hAnsi="Arial"/>
          <w:sz w:val="17"/>
          <w:szCs w:val="17"/>
          <w:color w:val="231F20"/>
        </w:rPr>
        <w:t xml:space="preserve"> </w:t>
      </w:r>
      <w:r>
        <w:rPr>
          <w:rFonts w:ascii="Arial" w:cs="Arial" w:eastAsia="Arial" w:hAnsi="Arial"/>
          <w:sz w:val="17"/>
          <w:szCs w:val="17"/>
          <w:color w:val="000000"/>
        </w:rPr>
        <w:t xml:space="preserve">subjects are dosed with a single subcutaneous or intravenous dose of ANB019 between 10mg and 750mg, 18 subjects were administered multiple ascending doses of ANB019 intravenously ranging between 40mg and 300mg weekly for four consecutive weeks and 18 are dosed with placebo. In November 2017, we announced positive top-line results from an interim analysis, which was conducted after the 85-day, post-dosing monitoring period has been completed for the single ascending dose cohorts while monitoring is on-going for the multiple ascending dose cohorts. ANB019 was well-tolerated by all subjects and no dose-limiting toxicities were observed to date. The most frequent treatment-emergent adverse events observed in the single ascending dose cohorts were mild upper respiratory tract infections in 10 of 36 (28%) subjects dosed with ANB019 versus six of 12 (50%) subjects dosed with placebo. No serious adverse events were reported among the single ascending dose cohorts through completion of monitoring, and none have been observed in the multiple ascending dose cohorts to date. The </w:t>
      </w:r>
      <w:r>
        <w:rPr>
          <w:rFonts w:ascii="Arial" w:cs="Arial" w:eastAsia="Arial" w:hAnsi="Arial"/>
          <w:sz w:val="17"/>
          <w:szCs w:val="17"/>
          <w:i w:val="1"/>
          <w:iCs w:val="1"/>
          <w:color w:val="000000"/>
        </w:rPr>
        <w:t>in vivo</w:t>
      </w:r>
      <w:r>
        <w:rPr>
          <w:rFonts w:ascii="Arial" w:cs="Arial" w:eastAsia="Arial" w:hAnsi="Arial"/>
          <w:sz w:val="17"/>
          <w:szCs w:val="17"/>
          <w:color w:val="000000"/>
        </w:rPr>
        <w:t xml:space="preserve"> half-life of ANB019 was approximately 28 days for both subcutaneous and intravenous routes of administration, with bioavailability of approximately 90%. A single dose of ANB019 at certain dose levels was able to completely suppress IL-36 cytokine function for 85 days, as measured using an </w:t>
      </w:r>
      <w:r>
        <w:rPr>
          <w:rFonts w:ascii="Arial" w:cs="Arial" w:eastAsia="Arial" w:hAnsi="Arial"/>
          <w:sz w:val="17"/>
          <w:szCs w:val="17"/>
          <w:i w:val="1"/>
          <w:iCs w:val="1"/>
          <w:color w:val="000000"/>
        </w:rPr>
        <w:t>ex vivo</w:t>
      </w:r>
      <w:r>
        <w:rPr>
          <w:rFonts w:ascii="Arial" w:cs="Arial" w:eastAsia="Arial" w:hAnsi="Arial"/>
          <w:sz w:val="17"/>
          <w:szCs w:val="17"/>
          <w:color w:val="000000"/>
        </w:rPr>
        <w:t xml:space="preserve"> pharmacodynamic assay.</w:t>
      </w:r>
    </w:p>
    <w:p>
      <w:pPr>
        <w:spacing w:after="0" w:line="264" w:lineRule="exact"/>
        <w:rPr>
          <w:sz w:val="20"/>
          <w:szCs w:val="20"/>
          <w:color w:val="auto"/>
        </w:rPr>
      </w:pPr>
    </w:p>
    <w:p>
      <w:pPr>
        <w:ind w:right="400" w:firstLine="567"/>
        <w:spacing w:after="0" w:line="264" w:lineRule="auto"/>
        <w:rPr>
          <w:sz w:val="20"/>
          <w:szCs w:val="20"/>
          <w:color w:val="auto"/>
        </w:rPr>
      </w:pPr>
      <w:r>
        <w:rPr>
          <w:rFonts w:ascii="Arial" w:cs="Arial" w:eastAsia="Arial" w:hAnsi="Arial"/>
          <w:sz w:val="18"/>
          <w:szCs w:val="18"/>
          <w:color w:val="auto"/>
        </w:rPr>
        <w:t>Based upon the favorable Phase 1 results described above, we have submitted a CTA filing to the MHRA supporting the initiation of a 10-patient open-label multi-dose Phase 2 study of ANB019 in GPP patients, and anticipate filing additional regulatory applications to support the initiation of a randomized placebo-controlled multi-dose study of ANB019 in PPP.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2" w:name="page13"/>
    <w:bookmarkEnd w:id="12"/>
    <w:p>
      <w:pPr>
        <w:ind w:right="100" w:firstLine="567"/>
        <w:spacing w:after="0" w:line="277" w:lineRule="auto"/>
        <w:rPr>
          <w:sz w:val="20"/>
          <w:szCs w:val="20"/>
          <w:color w:val="auto"/>
        </w:rPr>
      </w:pPr>
      <w:r>
        <w:rPr>
          <w:rFonts w:ascii="Arial" w:cs="Arial" w:eastAsia="Arial" w:hAnsi="Arial"/>
          <w:sz w:val="18"/>
          <w:szCs w:val="18"/>
          <w:color w:val="auto"/>
        </w:rPr>
        <w:t>As described in the section titled “Risk Factors” and elsewhere in this report, the clinical development of drug product candidates is subject to a wide range of risks and uncertainties, any of which could cause our actual development strategy or timeframes to vary.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Market Opportunity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IL-36R cytokine dysfunction is implicated in multiple inflammatory disorders including GPP and PPP.</w:t>
      </w:r>
    </w:p>
    <w:p>
      <w:pPr>
        <w:spacing w:after="0" w:line="225" w:lineRule="exact"/>
        <w:rPr>
          <w:sz w:val="20"/>
          <w:szCs w:val="20"/>
          <w:color w:val="auto"/>
        </w:rPr>
      </w:pPr>
    </w:p>
    <w:p>
      <w:pPr>
        <w:ind w:right="300" w:firstLine="567"/>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w:t>
      </w:r>
      <w:r>
        <w:rPr>
          <w:rFonts w:ascii="Arial" w:cs="Arial" w:eastAsia="Arial" w:hAnsi="Arial"/>
          <w:sz w:val="16"/>
          <w:szCs w:val="16"/>
          <w:i w:val="1"/>
          <w:iCs w:val="1"/>
          <w:color w:val="auto"/>
        </w:rPr>
        <w:t xml:space="preserve"> </w:t>
      </w:r>
      <w:r>
        <w:rPr>
          <w:rFonts w:ascii="Arial" w:cs="Arial" w:eastAsia="Arial" w:hAnsi="Arial"/>
          <w:sz w:val="16"/>
          <w:szCs w:val="16"/>
          <w:color w:val="auto"/>
        </w:rPr>
        <w:t>inflammatory disease 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Biologics License Application, or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 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Our strategy includes the discovery and development of therapeutic antibodies targeting emerging opportunities in inflammation. We are developing checkpoint receptor agonist antibodies to multiple different immune checkpoint receptors for the treatment of certain autoimmune diseases where we believe checkpoint receptor function is insufficiently activated. Known human immune checkpoint receptors include CTLA-4, PD-1, LAG-3, BTLA, TIM-3 and TIGIT. Certain checkpoint receptor agonist antibodies that we have developed have demonstrated efficacy in a rodent model of graft-versus-host disease. We anticipate filing an IND for one of our checkpoint receptor antibodies during the second half of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Antibody Overview</w:t>
      </w:r>
    </w:p>
    <w:p>
      <w:pPr>
        <w:spacing w:after="0" w:line="121"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0" w:right="239" w:bottom="1440" w:gutter="0" w:footer="0" w:header="0"/>
        </w:sectPr>
      </w:pPr>
    </w:p>
    <w:bookmarkStart w:id="13" w:name="page14"/>
    <w:bookmarkEnd w:id="13"/>
    <w:p>
      <w:pPr>
        <w:ind w:right="80" w:firstLine="567"/>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59" w:lineRule="exact"/>
        <w:rPr>
          <w:sz w:val="20"/>
          <w:szCs w:val="20"/>
          <w:color w:val="auto"/>
        </w:rPr>
      </w:pPr>
    </w:p>
    <w:p>
      <w:pPr>
        <w:ind w:left="660" w:right="6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68" w:lineRule="exact"/>
        <w:rPr>
          <w:rFonts w:ascii="Arial" w:cs="Arial" w:eastAsia="Arial" w:hAnsi="Arial"/>
          <w:sz w:val="18"/>
          <w:szCs w:val="18"/>
          <w:color w:val="auto"/>
        </w:rPr>
      </w:pPr>
    </w:p>
    <w:p>
      <w:pPr>
        <w:ind w:left="660" w:right="20" w:hanging="314"/>
        <w:spacing w:after="0" w:line="266"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 Full</w:t>
      </w:r>
      <w:r>
        <w:rPr>
          <w:rFonts w:ascii="Arial" w:cs="Arial" w:eastAsia="Arial" w:hAnsi="Arial"/>
          <w:sz w:val="18"/>
          <w:szCs w:val="18"/>
          <w:b w:val="1"/>
          <w:bCs w:val="1"/>
          <w:color w:val="auto"/>
        </w:rPr>
        <w:t xml:space="preserve"> </w:t>
      </w:r>
      <w:r>
        <w:rPr>
          <w:rFonts w:ascii="Arial" w:cs="Arial" w:eastAsia="Arial" w:hAnsi="Arial"/>
          <w:sz w:val="18"/>
          <w:szCs w:val="18"/>
          <w:color w:val="auto"/>
        </w:rPr>
        <w:t>length antibodies tend to exhibit serum half-lives of seven to 24 days in humans, leading to bi-weekly or monthly dosing as typical practice for therapeutic antibodies.</w:t>
      </w:r>
    </w:p>
    <w:p>
      <w:pPr>
        <w:spacing w:after="0" w:line="68" w:lineRule="exact"/>
        <w:rPr>
          <w:rFonts w:ascii="Arial" w:cs="Arial" w:eastAsia="Arial" w:hAnsi="Arial"/>
          <w:sz w:val="18"/>
          <w:szCs w:val="18"/>
          <w:color w:val="auto"/>
        </w:rPr>
      </w:pPr>
    </w:p>
    <w:p>
      <w:pPr>
        <w:ind w:left="660" w:right="200" w:hanging="314"/>
        <w:spacing w:after="0" w:line="34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Competing Antibody Technologies</w:t>
      </w:r>
    </w:p>
    <w:p>
      <w:pPr>
        <w:spacing w:after="0" w:line="121" w:lineRule="exact"/>
        <w:rPr>
          <w:sz w:val="20"/>
          <w:szCs w:val="20"/>
          <w:color w:val="auto"/>
        </w:rPr>
      </w:pPr>
    </w:p>
    <w:p>
      <w:pPr>
        <w:ind w:right="280" w:firstLine="567"/>
        <w:spacing w:after="0" w:line="264" w:lineRule="auto"/>
        <w:rPr>
          <w:sz w:val="20"/>
          <w:szCs w:val="20"/>
          <w:color w:val="auto"/>
        </w:rPr>
      </w:pPr>
      <w:r>
        <w:rPr>
          <w:rFonts w:ascii="Arial" w:cs="Arial" w:eastAsia="Arial" w:hAnsi="Arial"/>
          <w:sz w:val="18"/>
          <w:szCs w:val="18"/>
          <w:color w:val="auto"/>
        </w:rPr>
        <w:t>Despite the promise of antibodies as a therapeutic modality, historically it has been difficult and time- consuming to generate therapeutic-grade antibodies utilizing competing antibody discovery technologies. Such technologies have relied primarily on mouse immunization methodologies (such as wild-type or engineered mice),</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microbial antibody display libraries (such as phage or yeast cell display) or human B cell screening to generate antibodies against therapeutic targets of interest. We believe the key limitations of these competitive approaches include:</w:t>
      </w:r>
    </w:p>
    <w:p>
      <w:pPr>
        <w:spacing w:after="0" w:line="58" w:lineRule="exact"/>
        <w:rPr>
          <w:sz w:val="20"/>
          <w:szCs w:val="20"/>
          <w:color w:val="auto"/>
        </w:rPr>
      </w:pPr>
    </w:p>
    <w:p>
      <w:pPr>
        <w:ind w:left="660" w:right="220" w:hanging="314"/>
        <w:spacing w:after="0" w:line="289"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50" w:lineRule="exact"/>
        <w:rPr>
          <w:rFonts w:ascii="Arial" w:cs="Arial" w:eastAsia="Arial" w:hAnsi="Arial"/>
          <w:sz w:val="17"/>
          <w:szCs w:val="17"/>
          <w:color w:val="auto"/>
        </w:rPr>
      </w:pPr>
    </w:p>
    <w:p>
      <w:pPr>
        <w:ind w:left="660" w:right="58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68" w:lineRule="exact"/>
        <w:rPr>
          <w:rFonts w:ascii="Arial" w:cs="Arial" w:eastAsia="Arial" w:hAnsi="Arial"/>
          <w:sz w:val="18"/>
          <w:szCs w:val="18"/>
          <w:color w:val="auto"/>
        </w:rPr>
      </w:pPr>
    </w:p>
    <w:p>
      <w:pPr>
        <w:jc w:val="both"/>
        <w:ind w:left="660" w:right="16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68"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 unpredictable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stability and formulation when manufacturing is initiated using mammalian cells, thus leading to poor production yields and product stability.</w:t>
      </w:r>
    </w:p>
    <w:p>
      <w:pPr>
        <w:spacing w:after="0" w:line="180"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w:t>
      </w:r>
      <w:r>
        <w:rPr>
          <w:rFonts w:ascii="Arial" w:cs="Arial" w:eastAsia="Arial" w:hAnsi="Arial"/>
          <w:sz w:val="18"/>
          <w:szCs w:val="18"/>
          <w:i w:val="1"/>
          <w:iCs w:val="1"/>
          <w:color w:val="auto"/>
        </w:rPr>
        <w:t xml:space="preserve"> </w:t>
      </w:r>
      <w:r>
        <w:rPr>
          <w:rFonts w:ascii="Arial" w:cs="Arial" w:eastAsia="Arial" w:hAnsi="Arial"/>
          <w:sz w:val="18"/>
          <w:szCs w:val="18"/>
          <w:color w:val="auto"/>
        </w:rPr>
        <w:t>or 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800" w:right="279" w:bottom="1440" w:gutter="0" w:footer="0" w:header="0"/>
        </w:sectPr>
      </w:pPr>
    </w:p>
    <w:bookmarkStart w:id="14" w:name="page15"/>
    <w:bookmarkEnd w:id="14"/>
    <w:p>
      <w:pPr>
        <w:ind w:right="180"/>
        <w:spacing w:after="0" w:line="257" w:lineRule="auto"/>
        <w:rPr>
          <w:sz w:val="20"/>
          <w:szCs w:val="20"/>
          <w:color w:val="auto"/>
        </w:rPr>
      </w:pPr>
      <w:r>
        <w:rPr>
          <w:rFonts w:ascii="Arial" w:cs="Arial" w:eastAsia="Arial" w:hAnsi="Arial"/>
          <w:sz w:val="18"/>
          <w:szCs w:val="18"/>
          <w:color w:val="auto"/>
        </w:rPr>
        <w:t>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Solution</w:t>
      </w:r>
    </w:p>
    <w:p>
      <w:pPr>
        <w:spacing w:after="0" w:line="121"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Human genomes encode a limited number of antibody genes, which are insufficient to generate antibodies against the wide variety of foreign pathogens encountered from the external environment. SHM enables the human immune system to expand the limited diversity encoded within human genomes to the billions of antibody specificities required to defend against external pathogens.</w:t>
      </w:r>
    </w:p>
    <w:p>
      <w:pPr>
        <w:spacing w:after="0" w:line="173"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we believe have been challenging for competing antibody technology platforms to generate such as IL-33 and TIM-3.</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display the evolved antibody on the cell surface to permit cell sorting selection for potency properties while the same antibody is secreted into the extracellular media at sufficient quantities to permit functional assays to be conducted. In this manner, the evolving antibodies expressed by each transfected cell are assessed in a high- throughput fashion for the desired functional activity relevant to the therapeutic mechanism.</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13" w:lineRule="exact"/>
        <w:rPr>
          <w:sz w:val="20"/>
          <w:szCs w:val="20"/>
          <w:color w:val="auto"/>
        </w:rPr>
      </w:pPr>
    </w:p>
    <w:p>
      <w:pPr>
        <w:ind w:left="660" w:right="80" w:hanging="314"/>
        <w:spacing w:after="0" w:line="26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5" w:name="page16"/>
    <w:bookmarkEnd w:id="15"/>
    <w:p>
      <w:pPr>
        <w:ind w:left="660" w:right="280" w:hanging="314"/>
        <w:spacing w:after="0" w:line="313"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30" w:lineRule="exact"/>
        <w:rPr>
          <w:rFonts w:ascii="Arial" w:cs="Arial" w:eastAsia="Arial" w:hAnsi="Arial"/>
          <w:sz w:val="17"/>
          <w:szCs w:val="17"/>
          <w:color w:val="auto"/>
        </w:rPr>
      </w:pPr>
    </w:p>
    <w:p>
      <w:pPr>
        <w:ind w:left="660" w:right="140" w:hanging="314"/>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 process,</w:t>
      </w:r>
      <w:r>
        <w:rPr>
          <w:rFonts w:ascii="Arial" w:cs="Arial" w:eastAsia="Arial" w:hAnsi="Arial"/>
          <w:sz w:val="18"/>
          <w:szCs w:val="18"/>
          <w:b w:val="1"/>
          <w:bCs w:val="1"/>
          <w:color w:val="auto"/>
        </w:rPr>
        <w:t xml:space="preserve"> </w:t>
      </w:r>
      <w:r>
        <w:rPr>
          <w:rFonts w:ascii="Arial" w:cs="Arial" w:eastAsia="Arial" w:hAnsi="Arial"/>
          <w:sz w:val="18"/>
          <w:szCs w:val="18"/>
          <w:color w:val="auto"/>
        </w:rPr>
        <w:t>allowing us to incorporate functional assays throughout the process and focus on producing product candidates that are optimized for the desired therapeutic activity.</w:t>
      </w:r>
    </w:p>
    <w:p>
      <w:pPr>
        <w:spacing w:after="0" w:line="68" w:lineRule="exact"/>
        <w:rPr>
          <w:rFonts w:ascii="Arial" w:cs="Arial" w:eastAsia="Arial" w:hAnsi="Arial"/>
          <w:sz w:val="18"/>
          <w:szCs w:val="18"/>
          <w:color w:val="auto"/>
        </w:rPr>
      </w:pPr>
    </w:p>
    <w:p>
      <w:pPr>
        <w:jc w:val="both"/>
        <w:ind w:left="660" w:right="440" w:hanging="314"/>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68" w:lineRule="exact"/>
        <w:rPr>
          <w:rFonts w:ascii="Arial" w:cs="Arial" w:eastAsia="Arial" w:hAnsi="Arial"/>
          <w:sz w:val="18"/>
          <w:szCs w:val="18"/>
          <w:color w:val="auto"/>
        </w:rPr>
      </w:pPr>
    </w:p>
    <w:p>
      <w:pPr>
        <w:jc w:val="both"/>
        <w:ind w:left="660" w:right="40" w:hanging="314"/>
        <w:spacing w:after="0" w:line="34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Manufacturability. </w:t>
      </w:r>
      <w:r>
        <w:rPr>
          <w:rFonts w:ascii="Arial" w:cs="Arial" w:eastAsia="Arial" w:hAnsi="Arial"/>
          <w:sz w:val="16"/>
          <w:szCs w:val="16"/>
          <w:color w:val="auto"/>
        </w:rPr>
        <w:t>By utilizing our mammalian cell display system, we believe our approach increases the probability of success in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commercialization by mitigating the risks associated with antibody expression, formulation and stability during the antibody generation process.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w:t>
      </w:r>
    </w:p>
    <w:p>
      <w:pPr>
        <w:spacing w:after="0" w:line="121" w:lineRule="exact"/>
        <w:rPr>
          <w:sz w:val="20"/>
          <w:szCs w:val="20"/>
          <w:color w:val="auto"/>
        </w:rPr>
      </w:pPr>
    </w:p>
    <w:p>
      <w:pPr>
        <w:ind w:right="120" w:firstLine="567"/>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We have granted TESARO exclusive rights to three monospecific antibody product candidates targeting TIM-3 (TSR-022), LAG-3 (TSR-033) and PD-1 (TSR-042) and a bispecific antibody product candidates targeting PD-1 and LAG-3.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TIM- 3, as single agents or in combination with other therapies. We have completed our responsibilities under the terms of the agreement as of December 31, 2016 to generate and develop antibodies to certain defined stages of preclinical development.</w:t>
      </w:r>
    </w:p>
    <w:p>
      <w:pPr>
        <w:spacing w:after="0" w:line="169" w:lineRule="exact"/>
        <w:rPr>
          <w:sz w:val="20"/>
          <w:szCs w:val="20"/>
          <w:color w:val="auto"/>
        </w:rPr>
      </w:pPr>
    </w:p>
    <w:p>
      <w:pPr>
        <w:ind w:right="40" w:firstLine="567"/>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each of the targets for which TESARO is granted exclusive rights,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 by-product basis, on worldwide annual net sales, and additional commercial milestone payments if specified levels of annual net sales of a product are attained.</w:t>
      </w:r>
    </w:p>
    <w:p>
      <w:pPr>
        <w:spacing w:after="0" w:line="167" w:lineRule="exact"/>
        <w:rPr>
          <w:sz w:val="20"/>
          <w:szCs w:val="20"/>
          <w:color w:val="auto"/>
        </w:rPr>
      </w:pPr>
    </w:p>
    <w:p>
      <w:pPr>
        <w:ind w:right="40" w:firstLine="567"/>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Celgene</w:t>
      </w:r>
    </w:p>
    <w:p>
      <w:pPr>
        <w:spacing w:after="0" w:line="121"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during fiscal 2014.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of which an anti-PD-1 agonist antibody, also known as CC-90006, is currently in a Phase 1 trial, while the other program is currently in preclinical development.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8" w:right="239" w:bottom="1440" w:gutter="0" w:footer="0" w:header="0"/>
        </w:sectPr>
      </w:pPr>
    </w:p>
    <w:bookmarkStart w:id="16" w:name="page17"/>
    <w:bookmarkEnd w:id="16"/>
    <w:p>
      <w:pPr>
        <w:ind w:left="580"/>
        <w:spacing w:after="0"/>
        <w:rPr>
          <w:sz w:val="20"/>
          <w:szCs w:val="20"/>
          <w:color w:val="auto"/>
        </w:rPr>
      </w:pPr>
      <w:r>
        <w:rPr>
          <w:rFonts w:ascii="Arial" w:cs="Arial" w:eastAsia="Arial" w:hAnsi="Arial"/>
          <w:sz w:val="18"/>
          <w:szCs w:val="18"/>
          <w:color w:val="auto"/>
        </w:rPr>
        <w:t>Upon execution of the Collaboration Agreement in 2011, Celgene paid us a one-time, non-refundable, non- creditable initial fee of $6.0</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94" w:lineRule="exact"/>
        <w:rPr>
          <w:sz w:val="20"/>
          <w:szCs w:val="20"/>
          <w:color w:val="auto"/>
        </w:rPr>
      </w:pPr>
    </w:p>
    <w:p>
      <w:pPr>
        <w:jc w:val="both"/>
        <w:ind w:right="40" w:firstLine="567"/>
        <w:spacing w:after="0" w:line="264"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 License Agreement with MRC</w:t>
      </w:r>
    </w:p>
    <w:p>
      <w:pPr>
        <w:spacing w:after="0" w:line="121" w:lineRule="exact"/>
        <w:rPr>
          <w:sz w:val="20"/>
          <w:szCs w:val="20"/>
          <w:color w:val="auto"/>
        </w:rPr>
      </w:pPr>
    </w:p>
    <w:p>
      <w:pPr>
        <w:ind w:right="40" w:firstLine="567"/>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78"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93"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Millipore</w:t>
      </w:r>
    </w:p>
    <w:p>
      <w:pPr>
        <w:spacing w:after="0" w:line="12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adjusted annually for inflation using the Consumer Price Index.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78" w:lineRule="exact"/>
        <w:rPr>
          <w:sz w:val="20"/>
          <w:szCs w:val="20"/>
          <w:color w:val="auto"/>
        </w:rPr>
      </w:pPr>
    </w:p>
    <w:p>
      <w:pPr>
        <w:jc w:val="both"/>
        <w:ind w:right="480" w:firstLine="567"/>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w:t>
      </w:r>
    </w:p>
    <w:p>
      <w:pPr>
        <w:spacing w:after="0" w:line="158"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have few employees with experience advancing product candidates through the Australian regulatory review process and have therefore engaged Australian consultants with expertise in the regulatory requirements and clinical development of therapeutic products in Australia. We are also working with established manufacturing and clinical development support contractors located in Australia, who are familiar with Australian regulatory and product development processes.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20" w:firstLine="567"/>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42 issued patents and 84 pending patent applications as of December 31, 2017.</w:t>
      </w:r>
    </w:p>
    <w:p>
      <w:pPr>
        <w:spacing w:after="0" w:line="154"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ANB020</w:t>
      </w:r>
    </w:p>
    <w:p>
      <w:pPr>
        <w:spacing w:after="0" w:line="121"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As of December 31, 2017, we owned 16 patent applications in various countries directed to the antibody sequence of ANB020 and its variants, epitopes,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October 2038.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w:t>
      </w:r>
    </w:p>
    <w:p>
      <w:pPr>
        <w:spacing w:after="0" w:line="121"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As of December 31, 2017, we owned 13 patent applications in various countries directed to the antibody sequence of ANB019 and its variants, epitopes, methods of use and related matters. We also intend to prosecute our pending applications and pursue patent issuance and protection in key commercial markets where significant product sales may occur. Patents that may issue from our pending applications would provide protection until April 2036.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Platform Technology</w:t>
      </w:r>
    </w:p>
    <w:p>
      <w:pPr>
        <w:spacing w:after="0" w:line="121"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right="400" w:firstLine="567"/>
        <w:spacing w:after="0" w:line="259" w:lineRule="auto"/>
        <w:rPr>
          <w:sz w:val="20"/>
          <w:szCs w:val="20"/>
          <w:color w:val="auto"/>
        </w:rPr>
      </w:pPr>
      <w:r>
        <w:rPr>
          <w:rFonts w:ascii="Arial" w:cs="Arial" w:eastAsia="Arial" w:hAnsi="Arial"/>
          <w:sz w:val="18"/>
          <w:szCs w:val="18"/>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May 2033.</w:t>
      </w:r>
    </w:p>
    <w:p>
      <w:pPr>
        <w:spacing w:after="0" w:line="187" w:lineRule="exact"/>
        <w:rPr>
          <w:sz w:val="20"/>
          <w:szCs w:val="20"/>
          <w:color w:val="auto"/>
        </w:rPr>
      </w:pPr>
    </w:p>
    <w:p>
      <w:pPr>
        <w:ind w:right="360" w:firstLine="567"/>
        <w:spacing w:after="0" w:line="259"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692" w:right="259" w:bottom="1440" w:gutter="0" w:footer="0" w:header="0"/>
        </w:sectPr>
      </w:pPr>
    </w:p>
    <w:bookmarkStart w:id="18" w:name="page19"/>
    <w:bookmarkEnd w:id="18"/>
    <w:p>
      <w:pPr>
        <w:ind w:right="360"/>
        <w:spacing w:after="0" w:line="286" w:lineRule="auto"/>
        <w:rPr>
          <w:sz w:val="20"/>
          <w:szCs w:val="20"/>
          <w:color w:val="auto"/>
        </w:rPr>
      </w:pPr>
      <w:r>
        <w:rPr>
          <w:rFonts w:ascii="Arial" w:cs="Arial" w:eastAsia="Arial" w:hAnsi="Arial"/>
          <w:sz w:val="17"/>
          <w:szCs w:val="17"/>
          <w:color w:val="auto"/>
        </w:rPr>
        <w:t>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166"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or PTA, under certain circumstances to compensate for delays in obtaining the patent from the U.S. Patent and Trademark Office, or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75"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88"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We must manufacture drug product for clinical trial use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89"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81"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9" w:name="page20"/>
    <w:bookmarkEnd w:id="19"/>
    <w:p>
      <w:pPr>
        <w:jc w:val="both"/>
        <w:ind w:right="180"/>
        <w:spacing w:after="0" w:line="264" w:lineRule="auto"/>
        <w:rPr>
          <w:sz w:val="20"/>
          <w:szCs w:val="20"/>
          <w:color w:val="auto"/>
        </w:rPr>
      </w:pPr>
      <w:r>
        <w:rPr>
          <w:rFonts w:ascii="Arial" w:cs="Arial" w:eastAsia="Arial" w:hAnsi="Arial"/>
          <w:sz w:val="18"/>
          <w:szCs w:val="18"/>
          <w:color w:val="auto"/>
        </w:rPr>
        <w:t>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81" w:lineRule="exact"/>
        <w:rPr>
          <w:sz w:val="20"/>
          <w:szCs w:val="20"/>
          <w:color w:val="auto"/>
        </w:rPr>
      </w:pPr>
    </w:p>
    <w:p>
      <w:pPr>
        <w:ind w:right="20" w:firstLine="567"/>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20" w:firstLine="567"/>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approved for the add-on maintenance treatment in patients aged 12 years or older with severe eosinophilic asthma, and reslizumab (Cinqair, Teva), which has been approved for adult patients aged 18 years and older for the treatment of inadequately controlled asthma in patients with elevated eosinophils, despite an inhaled corticosteroids treatment regimen; antibodies such as benralizumab (Fasenra, AstraZeneca) that bind the IL-5 receptor; antibodies that bind to IL-13 such as lebrikizumab (Dermira), tralokinumab (AstraZeneca) and anrukinzumab (Pfizer), which are in clinical testing; antibodies that bind the IL-4 receptor alpha chain, such as dupilumab (Regeneron, Sanofi), currently under review by the FDA under a BLA filing, an ST2-binding antibodies including MSTT1041A (Roche) and GSK3772847 (GSK) currently in Phase 2 clinical trials. Regeneron and Sanofi have recently announced an IL-33 related program (REGN 3500) in clinical development indicated for asthma, chronic obstructive pulmonary disease and atopic dermatitis, AstraZeneca has also recently announced an IL-33 related program (MEDI3506) in a Phase 1 clinical trial and is indicated for chronic obstructive pulmonary disease, Pfizer has recently announced an IL-33 related program (PF-06817024) for chronic rhinosinusitis with nasal polyps and atopic dermatitis and Eli Lilly has announced an IL-33 related program for atopic dermatitis.</w:t>
      </w:r>
    </w:p>
    <w:p>
      <w:pPr>
        <w:spacing w:after="0" w:line="180"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including combinations of Aimmune’s oral peanut allergy therapy with dupilumab (Dupixent, Regeneron, Sanofi).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20" w:name="page21"/>
    <w:bookmarkEnd w:id="20"/>
    <w:p>
      <w:pPr>
        <w:ind w:right="120" w:firstLine="567"/>
        <w:spacing w:after="0" w:line="312" w:lineRule="auto"/>
        <w:rPr>
          <w:sz w:val="20"/>
          <w:szCs w:val="20"/>
          <w:color w:val="auto"/>
        </w:rPr>
      </w:pPr>
      <w:r>
        <w:rPr>
          <w:rFonts w:ascii="Arial" w:cs="Arial" w:eastAsia="Arial" w:hAnsi="Arial"/>
          <w:sz w:val="16"/>
          <w:szCs w:val="16"/>
          <w:color w:val="auto"/>
        </w:rPr>
        <w:t>For atopic dermatitis, our competitors include dupilumab (Dupixent, Regeneron, Sanofi), which has been approved by the FDA, crisaborole (EUCRISA, Pfizer), which has recently been approved by the FDA, VTP-38543 (Vitae, acquired by Allergan), which is currently in a Phase 2 trial, and JAK inhibitors including upadacitinib (Abbvie), PF-04965842 (Pfizer) and baricitinib (Eli Lilly and Incyte) currently clinical development for atopic dermatitis.</w:t>
      </w:r>
    </w:p>
    <w:p>
      <w:pPr>
        <w:spacing w:after="0" w:line="147"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right="140" w:firstLine="567"/>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approval process</w:t>
      </w:r>
    </w:p>
    <w:p>
      <w:pPr>
        <w:spacing w:after="0" w:line="121" w:lineRule="exact"/>
        <w:rPr>
          <w:sz w:val="20"/>
          <w:szCs w:val="20"/>
          <w:color w:val="auto"/>
        </w:rPr>
      </w:pPr>
    </w:p>
    <w:p>
      <w:pPr>
        <w:ind w:right="40" w:firstLine="567"/>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67" w:lineRule="exact"/>
        <w:rPr>
          <w:sz w:val="20"/>
          <w:szCs w:val="20"/>
          <w:color w:val="auto"/>
        </w:rPr>
      </w:pPr>
    </w:p>
    <w:p>
      <w:pPr>
        <w:ind w:right="180" w:firstLine="567"/>
        <w:spacing w:after="0" w:line="288" w:lineRule="auto"/>
        <w:rPr>
          <w:sz w:val="20"/>
          <w:szCs w:val="20"/>
          <w:color w:val="auto"/>
        </w:rPr>
      </w:pPr>
      <w:r>
        <w:rPr>
          <w:rFonts w:ascii="Arial" w:cs="Arial" w:eastAsia="Arial" w:hAnsi="Arial"/>
          <w:sz w:val="16"/>
          <w:szCs w:val="16"/>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 controlled clinical trials to establish the safety and effectiveness of the drug for each indication for which FDA approval is</w:t>
      </w:r>
    </w:p>
    <w:p>
      <w:pPr>
        <w:ind w:right="80"/>
        <w:spacing w:after="0" w:line="261" w:lineRule="auto"/>
        <w:rPr>
          <w:sz w:val="20"/>
          <w:szCs w:val="20"/>
          <w:color w:val="auto"/>
        </w:rPr>
      </w:pPr>
      <w:r>
        <w:rPr>
          <w:rFonts w:ascii="Arial" w:cs="Arial" w:eastAsia="Arial" w:hAnsi="Arial"/>
          <w:sz w:val="18"/>
          <w:szCs w:val="18"/>
          <w:color w:val="auto"/>
        </w:rPr>
        <w:t>sought. Satisfaction of FDA pre-market approval requirements typically takes many years and the actual time required may vary substantially based upon the type, complexity, and novelty of the product or disease.</w:t>
      </w:r>
    </w:p>
    <w:p>
      <w:pPr>
        <w:spacing w:after="0" w:line="184"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 (ii) in compliance with good clinical practices, or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73"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0" w:right="239" w:bottom="1440" w:gutter="0" w:footer="0" w:header="0"/>
        </w:sectPr>
      </w:pPr>
    </w:p>
    <w:bookmarkStart w:id="21" w:name="page22"/>
    <w:bookmarkEnd w:id="21"/>
    <w:p>
      <w:pPr>
        <w:ind w:right="180"/>
        <w:spacing w:after="0" w:line="264" w:lineRule="auto"/>
        <w:rPr>
          <w:sz w:val="20"/>
          <w:szCs w:val="20"/>
          <w:color w:val="auto"/>
        </w:rPr>
      </w:pPr>
      <w:r>
        <w:rPr>
          <w:rFonts w:ascii="Arial" w:cs="Arial" w:eastAsia="Arial" w:hAnsi="Arial"/>
          <w:sz w:val="18"/>
          <w:szCs w:val="18"/>
          <w:color w:val="auto"/>
        </w:rPr>
        <w:t>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1"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80"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is satisfactory and the BLA contains data that provide substantial evidence that the biologic is safe, pure, potent and effective in the indication studied.</w:t>
      </w:r>
    </w:p>
    <w:p>
      <w:pPr>
        <w:spacing w:after="0" w:line="165" w:lineRule="exact"/>
        <w:rPr>
          <w:sz w:val="20"/>
          <w:szCs w:val="20"/>
          <w:color w:val="auto"/>
        </w:rPr>
      </w:pPr>
    </w:p>
    <w:p>
      <w:pPr>
        <w:ind w:right="80" w:firstLine="567"/>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or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2" w:name="page23"/>
    <w:bookmarkEnd w:id="22"/>
    <w:p>
      <w:pPr>
        <w:ind w:right="80" w:firstLine="567"/>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clinical studies to support an IND</w:t>
      </w:r>
    </w:p>
    <w:p>
      <w:pPr>
        <w:spacing w:after="0" w:line="121" w:lineRule="exact"/>
        <w:rPr>
          <w:sz w:val="20"/>
          <w:szCs w:val="20"/>
          <w:color w:val="auto"/>
        </w:rPr>
      </w:pPr>
    </w:p>
    <w:p>
      <w:pPr>
        <w:jc w:val="both"/>
        <w:ind w:right="60" w:firstLine="567"/>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39" w:lineRule="exact"/>
        <w:rPr>
          <w:sz w:val="20"/>
          <w:szCs w:val="20"/>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17"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17"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designation</w:t>
      </w:r>
    </w:p>
    <w:p>
      <w:pPr>
        <w:spacing w:after="0" w:line="12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 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800"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1"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information</w:t>
      </w:r>
    </w:p>
    <w:p>
      <w:pPr>
        <w:spacing w:after="0" w:line="121" w:lineRule="exact"/>
        <w:rPr>
          <w:sz w:val="20"/>
          <w:szCs w:val="20"/>
          <w:color w:val="auto"/>
        </w:rPr>
      </w:pPr>
    </w:p>
    <w:p>
      <w:pPr>
        <w:ind w:right="220" w:firstLine="567"/>
        <w:spacing w:after="0" w:line="257" w:lineRule="auto"/>
        <w:rPr>
          <w:sz w:val="20"/>
          <w:szCs w:val="20"/>
          <w:color w:val="auto"/>
        </w:rPr>
      </w:pPr>
      <w:r>
        <w:rPr>
          <w:rFonts w:ascii="Arial" w:cs="Arial" w:eastAsia="Arial" w:hAnsi="Arial"/>
          <w:sz w:val="18"/>
          <w:szCs w:val="18"/>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designation has been granted.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controls for biologics</w:t>
      </w:r>
    </w:p>
    <w:p>
      <w:pPr>
        <w:spacing w:after="0" w:line="121" w:lineRule="exact"/>
        <w:rPr>
          <w:sz w:val="20"/>
          <w:szCs w:val="20"/>
          <w:color w:val="auto"/>
        </w:rPr>
      </w:pPr>
    </w:p>
    <w:p>
      <w:pPr>
        <w:ind w:right="280" w:firstLine="567"/>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567"/>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term restoration</w:t>
      </w:r>
    </w:p>
    <w:p>
      <w:pPr>
        <w:spacing w:after="0" w:line="121"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87"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or biologic for which an NDA or BLA has not been submitted.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21"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4" w:right="239" w:bottom="1440" w:gutter="0" w:footer="0" w:header="0"/>
        </w:sectPr>
      </w:pPr>
    </w:p>
    <w:bookmarkStart w:id="24" w:name="page25"/>
    <w:bookmarkEnd w:id="24"/>
    <w:p>
      <w:pPr>
        <w:ind w:right="80"/>
        <w:spacing w:after="0" w:line="255" w:lineRule="auto"/>
        <w:rPr>
          <w:sz w:val="20"/>
          <w:szCs w:val="20"/>
          <w:color w:val="auto"/>
        </w:rPr>
      </w:pPr>
      <w:r>
        <w:rPr>
          <w:rFonts w:ascii="Arial" w:cs="Arial" w:eastAsia="Arial" w:hAnsi="Arial"/>
          <w:sz w:val="18"/>
          <w:szCs w:val="18"/>
          <w:color w:val="auto"/>
        </w:rPr>
        <w:t>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9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220" w:firstLine="567"/>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regulation of companion diagnostics</w:t>
      </w:r>
    </w:p>
    <w:p>
      <w:pPr>
        <w:spacing w:after="0" w:line="121" w:lineRule="exact"/>
        <w:rPr>
          <w:sz w:val="20"/>
          <w:szCs w:val="20"/>
          <w:color w:val="auto"/>
        </w:rPr>
      </w:pPr>
    </w:p>
    <w:p>
      <w:pPr>
        <w:ind w:right="400" w:firstLine="567"/>
        <w:spacing w:after="0" w:line="253" w:lineRule="auto"/>
        <w:rPr>
          <w:sz w:val="20"/>
          <w:szCs w:val="20"/>
          <w:color w:val="auto"/>
        </w:rPr>
      </w:pPr>
      <w:r>
        <w:rPr>
          <w:rFonts w:ascii="Arial" w:cs="Arial" w:eastAsia="Arial" w:hAnsi="Arial"/>
          <w:sz w:val="18"/>
          <w:szCs w:val="18"/>
          <w:color w:val="auto"/>
        </w:rPr>
        <w:t xml:space="preserve">If use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in conjunction with the review of a biologic involves coordination of review by the FDA’s Center for Biologics Evaluation and Research and by the FDA’s Center for Devices and Radiological Health. Pursuing FDA approval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 would require us to obtain a</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pre-market approval, or PMA.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98"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PMA approval is not guaranteed, and the FDA may ultimately respond to a PMA application submission with a not approvable determination based on deficiencies in the application and require additional clinical trial or other data that may be expensive and time-consuming to generate and that can substantially delay approval. If the FDA’s evaluation of the PMA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5" w:name="page26"/>
    <w:bookmarkEnd w:id="25"/>
    <w:p>
      <w:pPr>
        <w:ind w:right="100"/>
        <w:spacing w:after="0" w:line="257" w:lineRule="auto"/>
        <w:rPr>
          <w:sz w:val="20"/>
          <w:szCs w:val="20"/>
          <w:color w:val="auto"/>
        </w:rPr>
      </w:pPr>
      <w:r>
        <w:rPr>
          <w:rFonts w:ascii="Arial" w:cs="Arial" w:eastAsia="Arial" w:hAnsi="Arial"/>
          <w:sz w:val="18"/>
          <w:szCs w:val="18"/>
          <w:color w:val="auto"/>
        </w:rPr>
        <w:t>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88"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 healthcare laws and compliance requirements</w:t>
      </w:r>
    </w:p>
    <w:p>
      <w:pPr>
        <w:spacing w:after="0" w:line="121"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20" w:firstLine="567"/>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69"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 Kickback Statute constitutes a false or fraudulent claim for purposes of the federal False Claims Act (discussed below).</w:t>
      </w:r>
    </w:p>
    <w:p>
      <w:pPr>
        <w:spacing w:after="0" w:line="187"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00" w:firstLine="567"/>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00" w:right="259" w:bottom="1440" w:gutter="0" w:footer="0" w:header="0"/>
        </w:sectPr>
      </w:pPr>
    </w:p>
    <w:bookmarkStart w:id="26" w:name="page27"/>
    <w:bookmarkEnd w:id="26"/>
    <w:p>
      <w:pPr>
        <w:ind w:right="80" w:firstLine="567"/>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jc w:val="both"/>
        <w:ind w:right="280" w:firstLine="567"/>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67" w:lineRule="exact"/>
        <w:rPr>
          <w:sz w:val="20"/>
          <w:szCs w:val="20"/>
          <w:color w:val="auto"/>
        </w:rPr>
      </w:pPr>
    </w:p>
    <w:p>
      <w:pPr>
        <w:ind w:firstLine="567"/>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pricing and reimbursement</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800" w:right="279" w:bottom="1440" w:gutter="0" w:footer="0" w:header="0"/>
        </w:sectPr>
      </w:pPr>
    </w:p>
    <w:bookmarkStart w:id="27" w:name="page28"/>
    <w:bookmarkEnd w:id="27"/>
    <w:p>
      <w:pPr>
        <w:ind w:firstLine="567"/>
        <w:spacing w:after="0" w:line="284"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63"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Patient Protection and Affordable Care Act, as amended by the Health Care and Education Reconciliation Act, or collectively the ACA, was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products.</w:t>
      </w:r>
    </w:p>
    <w:p>
      <w:pPr>
        <w:spacing w:after="0" w:line="17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w:t>
      </w:r>
    </w:p>
    <w:p>
      <w:pPr>
        <w:spacing w:after="0" w:line="2" w:lineRule="exact"/>
        <w:rPr>
          <w:sz w:val="20"/>
          <w:szCs w:val="20"/>
          <w:color w:val="auto"/>
        </w:rPr>
      </w:pPr>
    </w:p>
    <w:p>
      <w:pPr>
        <w:ind w:right="2240"/>
        <w:spacing w:after="0" w:line="323" w:lineRule="auto"/>
        <w:rPr>
          <w:sz w:val="20"/>
          <w:szCs w:val="20"/>
          <w:color w:val="auto"/>
        </w:rPr>
      </w:pPr>
      <w:r>
        <w:rPr>
          <w:rFonts w:ascii="Arial" w:cs="Arial" w:eastAsia="Arial" w:hAnsi="Arial"/>
          <w:sz w:val="16"/>
          <w:szCs w:val="16"/>
          <w:color w:val="auto"/>
        </w:rPr>
        <w:t>effective January 1, 2019, the tax-based shared responsibility payment imposed by the ACA on certain individuals who fail to maintain qualifying health coverage for all or part of a year that is commonly referred to as the “individual mandate”. Congress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may consider other legislation to repeal or replace elements of the ACA.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Foreign Corrupt Practices Act</w:t>
      </w:r>
    </w:p>
    <w:p>
      <w:pPr>
        <w:spacing w:after="0" w:line="121"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regulation</w:t>
      </w:r>
    </w:p>
    <w:p>
      <w:pPr>
        <w:spacing w:after="0" w:line="121" w:lineRule="exact"/>
        <w:rPr>
          <w:sz w:val="20"/>
          <w:szCs w:val="20"/>
          <w:color w:val="auto"/>
        </w:rPr>
      </w:pPr>
    </w:p>
    <w:p>
      <w:pPr>
        <w:ind w:right="160" w:firstLine="567"/>
        <w:spacing w:after="0" w:line="272" w:lineRule="auto"/>
        <w:rPr>
          <w:sz w:val="20"/>
          <w:szCs w:val="20"/>
          <w:color w:val="auto"/>
        </w:rPr>
      </w:pPr>
      <w:r>
        <w:rPr>
          <w:rFonts w:ascii="Arial" w:cs="Arial" w:eastAsia="Arial" w:hAnsi="Arial"/>
          <w:sz w:val="17"/>
          <w:szCs w:val="17"/>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 rest of world government regulation</w:t>
      </w:r>
    </w:p>
    <w:p>
      <w:pPr>
        <w:spacing w:after="0" w:line="121"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right="140" w:firstLine="567"/>
        <w:spacing w:after="0" w:line="255" w:lineRule="auto"/>
        <w:rPr>
          <w:sz w:val="20"/>
          <w:szCs w:val="20"/>
          <w:color w:val="auto"/>
        </w:rPr>
      </w:pPr>
      <w:r>
        <w:rPr>
          <w:rFonts w:ascii="Arial" w:cs="Arial" w:eastAsia="Arial" w:hAnsi="Arial"/>
          <w:sz w:val="18"/>
          <w:szCs w:val="18"/>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93" w:lineRule="exact"/>
        <w:rPr>
          <w:sz w:val="20"/>
          <w:szCs w:val="20"/>
          <w:color w:val="auto"/>
        </w:rPr>
      </w:pPr>
    </w:p>
    <w:p>
      <w:pPr>
        <w:ind w:right="180" w:firstLine="567"/>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right="360" w:firstLine="567"/>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ind w:right="600" w:firstLine="567"/>
        <w:spacing w:after="0" w:line="277" w:lineRule="auto"/>
        <w:rPr>
          <w:sz w:val="20"/>
          <w:szCs w:val="20"/>
          <w:color w:val="auto"/>
        </w:rPr>
      </w:pPr>
      <w:r>
        <w:rPr>
          <w:rFonts w:ascii="Arial" w:cs="Arial" w:eastAsia="Arial" w:hAnsi="Arial"/>
          <w:sz w:val="18"/>
          <w:szCs w:val="18"/>
          <w:color w:val="auto"/>
        </w:rPr>
        <w:t>Typically, the process of obtaining approval of a new therapeutic drug product for inclusion in the ARTG requires compilation of clinical trial data. Clinical trials conducted using “unapproved therapeutic goods” in Australia, being those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84" w:right="279" w:bottom="1440" w:gutter="0" w:footer="0" w:header="0"/>
        </w:sectPr>
      </w:pPr>
    </w:p>
    <w:bookmarkStart w:id="29" w:name="page30"/>
    <w:bookmarkEnd w:id="29"/>
    <w:p>
      <w:pPr>
        <w:ind w:right="560"/>
        <w:spacing w:after="0" w:line="277" w:lineRule="auto"/>
        <w:rPr>
          <w:sz w:val="20"/>
          <w:szCs w:val="20"/>
          <w:color w:val="auto"/>
        </w:rPr>
      </w:pPr>
      <w:r>
        <w:rPr>
          <w:rFonts w:ascii="Arial" w:cs="Arial" w:eastAsia="Arial" w:hAnsi="Arial"/>
          <w:sz w:val="18"/>
          <w:szCs w:val="18"/>
          <w:color w:val="auto"/>
        </w:rPr>
        <w:t>which have not yet been evaluated by the TGA for quality, safety and efficacy must occur pursuant to either the Clinical Trial Notification, or CTN, or Clinical Trial Exemption, or CTX, process.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CTN process broadly involves:</w:t>
      </w:r>
    </w:p>
    <w:p>
      <w:pPr>
        <w:spacing w:after="0" w:line="117"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17" w:lineRule="exact"/>
        <w:rPr>
          <w:rFonts w:ascii="Arial" w:cs="Arial" w:eastAsia="Arial" w:hAnsi="Arial"/>
          <w:sz w:val="18"/>
          <w:szCs w:val="18"/>
          <w:color w:val="auto"/>
        </w:rPr>
      </w:pPr>
    </w:p>
    <w:p>
      <w:pPr>
        <w:ind w:left="660" w:right="840" w:hanging="31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62" w:lineRule="exact"/>
        <w:rPr>
          <w:rFonts w:ascii="Arial" w:cs="Arial" w:eastAsia="Arial" w:hAnsi="Arial"/>
          <w:sz w:val="18"/>
          <w:szCs w:val="18"/>
          <w:color w:val="auto"/>
        </w:rPr>
      </w:pPr>
    </w:p>
    <w:p>
      <w:pPr>
        <w:ind w:left="660" w:right="120" w:hanging="31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CTX process:</w:t>
      </w:r>
    </w:p>
    <w:p>
      <w:pPr>
        <w:spacing w:after="0" w:line="117"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17" w:lineRule="exact"/>
        <w:rPr>
          <w:rFonts w:ascii="Arial" w:cs="Arial" w:eastAsia="Arial" w:hAnsi="Arial"/>
          <w:sz w:val="18"/>
          <w:szCs w:val="18"/>
          <w:color w:val="auto"/>
        </w:rPr>
      </w:pPr>
    </w:p>
    <w:p>
      <w:pPr>
        <w:ind w:left="660" w:right="20" w:hanging="314"/>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it is required that:</w:t>
      </w:r>
    </w:p>
    <w:p>
      <w:pPr>
        <w:spacing w:after="0" w:line="117" w:lineRule="exact"/>
        <w:rPr>
          <w:sz w:val="20"/>
          <w:szCs w:val="20"/>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evidence is compiled which demonstrates that the manufacture of the therapeutic drug product complies with the principles of cGMP;</w:t>
      </w:r>
    </w:p>
    <w:p>
      <w:pPr>
        <w:spacing w:after="0" w:line="117" w:lineRule="exact"/>
        <w:rPr>
          <w:rFonts w:ascii="Arial" w:cs="Arial" w:eastAsia="Arial" w:hAnsi="Arial"/>
          <w:sz w:val="18"/>
          <w:szCs w:val="18"/>
          <w:color w:val="auto"/>
        </w:rPr>
      </w:pPr>
    </w:p>
    <w:p>
      <w:pPr>
        <w:ind w:left="660" w:right="160" w:hanging="314"/>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160" w:firstLine="567"/>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0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As of December 31, 2017, we had 60 full-time employees. Of these employees, 48 were primarily engaged in research and development activities and 10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We manage our operations and allocate resources as a single reporting segment. Financial information regarding our operations, assets and liabilities, including our net loss for the years ended December 31, 2017, 2016 and 2015 and our total assets as of December 31, 2017 and 2016, is included in our Consolidated Financial Statements in Part II Item 8 of this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40" w:firstLine="567"/>
        <w:spacing w:after="0" w:line="276" w:lineRule="auto"/>
        <w:rPr>
          <w:sz w:val="20"/>
          <w:szCs w:val="20"/>
          <w:color w:val="auto"/>
        </w:rPr>
      </w:pPr>
      <w:r>
        <w:rPr>
          <w:rFonts w:ascii="Arial" w:cs="Arial" w:eastAsia="Arial" w:hAnsi="Arial"/>
          <w:sz w:val="17"/>
          <w:szCs w:val="17"/>
          <w:color w:val="auto"/>
        </w:rPr>
        <w:t xml:space="preserve">We file Annual Reports on Form 10-K, Quarterly Reports on Form 10-Q, Current Reports on Form 8-K and other information with the Securities and Exchange Commission (SEC). Our filings with the SEC are available free of charge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and on our website under the “Investors” tab as soon as reasonably practicable after we electronically file such material with, or furnish it to, the SEC. You may also read and copy, at SEC prescribed rates, any document we file with the SEC at the SEC’s Public Reference Room located at 100 F Street, N.E., Washington D.C. 20549. You can call the SEC at 1-800-SEC-0330 to obtain information on the operation of the Public Reference Room.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100" w:firstLine="567"/>
        <w:spacing w:after="0" w:line="273"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product candidates in later clinical trials may fail to demonstrate sufficient efficacy despite having progressed through initial clinical trials, even if certain analyses of primary or secondary endpoints in those early trials showed trends toward efficacy or, in some analyses, nominal statistical significance. In addition, the results of clinical trials in one set of patients or line of treatment may not be predictive of those obtained in another.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4" w:right="239" w:bottom="1440" w:gutter="0" w:footer="0" w:header="0"/>
        </w:sectPr>
      </w:pPr>
    </w:p>
    <w:bookmarkStart w:id="31" w:name="page32"/>
    <w:bookmarkEnd w:id="31"/>
    <w:p>
      <w:pPr>
        <w:ind w:firstLine="567"/>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567"/>
        <w:spacing w:after="0" w:line="272" w:lineRule="auto"/>
        <w:rPr>
          <w:sz w:val="20"/>
          <w:szCs w:val="20"/>
          <w:color w:val="auto"/>
        </w:rPr>
      </w:pPr>
      <w:r>
        <w:rPr>
          <w:rFonts w:ascii="Arial" w:cs="Arial" w:eastAsia="Arial" w:hAnsi="Arial"/>
          <w:sz w:val="16"/>
          <w:szCs w:val="16"/>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7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80" w:firstLine="567"/>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recently completed our Phase 1 clinical trial for ANB020 in healthy humans, and patient trials with ANB020 are currently ongoing. We also have only recently completed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0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performed satisfactorily in preclinical studies and clinical trials have nonetheless failed to obtain marketing approval for their products.</w:t>
      </w:r>
    </w:p>
    <w:p>
      <w:pPr>
        <w:spacing w:after="0" w:line="212" w:lineRule="exact"/>
        <w:rPr>
          <w:sz w:val="20"/>
          <w:szCs w:val="20"/>
          <w:color w:val="auto"/>
        </w:rPr>
      </w:pPr>
    </w:p>
    <w:p>
      <w:pPr>
        <w:ind w:right="60" w:firstLine="567"/>
        <w:spacing w:after="0" w:line="285" w:lineRule="auto"/>
        <w:rPr>
          <w:sz w:val="20"/>
          <w:szCs w:val="20"/>
          <w:color w:val="auto"/>
        </w:rPr>
      </w:pPr>
      <w:r>
        <w:rPr>
          <w:rFonts w:ascii="Arial" w:cs="Arial" w:eastAsia="Arial" w:hAnsi="Arial"/>
          <w:sz w:val="16"/>
          <w:szCs w:val="16"/>
          <w:color w:val="auto"/>
        </w:rPr>
        <w:t>In the single-ascending dose segment of our Phase 1 clinical trial of ANB020, the most common adverse events were upper respiratory tract infection and headache, and we observed one case of severe neutropenia in one individual, which was acute and not persistent, and was considered not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In our Phase 2a proof-of-concept trial for moderate-to-severe adult atopic dermatitis patients, one serious adverse event of severe depression was reported by a single patient on Day 140 post-ANB020, which was deemed not drug related since the patient had a pre-trial history of severe depression. The most frequent treatment-emergent adverse events reported were mild dizziness in patients subsequent to placebo dosing, and mild headache in patients post-ANB020 administration. Subjects in our ongoing and planned clinical trials may in the future suffer significant adverse events or other side effects not observed in our preclinical studies or in our Phase 1 or Phase 2a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8" w:lineRule="exact"/>
        <w:rPr>
          <w:sz w:val="20"/>
          <w:szCs w:val="20"/>
          <w:color w:val="auto"/>
        </w:rPr>
      </w:pPr>
    </w:p>
    <w:p>
      <w:pPr>
        <w:ind w:right="60" w:firstLine="567"/>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200" w:firstLine="567"/>
        <w:spacing w:after="0" w:line="279" w:lineRule="auto"/>
        <w:rPr>
          <w:sz w:val="20"/>
          <w:szCs w:val="20"/>
          <w:color w:val="auto"/>
        </w:rPr>
      </w:pPr>
      <w:r>
        <w:rPr>
          <w:rFonts w:ascii="Arial" w:cs="Arial" w:eastAsia="Arial" w:hAnsi="Arial"/>
          <w:sz w:val="17"/>
          <w:szCs w:val="17"/>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3" w:name="page34"/>
    <w:bookmarkEnd w:id="33"/>
    <w:p>
      <w:pPr>
        <w:ind w:firstLine="567"/>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two Phase 2a clinical trials of ANB020 in both moderate-to-severe adult atopic dermatitis and adult eosinophilic asthma patients in the United Kingdom and obtaining clearance for our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1"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Preclinical studies and clinical trials are expensive, difficult to design and implement, can take many years to complete and are uncertain as to outcome. Products, on average, take 10 to 15 years to be developed from the time they are discovered to the time they are approved and available for treating patients. The start or end of a clinical trial is often delayed or halted for many reasons, including:</w:t>
      </w:r>
    </w:p>
    <w:p>
      <w:pPr>
        <w:spacing w:after="0" w:line="73" w:lineRule="exact"/>
        <w:rPr>
          <w:sz w:val="20"/>
          <w:szCs w:val="20"/>
          <w:color w:val="auto"/>
        </w:rPr>
      </w:pPr>
    </w:p>
    <w:p>
      <w:pPr>
        <w:ind w:left="880" w:right="56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60" w:hanging="440"/>
        <w:spacing w:after="0" w:line="264"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5620" w:right="5400" w:hanging="5180"/>
        <w:spacing w:after="0" w:line="659" w:lineRule="auto"/>
        <w:tabs>
          <w:tab w:leader="none" w:pos="8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 32</w:t>
      </w:r>
    </w:p>
    <w:p>
      <w:pPr>
        <w:sectPr>
          <w:pgSz w:w="11900" w:h="16838" w:orient="portrait"/>
          <w:cols w:equalWidth="0" w:num="1">
            <w:col w:w="11400"/>
          </w:cols>
          <w:pgMar w:left="240" w:top="800" w:right="259" w:bottom="1440" w:gutter="0" w:footer="0" w:header="0"/>
        </w:sectPr>
      </w:pPr>
    </w:p>
    <w:bookmarkStart w:id="34" w:name="page35"/>
    <w:bookmarkEnd w:id="34"/>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120" w:firstLine="567"/>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right="40" w:firstLine="567"/>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99" w:lineRule="exact"/>
        <w:rPr>
          <w:sz w:val="20"/>
          <w:szCs w:val="20"/>
          <w:color w:val="auto"/>
        </w:rPr>
      </w:pPr>
    </w:p>
    <w:p>
      <w:pPr>
        <w:ind w:right="1140"/>
        <w:spacing w:after="0" w:line="296" w:lineRule="auto"/>
        <w:rPr>
          <w:sz w:val="20"/>
          <w:szCs w:val="20"/>
          <w:color w:val="auto"/>
        </w:rPr>
      </w:pPr>
      <w:r>
        <w:rPr>
          <w:rFonts w:ascii="Arial" w:cs="Arial" w:eastAsia="Arial" w:hAnsi="Arial"/>
          <w:sz w:val="17"/>
          <w:szCs w:val="17"/>
          <w:b w:val="1"/>
          <w:bCs w:val="1"/>
          <w:color w:val="auto"/>
        </w:rPr>
        <w:t>We have recently commenced clinical development of ANB020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567"/>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ind w:right="520" w:firstLine="567"/>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692" w:right="299" w:bottom="1440" w:gutter="0" w:footer="0" w:header="0"/>
        </w:sectPr>
      </w:pPr>
    </w:p>
    <w:bookmarkStart w:id="35" w:name="page36"/>
    <w:bookmarkEnd w:id="35"/>
    <w:p>
      <w:pPr>
        <w:ind w:left="880" w:right="660" w:hanging="440"/>
        <w:spacing w:after="0" w:line="262"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14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20" w:firstLine="567"/>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72" w:lineRule="exact"/>
        <w:rPr>
          <w:sz w:val="20"/>
          <w:szCs w:val="20"/>
          <w:color w:val="auto"/>
        </w:rPr>
      </w:pPr>
    </w:p>
    <w:p>
      <w:pPr>
        <w:ind w:right="120" w:firstLine="567"/>
        <w:spacing w:after="0" w:line="272"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Sanofi) and AMG 317 (Amgen) each in clinical testing, ST2-binding antibodies including Roche’s RG6149, GSK’s GSK3772847 and Regeneron’s REGN3500 each in clinical development for asthma and related conditions, a recently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2" w:right="239" w:bottom="1440" w:gutter="0" w:footer="0" w:header="0"/>
        </w:sectPr>
      </w:pPr>
    </w:p>
    <w:bookmarkStart w:id="36" w:name="page37"/>
    <w:bookmarkEnd w:id="36"/>
    <w:p>
      <w:pPr>
        <w:ind w:right="60"/>
        <w:spacing w:after="0" w:line="289" w:lineRule="auto"/>
        <w:rPr>
          <w:sz w:val="20"/>
          <w:szCs w:val="20"/>
          <w:color w:val="auto"/>
        </w:rPr>
      </w:pPr>
      <w:r>
        <w:rPr>
          <w:rFonts w:ascii="Arial" w:cs="Arial" w:eastAsia="Arial" w:hAnsi="Arial"/>
          <w:sz w:val="16"/>
          <w:szCs w:val="16"/>
          <w:color w:val="auto"/>
        </w:rPr>
        <w:t>announced an IL-33 related program (MEDI3506) in a Phase 1 clinical trial indicated for chronic obstructive pulmonary disease and an anti-TSLP antibody called tezepelumab (AMG 157, MEDI9929) being developed by Amgen and AstraZeneca for asthma and atopic dermatitis.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(Dupixent, Regeneron, Sanofi), which has been approved by the FDA, crisaborole (EUCRISA, Pfizer), which has recently been approved by the FDA, VTP-38543 (Vitae, acquired by Allergan), and JAK inhibitors such as baricitinib, PF-04965842 and upadacitinib under development by Lilly/Incyte, Pfizer and Abbvie, respectively.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167" w:lineRule="exact"/>
        <w:rPr>
          <w:sz w:val="20"/>
          <w:szCs w:val="20"/>
          <w:color w:val="auto"/>
        </w:rPr>
      </w:pPr>
    </w:p>
    <w:p>
      <w:pPr>
        <w:ind w:right="180" w:firstLine="567"/>
        <w:spacing w:after="0" w:line="254" w:lineRule="auto"/>
        <w:rPr>
          <w:sz w:val="20"/>
          <w:szCs w:val="20"/>
          <w:color w:val="auto"/>
        </w:rPr>
      </w:pPr>
      <w:r>
        <w:rPr>
          <w:rFonts w:ascii="Arial" w:cs="Arial" w:eastAsia="Arial" w:hAnsi="Arial"/>
          <w:sz w:val="18"/>
          <w:szCs w:val="18"/>
          <w:color w:val="auto"/>
        </w:rPr>
        <w:t>With the enactment of the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92"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65"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92" w:right="239" w:bottom="1440" w:gutter="0" w:footer="0" w:header="0"/>
        </w:sectPr>
      </w:pPr>
    </w:p>
    <w:bookmarkStart w:id="37" w:name="page38"/>
    <w:bookmarkEnd w:id="37"/>
    <w:p>
      <w:pPr>
        <w:ind w:left="880" w:right="4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80" w:firstLine="567"/>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4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20" w:hanging="440"/>
        <w:spacing w:after="0" w:line="308" w:lineRule="auto"/>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2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The manufacture of biologics is complex and our third-party manufacturers may encounter difficulties in production. If any of our third-party manufacturers encounter such difficulties, our ability to provide supply of our product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8" w:name="page39"/>
    <w:bookmarkEnd w:id="38"/>
    <w:p>
      <w:pPr>
        <w:ind w:right="400"/>
        <w:spacing w:after="0" w:line="282" w:lineRule="auto"/>
        <w:rPr>
          <w:sz w:val="20"/>
          <w:szCs w:val="20"/>
          <w:color w:val="auto"/>
        </w:rPr>
      </w:pPr>
      <w:r>
        <w:rPr>
          <w:rFonts w:ascii="Arial" w:cs="Arial" w:eastAsia="Arial" w:hAnsi="Arial"/>
          <w:sz w:val="18"/>
          <w:szCs w:val="18"/>
          <w:b w:val="1"/>
          <w:bCs w:val="1"/>
          <w:color w:val="auto"/>
        </w:rPr>
        <w:t>candidates for clinical trials, our ability to obtain marketing approval, or our ability to provide supply of our products for patients, if approved, could be delayed or stopped.</w:t>
      </w:r>
    </w:p>
    <w:p>
      <w:pPr>
        <w:spacing w:after="0" w:line="58"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right="320" w:firstLine="567"/>
        <w:spacing w:after="0" w:line="257"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To date, our revenue has been primarily derived from our research collaboration and license agreements with third parties, including TESARO and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88"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Our collaboration revenue was $17.6 million and our net loss was $5.4 million for the year ended December 31, 2015 and our collaboration revenue was $16.7 million and our net loss was $4.3 million for the year ended December 31, 2016. For the year ended December 31, 2017, our collaboration revenue was $10.0 million and our net loss was $30.1 million. As of December 31, 2017, we had an accumulated deficit of $85.0 million.</w:t>
      </w:r>
    </w:p>
    <w:p>
      <w:pPr>
        <w:spacing w:after="0" w:line="187"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We have financed our operations primarily through our initial public offering of common stock in January 2017, our follow-on public offering of common stock in October 2017, private placements of our preferred stock and the issuance of debt. We have devoted substantially all of our efforts to research and development. We have only recently initiated clinical development for two of our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04" w:right="239" w:bottom="1440" w:gutter="0" w:footer="0" w:header="0"/>
        </w:sectPr>
      </w:pPr>
    </w:p>
    <w:bookmarkStart w:id="39" w:name="page40"/>
    <w:bookmarkEnd w:id="39"/>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28" w:lineRule="exact"/>
        <w:rPr>
          <w:rFonts w:ascii="Arial" w:cs="Arial" w:eastAsia="Arial" w:hAnsi="Arial"/>
          <w:sz w:val="17"/>
          <w:szCs w:val="17"/>
          <w:color w:val="auto"/>
        </w:rPr>
      </w:pPr>
    </w:p>
    <w:p>
      <w:pPr>
        <w:ind w:left="660" w:right="200" w:hanging="314"/>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40" w:firstLine="567"/>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30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through the end of 2019.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692" w:right="279" w:bottom="1440" w:gutter="0" w:footer="0" w:header="0"/>
        </w:sectPr>
      </w:pPr>
    </w:p>
    <w:bookmarkStart w:id="40" w:name="page41"/>
    <w:bookmarkEnd w:id="40"/>
    <w:p>
      <w:pPr>
        <w:ind w:firstLine="567"/>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660" w:hanging="314"/>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our product candidates or cease operations altogether;</w:t>
      </w:r>
    </w:p>
    <w:p>
      <w:pPr>
        <w:spacing w:after="0" w:line="128" w:lineRule="exact"/>
        <w:rPr>
          <w:rFonts w:ascii="Arial" w:cs="Arial" w:eastAsia="Arial" w:hAnsi="Arial"/>
          <w:sz w:val="17"/>
          <w:szCs w:val="17"/>
          <w:color w:val="auto"/>
        </w:rPr>
      </w:pPr>
    </w:p>
    <w:p>
      <w:pPr>
        <w:ind w:left="660" w:right="280" w:hanging="31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660" w:right="480" w:hanging="314"/>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60" w:firstLine="567"/>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660" w:right="8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660" w:right="6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17" w:lineRule="exact"/>
        <w:rPr>
          <w:rFonts w:ascii="Arial" w:cs="Arial" w:eastAsia="Arial" w:hAnsi="Arial"/>
          <w:sz w:val="18"/>
          <w:szCs w:val="18"/>
          <w:color w:val="auto"/>
        </w:rPr>
      </w:pPr>
    </w:p>
    <w:p>
      <w:pPr>
        <w:ind w:left="660" w:right="100" w:hanging="314"/>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3"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due to a lack of capital, our business, financial condition and results of operations could be adversely affected.</w:t>
      </w:r>
    </w:p>
    <w:p>
      <w:pPr>
        <w:spacing w:after="0" w:line="27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800" w:right="259" w:bottom="1440" w:gutter="0" w:footer="0" w:header="0"/>
        </w:sectPr>
      </w:pPr>
    </w:p>
    <w:bookmarkStart w:id="41" w:name="page42"/>
    <w:bookmarkEnd w:id="41"/>
    <w:p>
      <w:pPr>
        <w:ind w:right="180"/>
        <w:spacing w:after="0" w:line="279" w:lineRule="auto"/>
        <w:rPr>
          <w:sz w:val="20"/>
          <w:szCs w:val="20"/>
          <w:color w:val="auto"/>
        </w:rPr>
      </w:pPr>
      <w:r>
        <w:rPr>
          <w:rFonts w:ascii="Arial" w:cs="Arial" w:eastAsia="Arial" w:hAnsi="Arial"/>
          <w:sz w:val="17"/>
          <w:szCs w:val="17"/>
          <w:color w:val="auto"/>
        </w:rPr>
        <w:t>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76"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567"/>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jc w:val="both"/>
        <w:ind w:right="120" w:firstLine="567"/>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58"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92" w:right="239" w:bottom="1440" w:gutter="0" w:footer="0" w:header="0"/>
        </w:sectPr>
      </w:pPr>
    </w:p>
    <w:bookmarkStart w:id="42" w:name="page43"/>
    <w:bookmarkEnd w:id="42"/>
    <w:p>
      <w:pPr>
        <w:ind w:right="40"/>
        <w:spacing w:after="0" w:line="266"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2" w:lineRule="exact"/>
        <w:rPr>
          <w:sz w:val="20"/>
          <w:szCs w:val="20"/>
          <w:color w:val="auto"/>
        </w:rPr>
      </w:pPr>
    </w:p>
    <w:p>
      <w:pPr>
        <w:ind w:right="240" w:firstLine="567"/>
        <w:spacing w:after="0" w:line="297"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58"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are ineligible or unable to receive the research and development tax credit, or if we lose our ability to operate AnaptysBio Pty in Australia, or the Australian government significantly reduces or eliminates the tax credit, our business and results of operation would be adversely affected.</w:t>
      </w:r>
    </w:p>
    <w:p>
      <w:pPr>
        <w:spacing w:after="0" w:line="251"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1"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 manufacture of biotechnology products is complex and requires significant expertise and capital investment, including the development of advanced manufacturing techniques and process controls. We and our contract manufacturers must comply with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67"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60" w:firstLine="567"/>
        <w:spacing w:after="0" w:line="269"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our product candidates or products and could have an adverse effect on our business, prospects,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21"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5" w:right="239" w:bottom="1440" w:gutter="0" w:footer="0" w:header="0"/>
        </w:sectPr>
      </w:pPr>
    </w:p>
    <w:bookmarkStart w:id="43" w:name="page44"/>
    <w:bookmarkEnd w:id="43"/>
    <w:p>
      <w:pPr>
        <w:spacing w:after="0" w:line="293" w:lineRule="auto"/>
        <w:rPr>
          <w:sz w:val="20"/>
          <w:szCs w:val="20"/>
          <w:color w:val="auto"/>
        </w:rPr>
      </w:pPr>
      <w:r>
        <w:rPr>
          <w:rFonts w:ascii="Arial" w:cs="Arial" w:eastAsia="Arial" w:hAnsi="Arial"/>
          <w:sz w:val="16"/>
          <w:szCs w:val="16"/>
          <w:color w:val="auto"/>
        </w:rPr>
        <w:t>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180" w:firstLine="567"/>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7"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2"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have advanced multiple antibodies generated through our collaboration into clinical trials. If our collaborators terminate any of our collaborations, we may not receive all or any of this funding, which would adversely affect our business or financial condition. Our operational obligations under each of our collaborations has ended.</w:t>
      </w:r>
    </w:p>
    <w:p>
      <w:pPr>
        <w:spacing w:after="0" w:line="192"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92" w:right="259" w:bottom="1440" w:gutter="0" w:footer="0" w:header="0"/>
        </w:sectPr>
      </w:pPr>
    </w:p>
    <w:bookmarkStart w:id="44" w:name="page45"/>
    <w:bookmarkEnd w:id="44"/>
    <w:p>
      <w:pPr>
        <w:ind w:right="440"/>
        <w:spacing w:after="0" w:line="276" w:lineRule="auto"/>
        <w:rPr>
          <w:sz w:val="20"/>
          <w:szCs w:val="20"/>
          <w:color w:val="auto"/>
        </w:rPr>
      </w:pPr>
      <w:r>
        <w:rPr>
          <w:rFonts w:ascii="Arial" w:cs="Arial" w:eastAsia="Arial" w:hAnsi="Arial"/>
          <w:sz w:val="17"/>
          <w:szCs w:val="17"/>
          <w:color w:val="auto"/>
        </w:rPr>
        <w:t>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660" w:right="100" w:hanging="31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660" w:right="500" w:hanging="314"/>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rely on third party clinical investigators, contract research organizations (for non-clinical and clinical activities), or CROs, contract manufacturing organizations, or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178"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right="20" w:firstLine="567"/>
        <w:spacing w:after="0" w:line="289"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In addition, manufacturers of drug products and their facilities are subject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92" w:right="239" w:bottom="1440" w:gutter="0" w:footer="0" w:header="0"/>
        </w:sectPr>
      </w:pPr>
    </w:p>
    <w:bookmarkStart w:id="45" w:name="page46"/>
    <w:bookmarkEnd w:id="45"/>
    <w:p>
      <w:pPr>
        <w:spacing w:after="0" w:line="297" w:lineRule="auto"/>
        <w:rPr>
          <w:sz w:val="20"/>
          <w:szCs w:val="20"/>
          <w:color w:val="auto"/>
        </w:rPr>
      </w:pPr>
      <w:r>
        <w:rPr>
          <w:rFonts w:ascii="Arial" w:cs="Arial" w:eastAsia="Arial" w:hAnsi="Arial"/>
          <w:sz w:val="16"/>
          <w:szCs w:val="16"/>
          <w:color w:val="auto"/>
        </w:rPr>
        <w:t>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50" w:lineRule="exact"/>
        <w:rPr>
          <w:sz w:val="20"/>
          <w:szCs w:val="20"/>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567"/>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567"/>
        <w:spacing w:after="0" w:line="297"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6" w:name="page47"/>
    <w:bookmarkEnd w:id="46"/>
    <w:p>
      <w:pPr>
        <w:ind w:right="20"/>
        <w:spacing w:after="0" w:line="277" w:lineRule="auto"/>
        <w:rPr>
          <w:sz w:val="20"/>
          <w:szCs w:val="20"/>
          <w:color w:val="auto"/>
        </w:rPr>
      </w:pPr>
      <w:r>
        <w:rPr>
          <w:rFonts w:ascii="Arial" w:cs="Arial" w:eastAsia="Arial" w:hAnsi="Arial"/>
          <w:sz w:val="18"/>
          <w:szCs w:val="18"/>
          <w:color w:val="auto"/>
        </w:rPr>
        <w:t>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ind w:right="140" w:firstLine="567"/>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180" w:firstLine="567"/>
        <w:spacing w:after="0" w:line="254" w:lineRule="auto"/>
        <w:rPr>
          <w:sz w:val="20"/>
          <w:szCs w:val="20"/>
          <w:color w:val="auto"/>
        </w:rPr>
      </w:pPr>
      <w:r>
        <w:rPr>
          <w:rFonts w:ascii="Arial" w:cs="Arial" w:eastAsia="Arial" w:hAnsi="Arial"/>
          <w:sz w:val="18"/>
          <w:szCs w:val="18"/>
          <w:color w:val="auto"/>
        </w:rPr>
        <w:t>We have conducted our initial clinical trial for ANB020 in Australia and have initiated a Phase 1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are conducting or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92"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jc w:val="both"/>
        <w:ind w:right="140" w:firstLine="567"/>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7" w:name="page48"/>
    <w:bookmarkEnd w:id="47"/>
    <w:p>
      <w:pPr>
        <w:ind w:right="20"/>
        <w:spacing w:after="0" w:line="254" w:lineRule="auto"/>
        <w:rPr>
          <w:sz w:val="20"/>
          <w:szCs w:val="20"/>
          <w:color w:val="auto"/>
        </w:rPr>
      </w:pPr>
      <w:r>
        <w:rPr>
          <w:rFonts w:ascii="Arial" w:cs="Arial" w:eastAsia="Arial" w:hAnsi="Arial"/>
          <w:sz w:val="18"/>
          <w:szCs w:val="18"/>
          <w:color w:val="auto"/>
        </w:rPr>
        <w:t>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2"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00" w:firstLine="567"/>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692" w:right="279" w:bottom="1440" w:gutter="0" w:footer="0" w:header="0"/>
        </w:sectPr>
      </w:pPr>
    </w:p>
    <w:bookmarkStart w:id="48" w:name="page49"/>
    <w:bookmarkEnd w:id="48"/>
    <w:p>
      <w:pPr>
        <w:ind w:right="80" w:firstLine="567"/>
        <w:spacing w:after="0" w:line="272"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w:t>
      </w:r>
    </w:p>
    <w:p>
      <w:pPr>
        <w:spacing w:after="0" w:line="178"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jc w:val="both"/>
        <w:ind w:firstLine="567"/>
        <w:spacing w:after="0" w:line="287"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Patient Protection and Affordable Care Act, as amended by the Health Care and Education Reconciliation Act, or collectively the ACA, was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products.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800" w:right="239" w:bottom="1440" w:gutter="0" w:footer="0" w:header="0"/>
        </w:sectPr>
      </w:pPr>
    </w:p>
    <w:bookmarkStart w:id="49" w:name="page50"/>
    <w:bookmarkEnd w:id="49"/>
    <w:p>
      <w:pPr>
        <w:ind w:firstLine="567"/>
        <w:spacing w:after="0" w:line="254"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 While Congress has not passed repeal legislation, the Tax Cuts and Jobs Act of 2017 includes a provision repealing,</w:t>
      </w:r>
    </w:p>
    <w:p>
      <w:pPr>
        <w:spacing w:after="0" w:line="2" w:lineRule="exact"/>
        <w:rPr>
          <w:sz w:val="20"/>
          <w:szCs w:val="20"/>
          <w:color w:val="auto"/>
        </w:rPr>
      </w:pPr>
    </w:p>
    <w:p>
      <w:pPr>
        <w:ind w:right="2240"/>
        <w:spacing w:after="0" w:line="255" w:lineRule="auto"/>
        <w:rPr>
          <w:sz w:val="20"/>
          <w:szCs w:val="20"/>
          <w:color w:val="auto"/>
        </w:rPr>
      </w:pPr>
      <w:r>
        <w:rPr>
          <w:rFonts w:ascii="Arial" w:cs="Arial" w:eastAsia="Arial" w:hAnsi="Arial"/>
          <w:sz w:val="18"/>
          <w:szCs w:val="18"/>
          <w:color w:val="auto"/>
        </w:rPr>
        <w:t>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elements of the ACA.</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80" w:firstLine="567"/>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9" w:lineRule="exact"/>
        <w:rPr>
          <w:sz w:val="20"/>
          <w:szCs w:val="20"/>
          <w:color w:val="auto"/>
        </w:rPr>
      </w:pPr>
    </w:p>
    <w:p>
      <w:pPr>
        <w:ind w:firstLine="567"/>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80" w:firstLine="567"/>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567"/>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800" w:right="239" w:bottom="1440" w:gutter="0" w:footer="0" w:header="0"/>
        </w:sectPr>
      </w:pPr>
    </w:p>
    <w:bookmarkStart w:id="50" w:name="page51"/>
    <w:bookmarkEnd w:id="50"/>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567"/>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ind w:right="160" w:firstLine="567"/>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660" w:right="140" w:hanging="314"/>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660" w:right="180" w:hanging="31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executing or attempting to execute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660" w:right="60" w:hanging="314"/>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also imposes obligations, including mandatory contractual terms, with respect to safeguarding the privacy, security and transmission of individually identifiable health information;</w:t>
      </w:r>
    </w:p>
    <w:p>
      <w:pPr>
        <w:spacing w:after="0" w:line="62" w:lineRule="exact"/>
        <w:rPr>
          <w:rFonts w:ascii="Arial" w:cs="Arial" w:eastAsia="Arial" w:hAnsi="Arial"/>
          <w:sz w:val="18"/>
          <w:szCs w:val="18"/>
          <w:color w:val="auto"/>
        </w:rPr>
      </w:pPr>
    </w:p>
    <w:p>
      <w:pPr>
        <w:ind w:left="660" w:right="20" w:hanging="314"/>
        <w:spacing w:after="0" w:line="276"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64" w:lineRule="exact"/>
        <w:rPr>
          <w:rFonts w:ascii="Arial" w:cs="Arial" w:eastAsia="Arial" w:hAnsi="Arial"/>
          <w:sz w:val="17"/>
          <w:szCs w:val="17"/>
          <w:color w:val="auto"/>
        </w:rPr>
      </w:pPr>
    </w:p>
    <w:p>
      <w:pPr>
        <w:ind w:left="660" w:right="240" w:hanging="314"/>
        <w:spacing w:after="0" w:line="34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20" w:firstLine="567"/>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05" w:right="239" w:bottom="1440" w:gutter="0" w:footer="0" w:header="0"/>
        </w:sectPr>
      </w:pPr>
    </w:p>
    <w:bookmarkStart w:id="51" w:name="page52"/>
    <w:bookmarkEnd w:id="51"/>
    <w:p>
      <w:pPr>
        <w:ind w:right="40" w:firstLine="567"/>
        <w:spacing w:after="0" w:line="288" w:lineRule="auto"/>
        <w:rPr>
          <w:sz w:val="20"/>
          <w:szCs w:val="20"/>
          <w:color w:val="auto"/>
        </w:rPr>
      </w:pPr>
      <w:r>
        <w:rPr>
          <w:rFonts w:ascii="Arial" w:cs="Arial" w:eastAsia="Arial" w:hAnsi="Arial"/>
          <w:sz w:val="16"/>
          <w:szCs w:val="16"/>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7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567"/>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75" w:lineRule="exact"/>
        <w:rPr>
          <w:sz w:val="20"/>
          <w:szCs w:val="20"/>
          <w:color w:val="auto"/>
        </w:rPr>
      </w:pPr>
    </w:p>
    <w:p>
      <w:pPr>
        <w:ind w:right="120" w:firstLine="567"/>
        <w:spacing w:after="0" w:line="302"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800" w:right="259" w:bottom="1440" w:gutter="0" w:footer="0" w:header="0"/>
        </w:sectPr>
      </w:pPr>
    </w:p>
    <w:bookmarkStart w:id="52" w:name="page53"/>
    <w:bookmarkEnd w:id="52"/>
    <w:p>
      <w:pPr>
        <w:ind w:right="40"/>
        <w:spacing w:after="0" w:line="273" w:lineRule="auto"/>
        <w:rPr>
          <w:sz w:val="20"/>
          <w:szCs w:val="20"/>
          <w:color w:val="auto"/>
        </w:rPr>
      </w:pPr>
      <w:r>
        <w:rPr>
          <w:rFonts w:ascii="Arial" w:cs="Arial" w:eastAsia="Arial" w:hAnsi="Arial"/>
          <w:sz w:val="17"/>
          <w:szCs w:val="17"/>
          <w:color w:val="auto"/>
        </w:rPr>
        <w:t>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78"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20" w:firstLine="567"/>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right="120" w:firstLine="567"/>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800" w:right="259" w:bottom="1440" w:gutter="0" w:footer="0" w:header="0"/>
        </w:sectPr>
      </w:pPr>
    </w:p>
    <w:bookmarkStart w:id="53" w:name="page54"/>
    <w:bookmarkEnd w:id="53"/>
    <w:p>
      <w:pPr>
        <w:ind w:right="100" w:firstLine="567"/>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567"/>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right="20" w:firstLine="567"/>
        <w:spacing w:after="0" w:line="268"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800" w:right="299" w:bottom="1440" w:gutter="0" w:footer="0" w:header="0"/>
        </w:sectPr>
      </w:pPr>
    </w:p>
    <w:bookmarkStart w:id="54" w:name="page55"/>
    <w:bookmarkEnd w:id="54"/>
    <w:p>
      <w:pPr>
        <w:jc w:val="both"/>
        <w:ind w:right="28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right="20" w:firstLine="567"/>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80" w:firstLine="567"/>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904" w:right="259" w:bottom="1440" w:gutter="0" w:footer="0" w:header="0"/>
        </w:sectPr>
      </w:pPr>
    </w:p>
    <w:bookmarkStart w:id="55" w:name="page56"/>
    <w:bookmarkEnd w:id="55"/>
    <w:p>
      <w:pPr>
        <w:ind w:right="20" w:firstLine="567"/>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20" w:firstLine="567"/>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40" w:firstLine="567"/>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28" w:lineRule="exact"/>
        <w:rPr>
          <w:rFonts w:ascii="Arial" w:cs="Arial" w:eastAsia="Arial" w:hAnsi="Arial"/>
          <w:sz w:val="17"/>
          <w:szCs w:val="17"/>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800" w:right="279" w:bottom="1440" w:gutter="0" w:footer="0" w:header="0"/>
        </w:sectPr>
      </w:pPr>
    </w:p>
    <w:bookmarkStart w:id="56" w:name="page57"/>
    <w:bookmarkEnd w:id="56"/>
    <w:p>
      <w:pPr>
        <w:ind w:left="660" w:right="800" w:hanging="314"/>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567"/>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2"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3" w:lineRule="exact"/>
        <w:rPr>
          <w:sz w:val="20"/>
          <w:szCs w:val="20"/>
          <w:color w:val="auto"/>
        </w:rPr>
      </w:pPr>
    </w:p>
    <w:p>
      <w:pPr>
        <w:ind w:right="40" w:firstLine="567"/>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6"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20" w:firstLine="567"/>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692" w:right="259" w:bottom="1440" w:gutter="0" w:footer="0" w:header="0"/>
        </w:sectPr>
      </w:pPr>
    </w:p>
    <w:bookmarkStart w:id="57" w:name="page58"/>
    <w:bookmarkEnd w:id="57"/>
    <w:p>
      <w:pPr>
        <w:spacing w:after="0" w:line="291" w:lineRule="auto"/>
        <w:rPr>
          <w:sz w:val="20"/>
          <w:szCs w:val="20"/>
          <w:color w:val="auto"/>
        </w:rPr>
      </w:pPr>
      <w:r>
        <w:rPr>
          <w:rFonts w:ascii="Arial" w:cs="Arial" w:eastAsia="Arial" w:hAnsi="Arial"/>
          <w:sz w:val="16"/>
          <w:szCs w:val="16"/>
          <w:color w:val="auto"/>
        </w:rPr>
        <w:t>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7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567"/>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480" w:firstLine="567"/>
        <w:spacing w:after="0" w:line="308" w:lineRule="auto"/>
        <w:rPr>
          <w:sz w:val="20"/>
          <w:szCs w:val="20"/>
          <w:color w:val="auto"/>
        </w:rPr>
      </w:pPr>
      <w:r>
        <w:rPr>
          <w:rFonts w:ascii="Arial" w:cs="Arial" w:eastAsia="Arial" w:hAnsi="Arial"/>
          <w:sz w:val="17"/>
          <w:szCs w:val="17"/>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38"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40" w:lineRule="exact"/>
        <w:rPr>
          <w:rFonts w:ascii="Arial" w:cs="Arial" w:eastAsia="Arial" w:hAnsi="Arial"/>
          <w:sz w:val="16"/>
          <w:szCs w:val="16"/>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92" w:right="239" w:bottom="1440" w:gutter="0" w:footer="0" w:header="0"/>
        </w:sectPr>
      </w:pPr>
    </w:p>
    <w:bookmarkStart w:id="58" w:name="page59"/>
    <w:bookmarkEnd w:id="58"/>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jc w:val="both"/>
        <w:ind w:right="20" w:firstLine="567"/>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567"/>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567"/>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73" w:lineRule="exact"/>
        <w:rPr>
          <w:sz w:val="20"/>
          <w:szCs w:val="20"/>
          <w:color w:val="auto"/>
        </w:rPr>
      </w:pPr>
    </w:p>
    <w:p>
      <w:pPr>
        <w:ind w:right="20" w:firstLine="567"/>
        <w:spacing w:after="0" w:line="297" w:lineRule="auto"/>
        <w:rPr>
          <w:sz w:val="20"/>
          <w:szCs w:val="20"/>
          <w:color w:val="auto"/>
        </w:rPr>
      </w:pPr>
      <w:r>
        <w:rPr>
          <w:rFonts w:ascii="Arial" w:cs="Arial" w:eastAsia="Arial" w:hAnsi="Arial"/>
          <w:sz w:val="16"/>
          <w:szCs w:val="16"/>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 We no longer expect to be an emerging growth company in fiscal year 2018, and if so, will need to comply with the auditor attestation requirements of Section 404 of the Sarbanes-Oxley Act.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92" w:right="259" w:bottom="1440" w:gutter="0" w:footer="0" w:header="0"/>
        </w:sectPr>
      </w:pPr>
    </w:p>
    <w:bookmarkStart w:id="59" w:name="page60"/>
    <w:bookmarkEnd w:id="59"/>
    <w:p>
      <w:pPr>
        <w:ind w:right="60" w:firstLine="567"/>
        <w:spacing w:after="0" w:line="289"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100" w:firstLine="567"/>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this annual report for the year ending December 31, 2017,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have been engaged in a process to document and evaluate our internal control over financial reporting, which is both costly and challenging. In this regard, we have dedicated and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8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right="20" w:firstLine="567"/>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140" w:firstLine="567"/>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692" w:right="259" w:bottom="1440" w:gutter="0" w:footer="0" w:header="0"/>
        </w:sectPr>
      </w:pPr>
    </w:p>
    <w:bookmarkStart w:id="60" w:name="page61"/>
    <w:bookmarkEnd w:id="60"/>
    <w:p>
      <w:pPr>
        <w:ind w:right="8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660" w:right="260" w:hanging="314"/>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660" w:right="200" w:hanging="314"/>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firstLine="567"/>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75" w:lineRule="exact"/>
        <w:rPr>
          <w:sz w:val="20"/>
          <w:szCs w:val="20"/>
          <w:color w:val="auto"/>
        </w:rPr>
      </w:pPr>
    </w:p>
    <w:p>
      <w:pPr>
        <w:ind w:right="40" w:firstLine="567"/>
        <w:spacing w:after="0" w:line="277" w:lineRule="auto"/>
        <w:rPr>
          <w:sz w:val="20"/>
          <w:szCs w:val="20"/>
          <w:color w:val="auto"/>
        </w:rPr>
      </w:pPr>
      <w:r>
        <w:rPr>
          <w:rFonts w:ascii="Arial" w:cs="Arial" w:eastAsia="Arial" w:hAnsi="Arial"/>
          <w:sz w:val="18"/>
          <w:szCs w:val="18"/>
          <w:color w:val="auto"/>
        </w:rPr>
        <w:t>On December 22, 2017, the President of the United States, signed into law the Tax Reform Act. The legislation significantly changes U.S. tax law by, among other things, lowering the corporate income tax rates. The Tax Reform Act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904" w:right="27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7"/>
          <w:szCs w:val="17"/>
          <w:color w:val="auto"/>
        </w:rPr>
        <w:t>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 based compensation. We may be subject to these limitations as provided for under Section 162(m) of the Internal Revenue Code in the future. The Tax Reform Act also limits the amount taxpayers are able to deduct for federal net operating loss (NOL) carryforwards generated in taxable years beginning after December 31, 2017 to 80% of the taxpayer’s taxable income. The law also generally repeals all carrybacks. However, any NOLs generated in taxable years after December 31, 2017 can be carried forward indefinitely. Losses arising in taxable years beginning before December 31, 2017 may still be carried back two years and are subject to their current expiration period. As of December 31, 2017, we have approximately $60.1 million of federal NOLs that were generated prior to 2018 which expire beginning December 31, 2028 through December 31, 2037, if not used to reduce income taxes payable in the future. Federal NOLs generated by us subsequent to 2017 may only offset 80% of taxable income.</w:t>
      </w:r>
    </w:p>
    <w:p>
      <w:pPr>
        <w:spacing w:after="0" w:line="74" w:lineRule="exact"/>
        <w:rPr>
          <w:sz w:val="20"/>
          <w:szCs w:val="20"/>
          <w:color w:val="auto"/>
        </w:rPr>
      </w:pPr>
    </w:p>
    <w:p>
      <w:pPr>
        <w:ind w:right="120" w:firstLine="567"/>
        <w:spacing w:after="0" w:line="255" w:lineRule="auto"/>
        <w:rPr>
          <w:sz w:val="20"/>
          <w:szCs w:val="20"/>
          <w:color w:val="auto"/>
        </w:rPr>
      </w:pPr>
      <w:r>
        <w:rPr>
          <w:rFonts w:ascii="Arial" w:cs="Arial" w:eastAsia="Arial" w:hAnsi="Arial"/>
          <w:sz w:val="18"/>
          <w:szCs w:val="18"/>
          <w:color w:val="auto"/>
        </w:rPr>
        <w:t>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We have recognized provision tax impacts related to the revaluation of deferred tax assets and liabilities and included this amount in its consolidated financial statements for the year ended December 31, 2017. The ultimate impact may differ from these provision amounts, due to, among other things, additional analysis, changes in interpretations and assumptions we have made, additional regulatory guidance that may be issued, and actions we may take as a result of the Tax Reform Act. The accounting is expected to be complete when the 2017 U.S. corporate income tax return is filed in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80" w:firstLine="567"/>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We believe that additional office space will be required during fiscal 2018 and have executed a letter of intent to lease approximately 18,000 additional square feet in San Diego,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692"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Price Range of Common Stock</w:t>
      </w:r>
    </w:p>
    <w:p>
      <w:pPr>
        <w:ind w:right="260" w:firstLine="567"/>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26, 2017. Prior to that date, there was no public trading market for our common stock. The following table sets forth the high and low sales prices of our common stock as reported on the Nasdaq Global Market for the periods indicated: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360" w:type="dxa"/>
            <w:vAlign w:val="bottom"/>
          </w:tcPr>
          <w:p>
            <w:pPr>
              <w:spacing w:after="0"/>
              <w:rPr>
                <w:sz w:val="18"/>
                <w:szCs w:val="18"/>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High</w:t>
            </w:r>
          </w:p>
        </w:tc>
        <w:tc>
          <w:tcPr>
            <w:tcW w:w="380" w:type="dxa"/>
            <w:vAlign w:val="bottom"/>
          </w:tcPr>
          <w:p>
            <w:pPr>
              <w:spacing w:after="0"/>
              <w:rPr>
                <w:sz w:val="18"/>
                <w:szCs w:val="18"/>
                <w:color w:val="auto"/>
              </w:rPr>
            </w:pPr>
          </w:p>
        </w:tc>
        <w:tc>
          <w:tcPr>
            <w:tcW w:w="1200" w:type="dxa"/>
            <w:vAlign w:val="bottom"/>
          </w:tcPr>
          <w:p>
            <w:pPr>
              <w:jc w:val="right"/>
              <w:ind w:right="552"/>
              <w:spacing w:after="0"/>
              <w:rPr>
                <w:sz w:val="20"/>
                <w:szCs w:val="20"/>
                <w:color w:val="auto"/>
              </w:rPr>
            </w:pPr>
            <w:r>
              <w:rPr>
                <w:rFonts w:ascii="Arial" w:cs="Arial" w:eastAsia="Arial" w:hAnsi="Arial"/>
                <w:sz w:val="16"/>
                <w:szCs w:val="16"/>
                <w:b w:val="1"/>
                <w:bCs w:val="1"/>
                <w:color w:val="auto"/>
              </w:rPr>
              <w:t>Low</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 (beginning January 26, 2017)</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18.15</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34.56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As of February 28, 2018, we had approximately 24 holders of record of our common stock. This number does not include beneficial owners whose shares were held in street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340" w:firstLine="567"/>
        <w:spacing w:after="0" w:line="276" w:lineRule="auto"/>
        <w:rPr>
          <w:sz w:val="20"/>
          <w:szCs w:val="20"/>
          <w:color w:val="auto"/>
        </w:rPr>
      </w:pPr>
      <w:r>
        <w:rPr>
          <w:rFonts w:ascii="Arial" w:cs="Arial" w:eastAsia="Arial" w:hAnsi="Arial"/>
          <w:sz w:val="17"/>
          <w:szCs w:val="17"/>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our lenders.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performance graph compares the performance of our common stock to the Nasdaq Composite Index and to the Nasdaq Biotechnology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Index from January 26, 2017 (the first date that shares of our common stock were publicly traded) through December 31, 2017. The comparison assumes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was invested in our common stock and in each of the aforementioned indices after the market closed on January 26, 2017, and it assumes reinvestment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dividends, if any. The stock price performance included in this graph is not necessarily indicative of future stock price performance.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580" w:right="25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1537970</wp:posOffset>
            </wp:positionH>
            <wp:positionV relativeFrom="page">
              <wp:posOffset>448945</wp:posOffset>
            </wp:positionV>
            <wp:extent cx="4493895" cy="3310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493895"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On January 9, 2017, we granted to one of our officers options to purchase 170,241 shares of common stock under our 2006 Equity Incentive Plan with a per share exercise price of $11.34, and have issued no shares of common stock upon exercise of such options. This transaction was exempt from the registration requirements of the Securities Act in reliance upon Rule 701 promulgated under the Securities Act.</w:t>
      </w:r>
    </w:p>
    <w:p>
      <w:pPr>
        <w:spacing w:after="0" w:line="166" w:lineRule="exact"/>
        <w:rPr>
          <w:sz w:val="20"/>
          <w:szCs w:val="20"/>
          <w:color w:val="auto"/>
        </w:rPr>
      </w:pPr>
    </w:p>
    <w:p>
      <w:pPr>
        <w:ind w:right="260" w:firstLine="567"/>
        <w:spacing w:after="0" w:line="264" w:lineRule="auto"/>
        <w:rPr>
          <w:sz w:val="20"/>
          <w:szCs w:val="20"/>
          <w:color w:val="auto"/>
        </w:rPr>
      </w:pPr>
      <w:r>
        <w:rPr>
          <w:rFonts w:ascii="Arial" w:cs="Arial" w:eastAsia="Arial" w:hAnsi="Arial"/>
          <w:sz w:val="18"/>
          <w:szCs w:val="18"/>
          <w:color w:val="auto"/>
        </w:rPr>
        <w:t>Since January 31, 2017, we have issued 398,837 shares of common stock pursuant to the exercise of warrants, each with an exercise price of $4.55 per share. The securities issued in this transaction were exempt from the registration requirements of the Securities Act in reliance upon Section 4(a)(2) promulgated under the Securities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On January 25, 2017, our Registration Statement on Form S-1 (File No. 333-206849) relating to the initial public offering, or IPO of our common stock was declared effective by the SEC. Pursuant to such Registration Statement, we sold an aggregate of 5,750,000 shares of our common stock at a price to the public of $15.00 per share. There has been no material change in the planned use of the net proceeds from our IPO as described in our final prospectus filed with the SEC, on January 26, 2017 pursuant to Rule 424(b)(4)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9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The selected financial data set forth below for the years ended December 31, 2017, 2016, and 2015 and as of December 31, 2017 and 2016 are derived from and should be read in conjunction with our audited financial statements, including the notes thereto, included elsewhere in this report. The selected financial data for the years ended December 31, 2014 and 2013 and as of December 31, 2015, 2014 and 2013 are derived from our audited financial statements not included in this report.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440" w:right="259" w:bottom="1440" w:gutter="0" w:footer="0" w:header="0"/>
        </w:sectPr>
      </w:pPr>
    </w:p>
    <w:bookmarkStart w:id="64" w:name="page65"/>
    <w:bookmarkEnd w:id="64"/>
    <w:p>
      <w:pPr>
        <w:ind w:right="260" w:firstLine="567"/>
        <w:spacing w:after="0" w:line="264"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You should read the selected consolidated financial data below in conjunction with Part II Item 7—Management’s Discussion and Analysis of Financial Condition and Results of Operations and our audited consolidated financial statements and the related notes included in this Annual Report on Form 10-K.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9"/>
          </w:tcPr>
          <w:p>
            <w:pPr>
              <w:jc w:val="right"/>
              <w:ind w:right="157"/>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10,000</w:t>
            </w: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16,684</w:t>
            </w: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17,571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0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6"/>
                <w:szCs w:val="16"/>
                <w:color w:val="auto"/>
              </w:rPr>
              <w:t>15,838</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(28,781)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color w:val="auto"/>
              </w:rPr>
              <w:t>4,870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(30,070)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6"/>
                <w:szCs w:val="16"/>
                <w:color w:val="auto"/>
              </w:rPr>
              <w:t>3,532</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(5,545)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attributed to common stockholders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 Basic and diluted</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61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December 31, 2016</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Borders>
              <w:bottom w:val="single" w:sz="8" w:color="CCEEFF"/>
            </w:tcBorders>
            <w:gridSpan w:val="2"/>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2014</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329,364</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62,180</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56,280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Notes payable, net of current portion</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7,553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13,809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4,903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rent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Preferred stock warrant liabilities</w:t>
            </w:r>
          </w:p>
        </w:tc>
        <w:tc>
          <w:tcPr>
            <w:tcW w:w="3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3,241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1,549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Series B convertible preferred stock</w:t>
            </w:r>
          </w:p>
        </w:tc>
        <w:tc>
          <w:tcPr>
            <w:tcW w:w="3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28,220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28,220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28,220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C 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Series C-1 convertible preferred stock</w:t>
            </w:r>
          </w:p>
        </w:tc>
        <w:tc>
          <w:tcPr>
            <w:tcW w:w="32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Series D convertible 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40,688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40,688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 (deficit):</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Common stock</w:t>
            </w:r>
          </w:p>
        </w:tc>
        <w:tc>
          <w:tcPr>
            <w:tcW w:w="32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 in capital</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393,017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15,482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(48,791)</w:t>
            </w:r>
          </w:p>
        </w:tc>
        <w:tc>
          <w:tcPr>
            <w:tcW w:w="0" w:type="dxa"/>
            <w:vAlign w:val="bottom"/>
          </w:tcPr>
          <w:p>
            <w:pPr>
              <w:spacing w:after="0"/>
              <w:rPr>
                <w:sz w:val="1"/>
                <w:szCs w:val="1"/>
                <w:color w:val="auto"/>
              </w:rPr>
            </w:pPr>
          </w:p>
        </w:tc>
      </w:tr>
      <w:tr>
        <w:trPr>
          <w:trHeight w:val="220"/>
        </w:trPr>
        <w:tc>
          <w:tcPr>
            <w:tcW w:w="4700" w:type="dxa"/>
            <w:vAlign w:val="bottom"/>
          </w:tcPr>
          <w:p>
            <w:pPr>
              <w:ind w:left="40"/>
              <w:spacing w:after="0"/>
              <w:rPr>
                <w:sz w:val="20"/>
                <w:szCs w:val="20"/>
                <w:color w:val="auto"/>
              </w:rPr>
            </w:pPr>
            <w:r>
              <w:rPr>
                <w:rFonts w:ascii="Arial" w:cs="Arial" w:eastAsia="Arial" w:hAnsi="Arial"/>
                <w:sz w:val="16"/>
                <w:szCs w:val="16"/>
                <w:color w:val="auto"/>
                <w:w w:val="97"/>
              </w:rPr>
              <w:t>Total liabilities, convertible preferred stock and stockholders’ equity</w:t>
            </w:r>
          </w:p>
        </w:tc>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rPr>
              <w:t>329,364</w:t>
            </w:r>
          </w:p>
        </w:tc>
        <w:tc>
          <w:tcPr>
            <w:tcW w:w="40" w:type="dxa"/>
            <w:vAlign w:val="bottom"/>
          </w:tcPr>
          <w:p>
            <w:pPr>
              <w:spacing w:after="0"/>
              <w:rPr>
                <w:sz w:val="19"/>
                <w:szCs w:val="19"/>
                <w:color w:val="auto"/>
              </w:rPr>
            </w:pPr>
          </w:p>
        </w:tc>
        <w:tc>
          <w:tcPr>
            <w:tcW w:w="420" w:type="dxa"/>
            <w:vAlign w:val="bottom"/>
            <w:gridSpan w:val="3"/>
            <w:vMerge w:val="restart"/>
          </w:tcPr>
          <w:p>
            <w:pPr>
              <w:jc w:val="right"/>
              <w:ind w:right="168"/>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14"/>
              <w:spacing w:after="0"/>
              <w:rPr>
                <w:sz w:val="20"/>
                <w:szCs w:val="20"/>
                <w:color w:val="auto"/>
              </w:rPr>
            </w:pPr>
            <w:r>
              <w:rPr>
                <w:rFonts w:ascii="Arial" w:cs="Arial" w:eastAsia="Arial" w:hAnsi="Arial"/>
                <w:sz w:val="18"/>
                <w:szCs w:val="18"/>
                <w:color w:val="auto"/>
              </w:rPr>
              <w:t>62,180</w:t>
            </w:r>
          </w:p>
        </w:tc>
        <w:tc>
          <w:tcPr>
            <w:tcW w:w="40" w:type="dxa"/>
            <w:vAlign w:val="bottom"/>
          </w:tcPr>
          <w:p>
            <w:pPr>
              <w:spacing w:after="0"/>
              <w:rPr>
                <w:sz w:val="19"/>
                <w:szCs w:val="19"/>
                <w:color w:val="auto"/>
              </w:rPr>
            </w:pPr>
          </w:p>
        </w:tc>
        <w:tc>
          <w:tcPr>
            <w:tcW w:w="420" w:type="dxa"/>
            <w:vAlign w:val="bottom"/>
            <w:gridSpan w:val="3"/>
            <w:vMerge w:val="restart"/>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33"/>
              <w:spacing w:after="0"/>
              <w:rPr>
                <w:sz w:val="20"/>
                <w:szCs w:val="20"/>
                <w:color w:val="auto"/>
              </w:rPr>
            </w:pPr>
            <w:r>
              <w:rPr>
                <w:rFonts w:ascii="Arial" w:cs="Arial" w:eastAsia="Arial" w:hAnsi="Arial"/>
                <w:sz w:val="18"/>
                <w:szCs w:val="18"/>
                <w:color w:val="auto"/>
              </w:rPr>
              <w:t>56,280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restart"/>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33"/>
              <w:spacing w:after="0"/>
              <w:rPr>
                <w:sz w:val="20"/>
                <w:szCs w:val="20"/>
                <w:color w:val="auto"/>
              </w:rPr>
            </w:pPr>
            <w:r>
              <w:rPr>
                <w:rFonts w:ascii="Arial" w:cs="Arial" w:eastAsia="Arial" w:hAnsi="Arial"/>
                <w:sz w:val="18"/>
                <w:szCs w:val="18"/>
                <w:color w:val="auto"/>
              </w:rPr>
              <w:t>25,065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vMerge w:val="restart"/>
          </w:tcPr>
          <w:p>
            <w:pPr>
              <w:jc w:val="right"/>
              <w:ind w:right="117"/>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ind w:right="13"/>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2"/>
        </w:trPr>
        <w:tc>
          <w:tcPr>
            <w:tcW w:w="4700" w:type="dxa"/>
            <w:vAlign w:val="bottom"/>
          </w:tcPr>
          <w:p>
            <w:pPr>
              <w:ind w:left="40"/>
              <w:spacing w:after="0"/>
              <w:rPr>
                <w:sz w:val="20"/>
                <w:szCs w:val="20"/>
                <w:color w:val="auto"/>
              </w:rPr>
            </w:pPr>
            <w:r>
              <w:rPr>
                <w:rFonts w:ascii="Arial" w:cs="Arial" w:eastAsia="Arial" w:hAnsi="Arial"/>
                <w:sz w:val="16"/>
                <w:szCs w:val="16"/>
                <w:color w:val="auto"/>
              </w:rPr>
              <w:t>(deficit)</w:t>
            </w:r>
          </w:p>
        </w:tc>
        <w:tc>
          <w:tcPr>
            <w:tcW w:w="32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i w:val="1"/>
          <w:iCs w:val="1"/>
          <w:color w:val="auto"/>
        </w:rPr>
        <w:t>The following discussion contains management’s discussion and analysis of our financial condition and results of operations and should be read together with the historical consolidated financial statements and the notes thereto included in Part II, Item 8—Consolidated Financial Statements and Supplementary Data. This discussion contains forward-looking statements that reflect our plans, estimates and beliefs and involve numerous risks and uncertainties, including but not limited to those described in the “Risk Factors” section of this Annual Report. Actual results may differ materially from those contained in any forward-looking statements. You should carefully read “Special Note Regarding Forward-Looking Statements” and Part I, Item 1A—Risk Factors.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t>
      </w:r>
      <w:r>
        <w:rPr>
          <w:rFonts w:ascii="Arial" w:cs="Arial" w:eastAsia="Arial" w:hAnsi="Arial"/>
          <w:sz w:val="17"/>
          <w:szCs w:val="17"/>
          <w:color w:val="231F20"/>
        </w:rPr>
        <w:t>We have completed a Phase 1 trial of ANB020 in healthy volunteers in</w:t>
      </w:r>
      <w:r>
        <w:rPr>
          <w:rFonts w:ascii="Arial" w:cs="Arial" w:eastAsia="Arial" w:hAnsi="Arial"/>
          <w:sz w:val="17"/>
          <w:szCs w:val="17"/>
          <w:color w:val="auto"/>
        </w:rPr>
        <w:t xml:space="preserve"> </w:t>
      </w:r>
      <w:r>
        <w:rPr>
          <w:rFonts w:ascii="Arial" w:cs="Arial" w:eastAsia="Arial" w:hAnsi="Arial"/>
          <w:sz w:val="17"/>
          <w:szCs w:val="17"/>
          <w:color w:val="231F20"/>
        </w:rPr>
        <w:t>Australia</w:t>
      </w:r>
      <w:r>
        <w:rPr>
          <w:rFonts w:ascii="Arial" w:cs="Arial" w:eastAsia="Arial" w:hAnsi="Arial"/>
          <w:sz w:val="17"/>
          <w:szCs w:val="17"/>
          <w:color w:val="000000"/>
        </w:rPr>
        <w:t xml:space="preserve">.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000000"/>
        </w:rPr>
        <w:t>ex vivo</w:t>
      </w:r>
      <w:r>
        <w:rPr>
          <w:rFonts w:ascii="Arial" w:cs="Arial" w:eastAsia="Arial" w:hAnsi="Arial"/>
          <w:sz w:val="17"/>
          <w:szCs w:val="17"/>
          <w:color w:val="000000"/>
        </w:rPr>
        <w:t xml:space="preserve"> pharmacodynamic assay. We have subsequently completed a Phase 2a trial of ANB020 in 12 moderate-to-severe adult atopic dermatitis patients</w:t>
      </w:r>
      <w:r>
        <w:rPr>
          <w:rFonts w:ascii="Arial" w:cs="Arial" w:eastAsia="Arial" w:hAnsi="Arial"/>
          <w:sz w:val="17"/>
          <w:szCs w:val="17"/>
          <w:color w:val="231F20"/>
        </w:rPr>
        <w:t>, under an approved Clinical Trial Authorisation, or CTA, with the U.K. Medicines and Healthcare</w:t>
      </w:r>
      <w:r>
        <w:rPr>
          <w:rFonts w:ascii="Arial" w:cs="Arial" w:eastAsia="Arial" w:hAnsi="Arial"/>
          <w:sz w:val="17"/>
          <w:szCs w:val="17"/>
          <w:color w:val="000000"/>
        </w:rPr>
        <w:t xml:space="preserve"> </w:t>
      </w:r>
      <w:r>
        <w:rPr>
          <w:rFonts w:ascii="Arial" w:cs="Arial" w:eastAsia="Arial" w:hAnsi="Arial"/>
          <w:sz w:val="17"/>
          <w:szCs w:val="17"/>
          <w:color w:val="231F20"/>
        </w:rPr>
        <w:t>Products Regulatory Agency, or MHRA, announced top-line data from an interim analysis of this trial in October 2017 and presented data upon completion of this trial at the 2018 American Academy of Dermatology (AAD) Annual Meeting on February 17</w:t>
      </w:r>
      <w:r>
        <w:rPr>
          <w:rFonts w:ascii="Arial" w:cs="Arial" w:eastAsia="Arial" w:hAnsi="Arial"/>
          <w:sz w:val="24"/>
          <w:szCs w:val="24"/>
          <w:color w:val="231F20"/>
          <w:vertAlign w:val="superscript"/>
        </w:rPr>
        <w:t>th</w:t>
      </w:r>
      <w:r>
        <w:rPr>
          <w:rFonts w:ascii="Arial" w:cs="Arial" w:eastAsia="Arial" w:hAnsi="Arial"/>
          <w:sz w:val="17"/>
          <w:szCs w:val="17"/>
          <w:color w:val="231F20"/>
        </w:rPr>
        <w:t xml:space="preserve"> 2018.</w:t>
      </w:r>
    </w:p>
    <w:p>
      <w:pPr>
        <w:spacing w:after="0" w:line="83"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87"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231F20"/>
        </w:rPr>
        <w:t>We have completed enrollment, under our Investigational New Drug application, or IND, with the U.S. Food and Drug Administration, or FDA, of a Phase 2a trial of ANB020 with 20 severe adult peanut allergy patients where efficacy is assessed by measuring the cumulative dose of peanut tolerated in an oral food challenge or OFC within one month before and within one month after a single dose of ANB020 or placebo. This trial randomizes severe adult peanut allergy patients, each of which have a history of anaphylaxis to accidental peanut exposure, to drug versus placebo on a 3 versus 1 ratio. Top-line data from this trial is expected in March 2018.</w:t>
      </w:r>
    </w:p>
    <w:p>
      <w:pPr>
        <w:spacing w:after="0" w:line="188"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231F20"/>
        </w:rPr>
        <w:t>We are enrolling, under a CTA with MHRA, of a randomized, placebo controlled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81" w:lineRule="exact"/>
        <w:rPr>
          <w:sz w:val="20"/>
          <w:szCs w:val="20"/>
          <w:color w:val="auto"/>
        </w:rPr>
      </w:pPr>
    </w:p>
    <w:p>
      <w:pPr>
        <w:ind w:right="140" w:firstLine="567"/>
        <w:spacing w:after="0" w:line="254" w:lineRule="auto"/>
        <w:rPr>
          <w:sz w:val="20"/>
          <w:szCs w:val="20"/>
          <w:color w:val="auto"/>
        </w:rPr>
      </w:pPr>
      <w:r>
        <w:rPr>
          <w:rFonts w:ascii="Arial" w:cs="Arial" w:eastAsia="Arial" w:hAnsi="Arial"/>
          <w:sz w:val="18"/>
          <w:szCs w:val="18"/>
          <w:color w:val="auto"/>
        </w:rPr>
        <w:t xml:space="preserve">ANB019 inhibits the interleukin-36 receptor, or IL-36R, for the treatment of rare inflammatory diseases including generalized pustular psoriasis, or GPP, and palmo-plantar pustular psoriasis, or PPP. </w:t>
      </w:r>
      <w:r>
        <w:rPr>
          <w:rFonts w:ascii="Arial" w:cs="Arial" w:eastAsia="Arial" w:hAnsi="Arial"/>
          <w:sz w:val="18"/>
          <w:szCs w:val="18"/>
          <w:color w:val="231F20"/>
        </w:rPr>
        <w:t>We have completed, under an approved Clinical Trial Notification, or CTN, a Phase 1 clinical trial in</w:t>
      </w:r>
      <w:r>
        <w:rPr>
          <w:rFonts w:ascii="Arial" w:cs="Arial" w:eastAsia="Arial" w:hAnsi="Arial"/>
          <w:sz w:val="18"/>
          <w:szCs w:val="18"/>
          <w:color w:val="auto"/>
        </w:rPr>
        <w:t xml:space="preserve"> </w:t>
      </w:r>
      <w:r>
        <w:rPr>
          <w:rFonts w:ascii="Arial" w:cs="Arial" w:eastAsia="Arial" w:hAnsi="Arial"/>
          <w:sz w:val="18"/>
          <w:szCs w:val="18"/>
          <w:color w:val="231F20"/>
        </w:rPr>
        <w:t xml:space="preserve">healthy volunteers, </w:t>
      </w:r>
      <w:r>
        <w:rPr>
          <w:rFonts w:ascii="Arial" w:cs="Arial" w:eastAsia="Arial" w:hAnsi="Arial"/>
          <w:sz w:val="18"/>
          <w:szCs w:val="18"/>
          <w:color w:val="000000"/>
        </w:rPr>
        <w:t>where 48 subjects are dosed with ANB019 and 24 are dosed with placebo in single and multi-dose cohorts at various subcutaneous and</w:t>
      </w:r>
      <w:r>
        <w:rPr>
          <w:rFonts w:ascii="Arial" w:cs="Arial" w:eastAsia="Arial" w:hAnsi="Arial"/>
          <w:sz w:val="18"/>
          <w:szCs w:val="18"/>
          <w:color w:val="231F20"/>
        </w:rPr>
        <w:t xml:space="preserve"> </w:t>
      </w:r>
      <w:r>
        <w:rPr>
          <w:rFonts w:ascii="Arial" w:cs="Arial" w:eastAsia="Arial" w:hAnsi="Arial"/>
          <w:sz w:val="18"/>
          <w:szCs w:val="18"/>
          <w:color w:val="000000"/>
        </w:rPr>
        <w:t>intravenously administered dose levels. In November 2017, we announced positive top-line results from an interim analysis, which showed favorable safety, pharmacokinetics and pharmacodynamic properties that support advancement of ANB019 into Phase 2 studies for generalized pustular psoriasis and palmo-plantar pustular psoriasis during 2018. We have submitted a CTA filing to the MHRA supporting the initiation of a 10-patient open-label multi-dose Phase 2 study of ANB019 in GPP patients. We anticipate filing an additional CTA application to support the initiation of a placebo-controlled multi-dose study of ANB019 in PPP.</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904" w:right="259" w:bottom="1440" w:gutter="0" w:footer="0" w:header="0"/>
        </w:sectPr>
      </w:pPr>
    </w:p>
    <w:bookmarkStart w:id="66" w:name="page67"/>
    <w:bookmarkEnd w:id="66"/>
    <w:p>
      <w:pPr>
        <w:ind w:right="40" w:firstLine="567"/>
        <w:spacing w:after="0" w:line="264" w:lineRule="auto"/>
        <w:rPr>
          <w:sz w:val="20"/>
          <w:szCs w:val="20"/>
          <w:color w:val="auto"/>
        </w:rPr>
      </w:pPr>
      <w:r>
        <w:rPr>
          <w:rFonts w:ascii="Arial" w:cs="Arial" w:eastAsia="Arial" w:hAnsi="Arial"/>
          <w:sz w:val="18"/>
          <w:szCs w:val="18"/>
          <w:color w:val="auto"/>
        </w:rPr>
        <w:t>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 where we anticipate filing an IND in the second half of 2019.</w:t>
      </w:r>
    </w:p>
    <w:p>
      <w:pPr>
        <w:spacing w:after="0" w:line="181" w:lineRule="exact"/>
        <w:rPr>
          <w:sz w:val="20"/>
          <w:szCs w:val="20"/>
          <w:color w:val="auto"/>
        </w:rPr>
      </w:pPr>
    </w:p>
    <w:p>
      <w:pPr>
        <w:jc w:val="both"/>
        <w:ind w:right="520" w:firstLine="567"/>
        <w:spacing w:after="0" w:line="286" w:lineRule="auto"/>
        <w:rPr>
          <w:sz w:val="20"/>
          <w:szCs w:val="20"/>
          <w:color w:val="auto"/>
        </w:rPr>
      </w:pPr>
      <w:r>
        <w:rPr>
          <w:rFonts w:ascii="Arial" w:cs="Arial" w:eastAsia="Arial" w:hAnsi="Arial"/>
          <w:sz w:val="17"/>
          <w:szCs w:val="17"/>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7"/>
          <w:szCs w:val="17"/>
          <w:color w:val="231F20"/>
        </w:rPr>
        <w:t>TESARO, Inc. and TESARO</w:t>
      </w:r>
      <w:r>
        <w:rPr>
          <w:rFonts w:ascii="Arial" w:cs="Arial" w:eastAsia="Arial" w:hAnsi="Arial"/>
          <w:sz w:val="17"/>
          <w:szCs w:val="17"/>
          <w:color w:val="auto"/>
        </w:rPr>
        <w:t xml:space="preserve"> </w:t>
      </w:r>
      <w:r>
        <w:rPr>
          <w:rFonts w:ascii="Arial" w:cs="Arial" w:eastAsia="Arial" w:hAnsi="Arial"/>
          <w:sz w:val="17"/>
          <w:szCs w:val="17"/>
          <w:color w:val="231F20"/>
        </w:rPr>
        <w:t xml:space="preserve">Development, Ltd., or collectively, TESARO </w:t>
      </w:r>
      <w:r>
        <w:rPr>
          <w:rFonts w:ascii="Arial" w:cs="Arial" w:eastAsia="Arial" w:hAnsi="Arial"/>
          <w:sz w:val="17"/>
          <w:szCs w:val="17"/>
          <w:color w:val="000000"/>
        </w:rPr>
        <w:t>and an inflammation-focused collaboration with Celgene Corporation, or Celgene.</w:t>
      </w:r>
    </w:p>
    <w:p>
      <w:pPr>
        <w:spacing w:after="0" w:line="220" w:lineRule="exact"/>
        <w:rPr>
          <w:sz w:val="20"/>
          <w:szCs w:val="20"/>
          <w:color w:val="auto"/>
        </w:rPr>
      </w:pPr>
    </w:p>
    <w:p>
      <w:pPr>
        <w:ind w:right="180" w:firstLine="567"/>
        <w:spacing w:after="0" w:line="259" w:lineRule="auto"/>
        <w:rPr>
          <w:sz w:val="20"/>
          <w:szCs w:val="20"/>
          <w:color w:val="auto"/>
        </w:rPr>
      </w:pPr>
      <w:r>
        <w:rPr>
          <w:rFonts w:ascii="Arial" w:cs="Arial" w:eastAsia="Arial" w:hAnsi="Arial"/>
          <w:sz w:val="18"/>
          <w:szCs w:val="18"/>
          <w:color w:val="auto"/>
        </w:rPr>
        <w:t>As of December 31, 2017, we had an accumulated deficit of $85.0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140" w:firstLine="567"/>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73"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price to the public of $68.50 per share for aggregate net proceeds of $17.6 million, net of underwriting discounts and commissions.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40" w:firstLine="567"/>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December 31, 2017, we have received $76.6 million in non-dilutive funding from our collaborators.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and Exclusive License Agreement with TESARO</w:t>
      </w:r>
    </w:p>
    <w:p>
      <w:pPr>
        <w:spacing w:after="0" w:line="117" w:lineRule="exact"/>
        <w:rPr>
          <w:sz w:val="20"/>
          <w:szCs w:val="20"/>
          <w:color w:val="auto"/>
        </w:rPr>
      </w:pPr>
    </w:p>
    <w:p>
      <w:pPr>
        <w:ind w:right="60" w:firstLine="567"/>
        <w:spacing w:after="0" w:line="272"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were being recognized over the same period that our research and development services, for which we are reimbursed, are performed, which was extended through December 31, 2016 by amendment of the agreement in February 2016. From inception of the agreement through December 31, 2017, we have recognized $54.3 million in total revenue from TESARO.</w:t>
      </w:r>
    </w:p>
    <w:p>
      <w:pPr>
        <w:spacing w:after="0" w:line="178" w:lineRule="exact"/>
        <w:rPr>
          <w:sz w:val="20"/>
          <w:szCs w:val="20"/>
          <w:color w:val="auto"/>
        </w:rPr>
      </w:pPr>
    </w:p>
    <w:p>
      <w:pPr>
        <w:ind w:right="360" w:firstLine="567"/>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2017 under the TESARO Agreement are as follows: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80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560" w:type="dxa"/>
            <w:vAlign w:val="bottom"/>
            <w:gridSpan w:val="2"/>
          </w:tcPr>
          <w:p>
            <w:pPr>
              <w:jc w:val="right"/>
              <w:ind w:right="968"/>
              <w:spacing w:after="0"/>
              <w:rPr>
                <w:sz w:val="20"/>
                <w:szCs w:val="20"/>
                <w:color w:val="auto"/>
              </w:rPr>
            </w:pPr>
            <w:r>
              <w:rPr>
                <w:rFonts w:ascii="Arial" w:cs="Arial" w:eastAsia="Arial" w:hAnsi="Arial"/>
                <w:sz w:val="14"/>
                <w:szCs w:val="14"/>
                <w:b w:val="1"/>
                <w:bCs w:val="1"/>
                <w:color w:val="auto"/>
              </w:rPr>
              <w:t>Anti-PD-1</w:t>
            </w:r>
          </w:p>
        </w:tc>
        <w:tc>
          <w:tcPr>
            <w:tcW w:w="2380" w:type="dxa"/>
            <w:vAlign w:val="bottom"/>
            <w:gridSpan w:val="2"/>
          </w:tcPr>
          <w:p>
            <w:pPr>
              <w:jc w:val="center"/>
              <w:ind w:right="208"/>
              <w:spacing w:after="0"/>
              <w:rPr>
                <w:sz w:val="20"/>
                <w:szCs w:val="20"/>
                <w:color w:val="auto"/>
              </w:rPr>
            </w:pPr>
            <w:r>
              <w:rPr>
                <w:rFonts w:ascii="Arial" w:cs="Arial" w:eastAsia="Arial" w:hAnsi="Arial"/>
                <w:sz w:val="14"/>
                <w:szCs w:val="14"/>
                <w:b w:val="1"/>
                <w:bCs w:val="1"/>
                <w:color w:val="auto"/>
              </w:rPr>
              <w:t>Anti-TIM-3</w:t>
            </w:r>
          </w:p>
        </w:tc>
        <w:tc>
          <w:tcPr>
            <w:tcW w:w="220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Anti-LAG-3</w:t>
            </w:r>
          </w:p>
        </w:tc>
      </w:tr>
      <w:tr>
        <w:trPr>
          <w:trHeight w:val="192"/>
        </w:trPr>
        <w:tc>
          <w:tcPr>
            <w:tcW w:w="4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b w:val="1"/>
                <w:bCs w:val="1"/>
                <w:color w:val="auto"/>
                <w:w w:val="95"/>
              </w:rPr>
              <w:t>(TSR042)</w:t>
            </w:r>
          </w:p>
        </w:tc>
        <w:tc>
          <w:tcPr>
            <w:tcW w:w="7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5"/>
              </w:rPr>
              <w:t>(TSR022)</w:t>
            </w:r>
          </w:p>
        </w:tc>
        <w:tc>
          <w:tcPr>
            <w:tcW w:w="7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w w:val="98"/>
              </w:rPr>
              <w:t>(TSR033)</w:t>
            </w: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Milestone Event</w:t>
            </w:r>
          </w:p>
        </w:tc>
        <w:tc>
          <w:tcPr>
            <w:tcW w:w="92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tcPr>
          <w:p>
            <w:pPr>
              <w:jc w:val="center"/>
              <w:ind w:left="48"/>
              <w:spacing w:after="0"/>
              <w:rPr>
                <w:sz w:val="20"/>
                <w:szCs w:val="20"/>
                <w:color w:val="auto"/>
              </w:rPr>
            </w:pPr>
            <w:r>
              <w:rPr>
                <w:rFonts w:ascii="Arial" w:cs="Arial" w:eastAsia="Arial" w:hAnsi="Arial"/>
                <w:sz w:val="14"/>
                <w:szCs w:val="14"/>
                <w:b w:val="1"/>
                <w:bCs w:val="1"/>
                <w:color w:val="auto"/>
                <w:w w:val="98"/>
              </w:rPr>
              <w:t>Quarter Earned</w:t>
            </w:r>
          </w:p>
        </w:tc>
        <w:tc>
          <w:tcPr>
            <w:tcW w:w="760" w:type="dxa"/>
            <w:vAlign w:val="bottom"/>
          </w:tcPr>
          <w:p>
            <w:pPr>
              <w:jc w:val="center"/>
              <w:ind w:left="168"/>
              <w:spacing w:after="0"/>
              <w:rPr>
                <w:sz w:val="20"/>
                <w:szCs w:val="20"/>
                <w:color w:val="auto"/>
              </w:rPr>
            </w:pPr>
            <w:r>
              <w:rPr>
                <w:rFonts w:ascii="Arial" w:cs="Arial" w:eastAsia="Arial" w:hAnsi="Arial"/>
                <w:sz w:val="14"/>
                <w:szCs w:val="14"/>
                <w:b w:val="1"/>
                <w:bCs w:val="1"/>
                <w:color w:val="auto"/>
                <w:w w:val="98"/>
              </w:rPr>
              <w:t>Amount</w:t>
            </w: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auto"/>
                <w:w w:val="98"/>
              </w:rPr>
              <w:t>Quarter Earned</w:t>
            </w:r>
          </w:p>
        </w:tc>
        <w:tc>
          <w:tcPr>
            <w:tcW w:w="760" w:type="dxa"/>
            <w:vAlign w:val="bottom"/>
          </w:tcPr>
          <w:p>
            <w:pPr>
              <w:ind w:left="240"/>
              <w:spacing w:after="0"/>
              <w:rPr>
                <w:sz w:val="20"/>
                <w:szCs w:val="20"/>
                <w:color w:val="auto"/>
              </w:rPr>
            </w:pPr>
            <w:r>
              <w:rPr>
                <w:rFonts w:ascii="Arial" w:cs="Arial" w:eastAsia="Arial" w:hAnsi="Arial"/>
                <w:sz w:val="14"/>
                <w:szCs w:val="14"/>
                <w:b w:val="1"/>
                <w:bCs w:val="1"/>
                <w:color w:val="auto"/>
                <w:w w:val="94"/>
              </w:rPr>
              <w:t>Amount</w:t>
            </w:r>
          </w:p>
        </w:tc>
        <w:tc>
          <w:tcPr>
            <w:tcW w:w="1440" w:type="dxa"/>
            <w:vAlign w:val="bottom"/>
          </w:tcPr>
          <w:p>
            <w:pPr>
              <w:ind w:left="380"/>
              <w:spacing w:after="0"/>
              <w:rPr>
                <w:sz w:val="20"/>
                <w:szCs w:val="20"/>
                <w:color w:val="auto"/>
              </w:rPr>
            </w:pPr>
            <w:r>
              <w:rPr>
                <w:rFonts w:ascii="Arial" w:cs="Arial" w:eastAsia="Arial" w:hAnsi="Arial"/>
                <w:sz w:val="14"/>
                <w:szCs w:val="14"/>
                <w:b w:val="1"/>
                <w:bCs w:val="1"/>
                <w:color w:val="auto"/>
              </w:rPr>
              <w:t>Quarter Earned</w:t>
            </w:r>
          </w:p>
        </w:tc>
      </w:tr>
      <w:tr>
        <w:trPr>
          <w:trHeight w:val="379"/>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Initiated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studies using good laboratory practices</w:t>
            </w:r>
          </w:p>
        </w:tc>
        <w:tc>
          <w:tcPr>
            <w:tcW w:w="92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194"/>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(GLPs)</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$1.0M</w:t>
            </w:r>
          </w:p>
        </w:tc>
        <w:tc>
          <w:tcPr>
            <w:tcW w:w="16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Q2'15</w:t>
            </w:r>
          </w:p>
        </w:tc>
        <w:tc>
          <w:tcPr>
            <w:tcW w:w="76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97"/>
              </w:rPr>
              <w:t>$1.0M</w:t>
            </w:r>
          </w:p>
        </w:tc>
        <w:tc>
          <w:tcPr>
            <w:tcW w:w="16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1"/>
              </w:rPr>
              <w:t>Q4'15</w:t>
            </w:r>
          </w:p>
        </w:tc>
        <w:tc>
          <w:tcPr>
            <w:tcW w:w="760" w:type="dxa"/>
            <w:vAlign w:val="bottom"/>
            <w:shd w:val="clear" w:color="auto" w:fill="CCEEFF"/>
          </w:tcPr>
          <w:p>
            <w:pPr>
              <w:jc w:val="center"/>
              <w:ind w:left="148"/>
              <w:spacing w:after="0"/>
              <w:rPr>
                <w:sz w:val="20"/>
                <w:szCs w:val="20"/>
                <w:color w:val="auto"/>
              </w:rPr>
            </w:pPr>
            <w:r>
              <w:rPr>
                <w:rFonts w:ascii="Arial" w:cs="Arial" w:eastAsia="Arial" w:hAnsi="Arial"/>
                <w:sz w:val="14"/>
                <w:szCs w:val="14"/>
                <w:color w:val="auto"/>
                <w:w w:val="97"/>
              </w:rPr>
              <w:t>$1.0M</w:t>
            </w:r>
          </w:p>
        </w:tc>
        <w:tc>
          <w:tcPr>
            <w:tcW w:w="144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1"/>
              </w:rPr>
              <w:t>Q3'16</w:t>
            </w:r>
          </w:p>
        </w:tc>
      </w:tr>
      <w:tr>
        <w:trPr>
          <w:trHeight w:val="264"/>
        </w:trPr>
        <w:tc>
          <w:tcPr>
            <w:tcW w:w="4280" w:type="dxa"/>
            <w:vAlign w:val="bottom"/>
          </w:tcPr>
          <w:p>
            <w:pPr>
              <w:ind w:left="40"/>
              <w:spacing w:after="0"/>
              <w:rPr>
                <w:sz w:val="20"/>
                <w:szCs w:val="20"/>
                <w:color w:val="auto"/>
              </w:rPr>
            </w:pPr>
            <w:r>
              <w:rPr>
                <w:rFonts w:ascii="Arial" w:cs="Arial" w:eastAsia="Arial" w:hAnsi="Arial"/>
                <w:sz w:val="14"/>
                <w:szCs w:val="14"/>
                <w:color w:val="auto"/>
              </w:rPr>
              <w:t>IND clearance from the FDA</w:t>
            </w:r>
          </w:p>
        </w:tc>
        <w:tc>
          <w:tcPr>
            <w:tcW w:w="920" w:type="dxa"/>
            <w:vAlign w:val="bottom"/>
          </w:tcPr>
          <w:p>
            <w:pPr>
              <w:jc w:val="center"/>
              <w:ind w:left="308"/>
              <w:spacing w:after="0"/>
              <w:rPr>
                <w:sz w:val="20"/>
                <w:szCs w:val="20"/>
                <w:color w:val="auto"/>
              </w:rPr>
            </w:pPr>
            <w:r>
              <w:rPr>
                <w:rFonts w:ascii="Arial" w:cs="Arial" w:eastAsia="Arial" w:hAnsi="Arial"/>
                <w:sz w:val="14"/>
                <w:szCs w:val="14"/>
                <w:color w:val="auto"/>
                <w:w w:val="97"/>
              </w:rPr>
              <w:t>$4.0M</w:t>
            </w:r>
          </w:p>
        </w:tc>
        <w:tc>
          <w:tcPr>
            <w:tcW w:w="1640" w:type="dxa"/>
            <w:vAlign w:val="bottom"/>
          </w:tcPr>
          <w:p>
            <w:pPr>
              <w:jc w:val="center"/>
              <w:ind w:left="48"/>
              <w:spacing w:after="0"/>
              <w:rPr>
                <w:sz w:val="20"/>
                <w:szCs w:val="20"/>
                <w:color w:val="auto"/>
              </w:rPr>
            </w:pPr>
            <w:r>
              <w:rPr>
                <w:rFonts w:ascii="Arial" w:cs="Arial" w:eastAsia="Arial" w:hAnsi="Arial"/>
                <w:sz w:val="14"/>
                <w:szCs w:val="14"/>
                <w:color w:val="auto"/>
                <w:w w:val="97"/>
              </w:rPr>
              <w:t>Q1'16</w:t>
            </w:r>
          </w:p>
        </w:tc>
        <w:tc>
          <w:tcPr>
            <w:tcW w:w="760" w:type="dxa"/>
            <w:vAlign w:val="bottom"/>
          </w:tcPr>
          <w:p>
            <w:pPr>
              <w:jc w:val="center"/>
              <w:ind w:left="188"/>
              <w:spacing w:after="0"/>
              <w:rPr>
                <w:sz w:val="20"/>
                <w:szCs w:val="20"/>
                <w:color w:val="auto"/>
              </w:rPr>
            </w:pPr>
            <w:r>
              <w:rPr>
                <w:rFonts w:ascii="Arial" w:cs="Arial" w:eastAsia="Arial" w:hAnsi="Arial"/>
                <w:sz w:val="14"/>
                <w:szCs w:val="14"/>
                <w:color w:val="auto"/>
                <w:w w:val="97"/>
              </w:rPr>
              <w:t>$4.0M</w:t>
            </w:r>
          </w:p>
        </w:tc>
        <w:tc>
          <w:tcPr>
            <w:tcW w:w="1620" w:type="dxa"/>
            <w:vAlign w:val="bottom"/>
          </w:tcPr>
          <w:p>
            <w:pPr>
              <w:jc w:val="center"/>
              <w:ind w:left="48"/>
              <w:spacing w:after="0"/>
              <w:rPr>
                <w:sz w:val="20"/>
                <w:szCs w:val="20"/>
                <w:color w:val="auto"/>
              </w:rPr>
            </w:pPr>
            <w:r>
              <w:rPr>
                <w:rFonts w:ascii="Arial" w:cs="Arial" w:eastAsia="Arial" w:hAnsi="Arial"/>
                <w:sz w:val="14"/>
                <w:szCs w:val="14"/>
                <w:color w:val="auto"/>
                <w:w w:val="91"/>
              </w:rPr>
              <w:t>Q2'16</w:t>
            </w:r>
          </w:p>
        </w:tc>
        <w:tc>
          <w:tcPr>
            <w:tcW w:w="760" w:type="dxa"/>
            <w:vAlign w:val="bottom"/>
          </w:tcPr>
          <w:p>
            <w:pPr>
              <w:jc w:val="center"/>
              <w:ind w:left="148"/>
              <w:spacing w:after="0"/>
              <w:rPr>
                <w:sz w:val="20"/>
                <w:szCs w:val="20"/>
                <w:color w:val="auto"/>
              </w:rPr>
            </w:pPr>
            <w:r>
              <w:rPr>
                <w:rFonts w:ascii="Arial" w:cs="Arial" w:eastAsia="Arial" w:hAnsi="Arial"/>
                <w:sz w:val="14"/>
                <w:szCs w:val="14"/>
                <w:color w:val="auto"/>
                <w:w w:val="97"/>
              </w:rPr>
              <w:t>$4.0M</w:t>
            </w:r>
          </w:p>
        </w:tc>
        <w:tc>
          <w:tcPr>
            <w:tcW w:w="1440" w:type="dxa"/>
            <w:vAlign w:val="bottom"/>
          </w:tcPr>
          <w:p>
            <w:pPr>
              <w:jc w:val="center"/>
              <w:ind w:left="228"/>
              <w:spacing w:after="0"/>
              <w:rPr>
                <w:sz w:val="20"/>
                <w:szCs w:val="20"/>
                <w:color w:val="auto"/>
              </w:rPr>
            </w:pPr>
            <w:r>
              <w:rPr>
                <w:rFonts w:ascii="Arial" w:cs="Arial" w:eastAsia="Arial" w:hAnsi="Arial"/>
                <w:sz w:val="14"/>
                <w:szCs w:val="14"/>
                <w:color w:val="auto"/>
                <w:w w:val="91"/>
              </w:rPr>
              <w:t>Q2'17</w:t>
            </w:r>
          </w:p>
        </w:tc>
      </w:tr>
      <w:tr>
        <w:trPr>
          <w:trHeight w:val="276"/>
        </w:trPr>
        <w:tc>
          <w:tcPr>
            <w:tcW w:w="4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Phase 2 clinical trial initiation</w:t>
            </w:r>
          </w:p>
        </w:tc>
        <w:tc>
          <w:tcPr>
            <w:tcW w:w="9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$3.0M</w:t>
            </w:r>
          </w:p>
        </w:tc>
        <w:tc>
          <w:tcPr>
            <w:tcW w:w="16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7"/>
              </w:rPr>
              <w:t>Q2'17</w:t>
            </w:r>
          </w:p>
        </w:tc>
        <w:tc>
          <w:tcPr>
            <w:tcW w:w="76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w w:val="97"/>
              </w:rPr>
              <w:t>$3.0M</w:t>
            </w:r>
          </w:p>
        </w:tc>
        <w:tc>
          <w:tcPr>
            <w:tcW w:w="162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1"/>
              </w:rPr>
              <w:t>Q4'17</w:t>
            </w:r>
          </w:p>
        </w:tc>
        <w:tc>
          <w:tcPr>
            <w:tcW w:w="76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center"/>
              <w:ind w:left="228"/>
              <w:spacing w:after="0"/>
              <w:rPr>
                <w:sz w:val="20"/>
                <w:szCs w:val="20"/>
                <w:color w:val="auto"/>
              </w:rPr>
            </w:pPr>
            <w:r>
              <w:rPr>
                <w:rFonts w:ascii="Arial" w:cs="Arial" w:eastAsia="Arial" w:hAnsi="Arial"/>
                <w:sz w:val="14"/>
                <w:szCs w:val="14"/>
                <w:color w:val="auto"/>
                <w:w w:val="99"/>
              </w:rPr>
              <w:t>—</w:t>
            </w:r>
          </w:p>
        </w:tc>
      </w:tr>
    </w:tbl>
    <w:p>
      <w:pPr>
        <w:spacing w:after="0" w:line="202" w:lineRule="exact"/>
        <w:rPr>
          <w:sz w:val="20"/>
          <w:szCs w:val="20"/>
          <w:color w:val="auto"/>
        </w:rPr>
      </w:pPr>
    </w:p>
    <w:p>
      <w:pPr>
        <w:jc w:val="both"/>
        <w:ind w:right="60" w:firstLine="567"/>
        <w:spacing w:after="0" w:line="277" w:lineRule="auto"/>
        <w:rPr>
          <w:sz w:val="20"/>
          <w:szCs w:val="20"/>
          <w:color w:val="auto"/>
        </w:rPr>
      </w:pPr>
      <w:r>
        <w:rPr>
          <w:rFonts w:ascii="Arial" w:cs="Arial" w:eastAsia="Arial" w:hAnsi="Arial"/>
          <w:sz w:val="18"/>
          <w:szCs w:val="18"/>
          <w:color w:val="auto"/>
        </w:rPr>
        <w:t>Milestones achieved during the discovery period were recognized pro-rata through December 31, 2016. Milestones achieved subsequent to December 31, 2016 were recognized in the period earned.</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80" w:firstLine="567"/>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60" w:firstLine="567"/>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December 31, 2017, we have recognized $10.0 million in total revenue from Celgene.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20" w:type="dxa"/>
            <w:vAlign w:val="bottom"/>
          </w:tcPr>
          <w:p>
            <w:pPr>
              <w:jc w:val="center"/>
              <w:ind w:right="848"/>
              <w:spacing w:after="0"/>
              <w:rPr>
                <w:sz w:val="20"/>
                <w:szCs w:val="20"/>
                <w:color w:val="auto"/>
              </w:rPr>
            </w:pPr>
            <w:r>
              <w:rPr>
                <w:rFonts w:ascii="Arial" w:cs="Arial" w:eastAsia="Arial" w:hAnsi="Arial"/>
                <w:sz w:val="14"/>
                <w:szCs w:val="14"/>
                <w:b w:val="1"/>
                <w:bCs w:val="1"/>
                <w:color w:val="auto"/>
                <w:w w:val="97"/>
              </w:rPr>
              <w:t>Anti-PD-1</w:t>
            </w:r>
          </w:p>
        </w:tc>
      </w:tr>
      <w:tr>
        <w:trPr>
          <w:trHeight w:val="192"/>
        </w:trPr>
        <w:tc>
          <w:tcPr>
            <w:tcW w:w="63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b w:val="1"/>
                <w:bCs w:val="1"/>
                <w:color w:val="auto"/>
                <w:w w:val="95"/>
              </w:rPr>
              <w:t>(CC-90006)</w:t>
            </w:r>
          </w:p>
        </w:tc>
      </w:tr>
      <w:tr>
        <w:trPr>
          <w:trHeight w:val="196"/>
        </w:trPr>
        <w:tc>
          <w:tcPr>
            <w:tcW w:w="6340" w:type="dxa"/>
            <w:vAlign w:val="bottom"/>
          </w:tcPr>
          <w:p>
            <w:pPr>
              <w:ind w:left="40"/>
              <w:spacing w:after="0"/>
              <w:rPr>
                <w:sz w:val="20"/>
                <w:szCs w:val="20"/>
                <w:color w:val="auto"/>
              </w:rPr>
            </w:pPr>
            <w:r>
              <w:rPr>
                <w:rFonts w:ascii="Arial" w:cs="Arial" w:eastAsia="Arial" w:hAnsi="Arial"/>
                <w:sz w:val="14"/>
                <w:szCs w:val="14"/>
                <w:b w:val="1"/>
                <w:bCs w:val="1"/>
                <w:color w:val="auto"/>
              </w:rPr>
              <w:t>Milestone Event</w:t>
            </w:r>
          </w:p>
        </w:tc>
        <w:tc>
          <w:tcPr>
            <w:tcW w:w="3460" w:type="dxa"/>
            <w:vAlign w:val="bottom"/>
          </w:tcPr>
          <w:p>
            <w:pPr>
              <w:jc w:val="center"/>
              <w:ind w:left="2888"/>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tcPr>
          <w:p>
            <w:pPr>
              <w:jc w:val="center"/>
              <w:ind w:left="308"/>
              <w:spacing w:after="0"/>
              <w:rPr>
                <w:sz w:val="20"/>
                <w:szCs w:val="20"/>
                <w:color w:val="auto"/>
              </w:rPr>
            </w:pPr>
            <w:r>
              <w:rPr>
                <w:rFonts w:ascii="Arial" w:cs="Arial" w:eastAsia="Arial" w:hAnsi="Arial"/>
                <w:sz w:val="14"/>
                <w:szCs w:val="14"/>
                <w:b w:val="1"/>
                <w:bCs w:val="1"/>
                <w:color w:val="auto"/>
                <w:w w:val="98"/>
              </w:rPr>
              <w:t>Quarter Earned</w:t>
            </w:r>
          </w:p>
        </w:tc>
      </w:tr>
      <w:tr>
        <w:trPr>
          <w:trHeight w:val="425"/>
        </w:trPr>
        <w:tc>
          <w:tcPr>
            <w:tcW w:w="6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Completion of first in vivo toxicology studies using GLPs</w:t>
            </w:r>
          </w:p>
        </w:tc>
        <w:tc>
          <w:tcPr>
            <w:tcW w:w="3460" w:type="dxa"/>
            <w:vAlign w:val="bottom"/>
            <w:shd w:val="clear" w:color="auto" w:fill="CCEEFF"/>
          </w:tcPr>
          <w:p>
            <w:pPr>
              <w:jc w:val="center"/>
              <w:ind w:left="2888"/>
              <w:spacing w:after="0"/>
              <w:rPr>
                <w:sz w:val="20"/>
                <w:szCs w:val="20"/>
                <w:color w:val="auto"/>
              </w:rPr>
            </w:pPr>
            <w:r>
              <w:rPr>
                <w:rFonts w:ascii="Arial" w:cs="Arial" w:eastAsia="Arial" w:hAnsi="Arial"/>
                <w:sz w:val="14"/>
                <w:szCs w:val="14"/>
                <w:color w:val="auto"/>
                <w:w w:val="97"/>
              </w:rPr>
              <w:t>$0.5M</w:t>
            </w:r>
          </w:p>
        </w:tc>
        <w:tc>
          <w:tcPr>
            <w:tcW w:w="162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7"/>
              </w:rPr>
              <w:t>Q2'16</w:t>
            </w:r>
          </w:p>
        </w:tc>
      </w:tr>
      <w:tr>
        <w:trPr>
          <w:trHeight w:val="191"/>
        </w:trPr>
        <w:tc>
          <w:tcPr>
            <w:tcW w:w="6340" w:type="dxa"/>
            <w:vAlign w:val="bottom"/>
          </w:tcPr>
          <w:p>
            <w:pPr>
              <w:ind w:left="40"/>
              <w:spacing w:after="0"/>
              <w:rPr>
                <w:sz w:val="20"/>
                <w:szCs w:val="20"/>
                <w:color w:val="auto"/>
              </w:rPr>
            </w:pPr>
            <w:r>
              <w:rPr>
                <w:rFonts w:ascii="Arial" w:cs="Arial" w:eastAsia="Arial" w:hAnsi="Arial"/>
                <w:sz w:val="14"/>
                <w:szCs w:val="14"/>
                <w:color w:val="auto"/>
              </w:rPr>
              <w:t>Phase 1 clinical trial initiation</w:t>
            </w:r>
          </w:p>
        </w:tc>
        <w:tc>
          <w:tcPr>
            <w:tcW w:w="3460" w:type="dxa"/>
            <w:vAlign w:val="bottom"/>
          </w:tcPr>
          <w:p>
            <w:pPr>
              <w:jc w:val="center"/>
              <w:ind w:left="2888"/>
              <w:spacing w:after="0"/>
              <w:rPr>
                <w:sz w:val="20"/>
                <w:szCs w:val="20"/>
                <w:color w:val="auto"/>
              </w:rPr>
            </w:pPr>
            <w:r>
              <w:rPr>
                <w:rFonts w:ascii="Arial" w:cs="Arial" w:eastAsia="Arial" w:hAnsi="Arial"/>
                <w:sz w:val="14"/>
                <w:szCs w:val="14"/>
                <w:color w:val="auto"/>
                <w:w w:val="97"/>
              </w:rPr>
              <w:t>$1.0M</w:t>
            </w:r>
          </w:p>
        </w:tc>
        <w:tc>
          <w:tcPr>
            <w:tcW w:w="1620" w:type="dxa"/>
            <w:vAlign w:val="bottom"/>
          </w:tcPr>
          <w:p>
            <w:pPr>
              <w:jc w:val="center"/>
              <w:ind w:left="308"/>
              <w:spacing w:after="0"/>
              <w:rPr>
                <w:sz w:val="20"/>
                <w:szCs w:val="20"/>
                <w:color w:val="auto"/>
              </w:rPr>
            </w:pPr>
            <w:r>
              <w:rPr>
                <w:rFonts w:ascii="Arial" w:cs="Arial" w:eastAsia="Arial" w:hAnsi="Arial"/>
                <w:sz w:val="14"/>
                <w:szCs w:val="14"/>
                <w:color w:val="auto"/>
                <w:w w:val="97"/>
              </w:rPr>
              <w:t>Q4'16</w:t>
            </w:r>
          </w:p>
        </w:tc>
      </w:tr>
    </w:tbl>
    <w:p>
      <w:pPr>
        <w:spacing w:after="0" w:line="214"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Milestones were recognized as revenue in the period earned. There was no revenue recognized under this agreement during the years ended December 31, 2017 or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660" w:right="320" w:hanging="314"/>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Personnel and other related costs;</w:t>
      </w:r>
    </w:p>
    <w:p>
      <w:pPr>
        <w:spacing w:after="0" w:line="117" w:lineRule="exact"/>
        <w:rPr>
          <w:rFonts w:ascii="Arial" w:cs="Arial" w:eastAsia="Arial" w:hAnsi="Arial"/>
          <w:sz w:val="18"/>
          <w:szCs w:val="18"/>
          <w:color w:val="auto"/>
        </w:rPr>
      </w:pPr>
    </w:p>
    <w:p>
      <w:pPr>
        <w:ind w:left="660" w:right="60" w:hanging="314"/>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jc w:val="both"/>
        <w:ind w:right="20" w:firstLine="567"/>
        <w:spacing w:after="0" w:line="259" w:lineRule="auto"/>
        <w:rPr>
          <w:sz w:val="20"/>
          <w:szCs w:val="20"/>
          <w:color w:val="auto"/>
        </w:rPr>
      </w:pPr>
      <w:r>
        <w:rPr>
          <w:rFonts w:ascii="Arial" w:cs="Arial" w:eastAsia="Arial" w:hAnsi="Arial"/>
          <w:sz w:val="18"/>
          <w:szCs w:val="18"/>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834" w:right="239" w:bottom="1440" w:gutter="0" w:footer="0" w:header="0"/>
        </w:sectPr>
      </w:pPr>
    </w:p>
    <w:bookmarkStart w:id="68" w:name="page69"/>
    <w:bookmarkEnd w:id="68"/>
    <w:p>
      <w:pPr>
        <w:ind w:right="220"/>
        <w:spacing w:after="0" w:line="277" w:lineRule="auto"/>
        <w:rPr>
          <w:sz w:val="20"/>
          <w:szCs w:val="20"/>
          <w:color w:val="auto"/>
        </w:rPr>
      </w:pPr>
      <w:r>
        <w:rPr>
          <w:rFonts w:ascii="Arial" w:cs="Arial" w:eastAsia="Arial" w:hAnsi="Arial"/>
          <w:sz w:val="18"/>
          <w:szCs w:val="18"/>
          <w:color w:val="auto"/>
        </w:rPr>
        <w:t>The Tax Incentive is recognized when there is reasonable assurance that the Tax Incentive will be received, the relevant expenditure has been incurred, and the amount can be reliably measured.</w:t>
      </w:r>
    </w:p>
    <w:p>
      <w:pPr>
        <w:spacing w:after="0" w:line="170" w:lineRule="exact"/>
        <w:rPr>
          <w:sz w:val="20"/>
          <w:szCs w:val="20"/>
          <w:color w:val="auto"/>
        </w:rPr>
      </w:pPr>
    </w:p>
    <w:p>
      <w:pPr>
        <w:ind w:right="60" w:firstLine="567"/>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conducted initial clinical trials for ANB020 and are conducting initial clinical trials for ANB019 in Australia to rapidly enter into first-in-human studies and benefit from research and development-related financial incentives related to the development of ANB020 and ANB019. We have completed a Phase 2a trial of ANB020 in patients with moderate-to-severe adult atopic dermatitis, have completed enrollment in our ongoing Phase 2a trial of ANB020 in patients with severe adult peanut allergy and are enrolling under a CTA with MHRA of a Phase 2a trial of ANB020 in 24 severe adult eosinophilic asthma patients. We expect our research and development expenses to be higher for the foreseeable future as we advance our product candidates into clinical development.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jc w:val="both"/>
        <w:ind w:right="200" w:firstLine="567"/>
        <w:spacing w:after="0" w:line="312" w:lineRule="auto"/>
        <w:rPr>
          <w:sz w:val="20"/>
          <w:szCs w:val="20"/>
          <w:color w:val="auto"/>
        </w:rPr>
      </w:pPr>
      <w:r>
        <w:rPr>
          <w:rFonts w:ascii="Arial" w:cs="Arial" w:eastAsia="Arial" w:hAnsi="Arial"/>
          <w:sz w:val="16"/>
          <w:szCs w:val="16"/>
          <w:color w:val="auto"/>
        </w:rPr>
        <w:t>General and administrative expenses consist primarily of personnel and other related costs,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firstLine="567"/>
        <w:spacing w:after="0" w:line="308" w:lineRule="auto"/>
        <w:rPr>
          <w:sz w:val="20"/>
          <w:szCs w:val="20"/>
          <w:color w:val="auto"/>
        </w:rPr>
      </w:pPr>
      <w:r>
        <w:rPr>
          <w:rFonts w:ascii="Arial" w:cs="Arial" w:eastAsia="Arial" w:hAnsi="Arial"/>
          <w:sz w:val="17"/>
          <w:szCs w:val="17"/>
          <w:color w:val="auto"/>
        </w:rPr>
        <w:t>Interest expense consists of stated and floating interest payments and amortization of discounts on our outstanding notes payable relating to our Loan and Security Agreement with Oxford Finance LLC and Silicon Valley Bank, as amended, which we refer to as the Loan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Fair Value of Liability for Preferred Stock Warrants</w:t>
      </w:r>
    </w:p>
    <w:p>
      <w:pPr>
        <w:spacing w:after="0" w:line="121" w:lineRule="exact"/>
        <w:rPr>
          <w:sz w:val="20"/>
          <w:szCs w:val="20"/>
          <w:color w:val="auto"/>
        </w:rPr>
      </w:pPr>
    </w:p>
    <w:p>
      <w:pPr>
        <w:ind w:right="160" w:firstLine="567"/>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is from the valuation of our outstanding warrants to purchase shares of our preferred stock, which were valued at each period end. Upon the closing of our initial public offering on January 31, 2017, the warrants to purchase shares of preferred stock have converted into warrants to purchase shares of common stock, the preferred stock warrant liabilities have been reclassified to additional paid-in capital and periodic fair value adjustments will no longer be required.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21" w:lineRule="exact"/>
        <w:rPr>
          <w:sz w:val="20"/>
          <w:szCs w:val="20"/>
          <w:color w:val="auto"/>
        </w:rPr>
      </w:pPr>
    </w:p>
    <w:p>
      <w:pPr>
        <w:ind w:right="80" w:firstLine="567"/>
        <w:spacing w:after="0" w:line="259" w:lineRule="auto"/>
        <w:rPr>
          <w:sz w:val="20"/>
          <w:szCs w:val="20"/>
          <w:color w:val="auto"/>
        </w:rPr>
      </w:pPr>
      <w:r>
        <w:rPr>
          <w:rFonts w:ascii="Arial" w:cs="Arial" w:eastAsia="Arial" w:hAnsi="Arial"/>
          <w:sz w:val="18"/>
          <w:szCs w:val="18"/>
          <w:color w:val="auto"/>
        </w:rPr>
        <w:t>Since inception, we have accumulated net operating losses, or NOLs in all years except December 31, 2015 and 2014, in which we generated taxable income as a result of our collaboration agreement with TESARO as well as expenses incurred by our Australian subsidiary which are not deductible for U.S. income tax purposes. While we utilized NOLs in 2015 and 2014, we since incurred losses and therefore continue to have a valuation allowance against our net deferred tax assets due to the uncertainty of the realization of such assets.</w:t>
      </w:r>
    </w:p>
    <w:p>
      <w:pPr>
        <w:spacing w:after="0" w:line="18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At December 31, 2017, we had federal and state NOL carryforwards of $60.1 million and $57.2 million, respectively. The federal and state NOLs will both begin to expire in 2028, respectively, unless previously utilized. At December 31, 2017, we had federal and California research tax credit carryforwards of $3.0 million and $2.9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right="20" w:firstLine="567"/>
        <w:spacing w:after="0" w:line="272"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 Section 382 and 383 of the Code ownership change analysis through December 31, 2014 and determined that there was an ownership change in 2007 that may limit the utilization of approximately $5.3 million and $5.4 million in Federal and state NOLs, respectively, and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801" w:right="25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t>$0.2 million in both Federal and state research tax credits. We extended the analysis period of the study through December 31, 2016, noting no ownership changes during fiscal 2015 or 2016. We intend to extend the analysis period through December 31, 2017 in the current year, and are expecting an ownership change as a result of our IPO that may limit the utilization of Federal and State NOLs.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80" w:lineRule="exact"/>
        <w:rPr>
          <w:sz w:val="20"/>
          <w:szCs w:val="20"/>
          <w:color w:val="auto"/>
        </w:rPr>
      </w:pPr>
    </w:p>
    <w:p>
      <w:pPr>
        <w:ind w:right="20" w:firstLine="567"/>
        <w:spacing w:after="0" w:line="287"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the corporate income tax rates. The Tax Reform Act permanently reduces the U.S. corporate income tax rate from a maximum of 35% to a flat 21% rate, effective January 1, 2018. Additionally, the Tax Reform Act will no longer allow deductions for compensation in excess of $1 million for certain employees, even if paid as commissions or performance based compensation. The Company may be subject to these limitations as provided for under Section 162(m) of the Internal Revenue Code in the future. 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provision tax impacts related to the revaluation of deferred tax assets and liabilities and included this amount in its consolidated financial statements for the year ended December 31, 2017. The ultimate impact may differ from these provision amounts, due to, among other things, additional analysis, changes in interpretations and assumptions the Company had made, additional regulatory guidance that may be issued, and actions the Company may take as a result of the Tax Reform Act. The accounting is expected to be complete when the 2017 U.S. corporate income tax return is filed in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567"/>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firstLine="567"/>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567"/>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62" w:lineRule="exact"/>
        <w:rPr>
          <w:sz w:val="20"/>
          <w:szCs w:val="20"/>
          <w:color w:val="auto"/>
        </w:rPr>
      </w:pPr>
    </w:p>
    <w:p>
      <w:pPr>
        <w:ind w:left="660" w:right="40" w:hanging="314"/>
        <w:spacing w:after="0" w:line="30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800" w:right="279" w:bottom="1440" w:gutter="0" w:footer="0" w:header="0"/>
        </w:sectPr>
      </w:pPr>
    </w:p>
    <w:bookmarkStart w:id="70" w:name="page71"/>
    <w:bookmarkEnd w:id="70"/>
    <w:p>
      <w:pPr>
        <w:ind w:left="660" w:hanging="314"/>
        <w:spacing w:after="0" w:line="297"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567"/>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240" w:firstLine="567"/>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16" w:lineRule="exact"/>
        <w:rPr>
          <w:sz w:val="20"/>
          <w:szCs w:val="20"/>
          <w:color w:val="auto"/>
        </w:rPr>
      </w:pPr>
    </w:p>
    <w:p>
      <w:pPr>
        <w:ind w:left="660" w:right="220" w:hanging="314"/>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62" w:lineRule="exact"/>
        <w:rPr>
          <w:rFonts w:ascii="Arial" w:cs="Arial" w:eastAsia="Arial" w:hAnsi="Arial"/>
          <w:sz w:val="18"/>
          <w:szCs w:val="18"/>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17" w:lineRule="exact"/>
        <w:rPr>
          <w:rFonts w:ascii="Arial" w:cs="Arial" w:eastAsia="Arial" w:hAnsi="Arial"/>
          <w:sz w:val="18"/>
          <w:szCs w:val="18"/>
          <w:color w:val="auto"/>
        </w:rPr>
      </w:pPr>
    </w:p>
    <w:p>
      <w:pPr>
        <w:ind w:left="660" w:hanging="314"/>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225" w:lineRule="exact"/>
        <w:rPr>
          <w:sz w:val="20"/>
          <w:szCs w:val="20"/>
          <w:color w:val="auto"/>
        </w:rPr>
      </w:pPr>
    </w:p>
    <w:p>
      <w:pPr>
        <w:ind w:right="120" w:firstLine="567"/>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170"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 xml:space="preserve">See Part II Item 7—Recent Accounting Pronouncements below for information surrounding the adoption of ASU 2014-09,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which will become effective on January 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40" w:firstLine="567"/>
        <w:spacing w:after="0" w:line="271"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9"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ind w:right="200" w:firstLine="567"/>
        <w:spacing w:after="0" w:line="312"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692" w:right="279" w:bottom="1440" w:gutter="0" w:footer="0" w:header="0"/>
        </w:sectPr>
      </w:pPr>
    </w:p>
    <w:bookmarkStart w:id="71" w:name="page72"/>
    <w:bookmarkEnd w:id="71"/>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Entities have the option of using either a full retrospective or a modified retrospective approach for the adoption of the new standard. We will transition this standard using the modified retrospective approach for our annual reporting period beginning January 1, 2018. Based on our current revenue structure,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which would require the milestone payments to be recorded when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a cumulative catch-up adjustment will not be required as of January 1, 2018. While we currently disaggregate our revenue disclosures by collaborative agreement, additional discussion surrounding significant estimates made by management is required.</w:t>
      </w:r>
    </w:p>
    <w:p>
      <w:pPr>
        <w:spacing w:after="0" w:line="181"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We adopted this standard as of January 1, 2018 and note that this standard will not have a material impact on our consolidated financial statements.</w:t>
      </w:r>
    </w:p>
    <w:p>
      <w:pPr>
        <w:spacing w:after="0" w:line="178"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that lessees recognize a right-of-use asset and a related lease liability arising from leases on the balance sheet. ASU 2016-02 becomes effective for our annual reporting period beginning January 1, 2019, including interim periods thereafter. We have begun analyzing recently executed contracts for embedded leases and have begun to review historical contracts that are still in effect for 2017, including our outstanding lease agreements. We continue to assess the impact that this standard will have on our consolidated financial statements and anticipate recognition of additional assets and corresponding liabilities related to leases on its consolidated balance sheets.</w:t>
      </w:r>
    </w:p>
    <w:p>
      <w:pPr>
        <w:spacing w:after="0" w:line="15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We adopted this standard as of January 1, 2018, and note that this standard will not have a material impact on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and 2016</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180" w:firstLine="567"/>
        <w:spacing w:after="0" w:line="277" w:lineRule="auto"/>
        <w:rPr>
          <w:sz w:val="20"/>
          <w:szCs w:val="20"/>
          <w:color w:val="auto"/>
        </w:rPr>
      </w:pPr>
      <w:r>
        <w:rPr>
          <w:rFonts w:ascii="Arial" w:cs="Arial" w:eastAsia="Arial" w:hAnsi="Arial"/>
          <w:sz w:val="18"/>
          <w:szCs w:val="18"/>
          <w:color w:val="auto"/>
        </w:rPr>
        <w:t>Collaboration revenue was $10.0 million compared to $16.7 million for the year ended December 31, 2017 and 2016, respectively. A comparison of revenue by collaborator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vMerge w:val="restart"/>
          </w:tcPr>
          <w:p>
            <w:pPr>
              <w:jc w:val="right"/>
              <w:ind w:right="44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TESARO-amortization of upfront payments</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2,634</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TESARO-funding of research and development</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3,242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TESARO-milestones</w:t>
            </w:r>
          </w:p>
        </w:tc>
        <w:tc>
          <w:tcPr>
            <w:tcW w:w="38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9,308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Celgene-milestones</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Total collaboration revenue</w:t>
            </w:r>
          </w:p>
        </w:tc>
        <w:tc>
          <w:tcPr>
            <w:tcW w:w="380" w:type="dxa"/>
            <w:vAlign w:val="bottom"/>
            <w:tcBorders>
              <w:bottom w:val="single" w:sz="8" w:color="CFF0FC"/>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FF0FC"/>
            </w:tcBorders>
            <w:shd w:val="clear" w:color="auto" w:fill="CFF0FC"/>
          </w:tcPr>
          <w:p>
            <w:pPr>
              <w:jc w:val="right"/>
              <w:ind w:right="42"/>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16,684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80" w:firstLine="567"/>
        <w:spacing w:after="0" w:line="264" w:lineRule="auto"/>
        <w:rPr>
          <w:sz w:val="20"/>
          <w:szCs w:val="20"/>
          <w:color w:val="auto"/>
        </w:rPr>
      </w:pPr>
      <w:r>
        <w:rPr>
          <w:rFonts w:ascii="Arial" w:cs="Arial" w:eastAsia="Arial" w:hAnsi="Arial"/>
          <w:sz w:val="18"/>
          <w:szCs w:val="18"/>
          <w:color w:val="auto"/>
        </w:rPr>
        <w:t>Collaboration revenue during the year ended December 31, 2017 decreased $6.7 million compared to the year ended December 31, 2016 primarily due to a decrease in upfront fees and research reimbursement revenue which we recognized in full upon the completion of the research services under the TESARO contract in December 31, 2016, as well as a decrease in milestone revenue.</w:t>
      </w:r>
    </w:p>
    <w:p>
      <w:pPr>
        <w:spacing w:after="0" w:line="127" w:lineRule="exact"/>
        <w:rPr>
          <w:sz w:val="20"/>
          <w:szCs w:val="20"/>
          <w:color w:val="auto"/>
        </w:rPr>
      </w:pPr>
    </w:p>
    <w:p>
      <w:pPr>
        <w:ind w:right="70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 xml:space="preserve">Research and development expenses were $29.4 million during the year ended December 31, 2017 compared to $15.4 million during the year ended December 31, 2016, for an increase of approximately $14.0 million. The increase is primarily due to </w:t>
      </w:r>
      <w:r>
        <w:rPr>
          <w:rFonts w:ascii="Arial" w:cs="Arial" w:eastAsia="Arial" w:hAnsi="Arial"/>
          <w:sz w:val="18"/>
          <w:szCs w:val="18"/>
          <w:color w:val="231F20"/>
        </w:rPr>
        <w:t>a</w:t>
      </w:r>
      <w:r>
        <w:rPr>
          <w:rFonts w:ascii="Arial" w:cs="Arial" w:eastAsia="Arial" w:hAnsi="Arial"/>
          <w:sz w:val="18"/>
          <w:szCs w:val="18"/>
          <w:color w:val="auto"/>
        </w:rPr>
        <w:t xml:space="preserve"> $5.7 million decrease in Australian tax incentives recognized. The decrease in the Australian tax incentives related to the timing of the initial recognition of 2015 and 2016 tax incentives as well as a reduction in reimbursable expenses during 2017. The increase is also attributable to a $3.4 million increase in clinical expenses, a $2.3 million increase in outside services for preclinical and manufacturing expenses, and a $2.4 million increase in salaries and related expenses, including stock compensation expense and recruiting fees.</w:t>
      </w:r>
    </w:p>
    <w:p>
      <w:pPr>
        <w:spacing w:after="0" w:line="193"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40" w:firstLine="567"/>
        <w:spacing w:after="0" w:line="312" w:lineRule="auto"/>
        <w:rPr>
          <w:sz w:val="20"/>
          <w:szCs w:val="20"/>
          <w:color w:val="auto"/>
        </w:rPr>
      </w:pPr>
      <w:r>
        <w:rPr>
          <w:rFonts w:ascii="Arial" w:cs="Arial" w:eastAsia="Arial" w:hAnsi="Arial"/>
          <w:sz w:val="16"/>
          <w:szCs w:val="16"/>
          <w:color w:val="auto"/>
        </w:rPr>
        <w:t>General and administrative expenses were $9.3 million during the year ended December 31, 2017 compared to $4.3 million during the year ended December 31, 2016, for an increase of approximately $5.0 million. The increase is primarily due to a $3.5 million increase in salaries and related expenses, which includes stock compensation expense and recruiting fees, as well as a $0.7 million increase in professional fees including public company costs.</w:t>
      </w:r>
    </w:p>
    <w:p>
      <w:pPr>
        <w:spacing w:after="0" w:line="147"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Interest expense was $1.8 million during the year ended December 31, 2017 and represents effective interest of approximately 12.25% on our outstanding Term Loans, as defined in Part II Item 8—5. Notes Payable, which have a principal balance of $15.0 million as of December 31, 2017. Interest expense was $0.5 million during the year ended December 31, 2016 respectively, and primarily represents effective interest of approximately 9.25% through December 30, 2016, the date at which the Term B Loans and the Term C Loans were drawn. Subsequent to the draw, the effective interest rate was 11.70% for each of the Term Loans, with an outstanding cumulative principal balance of $15.0 million as of December 31, 2016.</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904" w:right="239" w:bottom="1440" w:gutter="0" w:footer="0" w:header="0"/>
        </w:sectPr>
      </w:pPr>
    </w:p>
    <w:bookmarkStart w:id="73" w:name="page74"/>
    <w:bookmarkEnd w:id="73"/>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20" w:firstLine="567"/>
        <w:spacing w:after="0" w:line="257" w:lineRule="auto"/>
        <w:rPr>
          <w:sz w:val="20"/>
          <w:szCs w:val="20"/>
          <w:color w:val="auto"/>
        </w:rPr>
      </w:pPr>
      <w:r>
        <w:rPr>
          <w:rFonts w:ascii="Arial" w:cs="Arial" w:eastAsia="Arial" w:hAnsi="Arial"/>
          <w:sz w:val="18"/>
          <w:szCs w:val="18"/>
          <w:color w:val="auto"/>
        </w:rPr>
        <w:t>The change in fair value of the liabilities for stock warrants resulted in $1.4 million of expense compared to $0.8 million of income during the year ended December 31, 2017 and 2016, respectively, due to changes in the valuation of our Series C convertible preferred stock which impacts the estimated fair value of the warrants. As discussed in Part II Item 8 —1. Description of the Business below, all of the outstanding warrants to purchase shares of preferred stock automatically converted into warrants to purchase shares of common stock in connection with the IPO and are accounted for as equity from the conversion date forward.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Interest income and other income (expense), net was $1.8 million during the year ended December 31, 2017 and primarily consisted of interest income of approximately $1.6 million from our short-term and long-term investments and foreign exchange gains of approximately $0.2 million related to our Australian subsidiary. Other income (expense), net was less than $0.1 million during the year ended December 31, 2016 and primarily consisted of interest income of approximately $0.1 million from our money market fund, offset by foreign exchange losses of approximately $0.1 million related to our Australian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2016 and 2015</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60" w:firstLine="567"/>
        <w:spacing w:after="0" w:line="277" w:lineRule="auto"/>
        <w:rPr>
          <w:sz w:val="20"/>
          <w:szCs w:val="20"/>
          <w:color w:val="auto"/>
        </w:rPr>
      </w:pPr>
      <w:r>
        <w:rPr>
          <w:rFonts w:ascii="Arial" w:cs="Arial" w:eastAsia="Arial" w:hAnsi="Arial"/>
          <w:sz w:val="18"/>
          <w:szCs w:val="18"/>
          <w:color w:val="auto"/>
        </w:rPr>
        <w:t>Collaboration revenue was $16.7 million and $17.6 million during the years ended December 31, 2016 and 2015, respectively. A comparison of revenue by collaborator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TESARO-amortization of upfront payments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2,634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TESARO-funding of research and development</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3,242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TESARO-milestones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7,603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Celgene-milestone</w:t>
            </w:r>
          </w:p>
        </w:tc>
        <w:tc>
          <w:tcPr>
            <w:tcW w:w="36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16,684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0" w:firstLine="567"/>
        <w:spacing w:after="0" w:line="312" w:lineRule="auto"/>
        <w:rPr>
          <w:sz w:val="20"/>
          <w:szCs w:val="20"/>
          <w:color w:val="auto"/>
        </w:rPr>
      </w:pPr>
      <w:r>
        <w:rPr>
          <w:rFonts w:ascii="Arial" w:cs="Arial" w:eastAsia="Arial" w:hAnsi="Arial"/>
          <w:sz w:val="16"/>
          <w:szCs w:val="16"/>
          <w:color w:val="auto"/>
        </w:rPr>
        <w:t>Collaboration revenue during the year ended December 31, 2016 decreased $0.9 million compared to the year ended December 31, 2015 primarily due to a decrease in upfront fees and research reimbursement revenue as we reached the completion of the research services under the TESARO contract in December 31, 2016, offset by an increase in milestone revenue from both collaboration partners upon achievement of milestone events.</w:t>
      </w:r>
    </w:p>
    <w:p>
      <w:pPr>
        <w:spacing w:after="0" w:line="228" w:lineRule="exact"/>
        <w:rPr>
          <w:sz w:val="20"/>
          <w:szCs w:val="20"/>
          <w:color w:val="auto"/>
        </w:rPr>
      </w:pPr>
    </w:p>
    <w:p>
      <w:pPr>
        <w:ind w:right="680" w:firstLine="567"/>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40" w:firstLine="567"/>
        <w:spacing w:after="0" w:line="273" w:lineRule="auto"/>
        <w:rPr>
          <w:sz w:val="20"/>
          <w:szCs w:val="20"/>
          <w:color w:val="auto"/>
        </w:rPr>
      </w:pPr>
      <w:r>
        <w:rPr>
          <w:rFonts w:ascii="Arial" w:cs="Arial" w:eastAsia="Arial" w:hAnsi="Arial"/>
          <w:sz w:val="17"/>
          <w:szCs w:val="17"/>
          <w:color w:val="auto"/>
        </w:rPr>
        <w:t>Research and development expenses were $15.4 million during the year ended December 31, 2016 compared to $17.3 million during the year ended December 31, 2015, for a decrease of approximately $1.9 million. The decrease is primarily due to the recognition of the Australia tax incentive, which reduced our expenses by $7.2 million during the year ended December 31, 2016 upon our determination that the tax incentive was collectible. No tax incentive was recorded during the year ended December 31, 2015. The decrease was offset by a $2.1 million increase in outside service for preclinical expenses, a $2.0 million increase in clinical expenses, as well as a $1.2 million increase in salaries and related expenses including recruiting and relocation expense, resulting primarily from an increase in research and development personnel.</w:t>
      </w:r>
    </w:p>
    <w:p>
      <w:pPr>
        <w:spacing w:after="0" w:line="178"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General and administrative expenses were $4.3 million during the year ended December 31, 2016 compared to $3.6 million during the year ended December 31, 2015, for an increase of approximately $0.7 million. The increase is primarily due</w:t>
      </w:r>
    </w:p>
    <w:p>
      <w:pPr>
        <w:sectPr>
          <w:pgSz w:w="11900" w:h="16838" w:orient="portrait"/>
          <w:cols w:equalWidth="0" w:num="1">
            <w:col w:w="11400"/>
          </w:cols>
          <w:pgMar w:left="240" w:top="908"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00"/>
          </w:cols>
          <w:pgMar w:left="240" w:top="908" w:right="259" w:bottom="1440" w:gutter="0" w:footer="0" w:header="0"/>
          <w:type w:val="continuous"/>
        </w:sectPr>
      </w:pPr>
    </w:p>
    <w:bookmarkStart w:id="74" w:name="page75"/>
    <w:bookmarkEnd w:id="74"/>
    <w:p>
      <w:pPr>
        <w:ind w:right="400"/>
        <w:spacing w:after="0" w:line="277" w:lineRule="auto"/>
        <w:rPr>
          <w:sz w:val="20"/>
          <w:szCs w:val="20"/>
          <w:color w:val="auto"/>
        </w:rPr>
      </w:pPr>
      <w:r>
        <w:rPr>
          <w:rFonts w:ascii="Arial" w:cs="Arial" w:eastAsia="Arial" w:hAnsi="Arial"/>
          <w:sz w:val="18"/>
          <w:szCs w:val="18"/>
          <w:color w:val="auto"/>
        </w:rPr>
        <w:t>to a $0.6 million increase in salaries and related expenses, including stock compensation, for senior level positions hired in mid-2015, and a $0.2 million increase in legal expenses.</w:t>
      </w:r>
    </w:p>
    <w:p>
      <w:pPr>
        <w:spacing w:after="0" w:line="170"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Interest expense was $0.5 million during the year ended December 31, 2016 and represents effective interest of 9.25% through December 30, 2016, the date at which the Term B Loans and the Term C Loans were drawn. Subsequent to the draw, the effective interest rate was 11.70% for each of the Term Loans, with an outstanding cumulative principal balance of $15.0 million as of December 31, 2016. Interest expense was $0.5 million during the year ended December 31, 2015 and primarily represents effective interest of 9.25% on our outstanding Term A Loans, which had an outstanding principal balance of $5.0 million as of December 31, 2015.</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40" w:firstLine="567"/>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expense of $0.8 million and $1.3 million during the years ended December 31, 2016 and 2015, respectively, due to changes in the valuation of our Series C convertible preferred stock, which impacts the estimated fair value of the warrants.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117" w:lineRule="exact"/>
        <w:rPr>
          <w:sz w:val="20"/>
          <w:szCs w:val="20"/>
          <w:color w:val="auto"/>
        </w:rPr>
      </w:pPr>
    </w:p>
    <w:p>
      <w:pPr>
        <w:ind w:right="140" w:firstLine="567"/>
        <w:spacing w:after="0" w:line="259" w:lineRule="auto"/>
        <w:rPr>
          <w:sz w:val="20"/>
          <w:szCs w:val="20"/>
          <w:color w:val="auto"/>
        </w:rPr>
      </w:pPr>
      <w:r>
        <w:rPr>
          <w:rFonts w:ascii="Arial" w:cs="Arial" w:eastAsia="Arial" w:hAnsi="Arial"/>
          <w:sz w:val="18"/>
          <w:szCs w:val="18"/>
          <w:color w:val="auto"/>
        </w:rPr>
        <w:t>Interest income and other income (expense), net was less than $0.1 million during the year ended December 31, 2016 and primarily consisted of interest income of approximately $0.1 million from our money market fund, offset by foreign exchange losses of approximately $(0.1) million related to our Australian subsidiary. Other income (expense) was ($0.2) million during the year ended December 31, 2015 and primarily consisted of a foreign exchange loss of ($0.2) million related to our Australian subsidiary, which was established in March 2015.</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567"/>
        <w:spacing w:after="0" w:line="264" w:lineRule="auto"/>
        <w:rPr>
          <w:sz w:val="20"/>
          <w:szCs w:val="20"/>
          <w:color w:val="auto"/>
        </w:rPr>
      </w:pPr>
      <w:r>
        <w:rPr>
          <w:rFonts w:ascii="Arial" w:cs="Arial" w:eastAsia="Arial" w:hAnsi="Arial"/>
          <w:sz w:val="18"/>
          <w:szCs w:val="18"/>
          <w:color w:val="auto"/>
        </w:rPr>
        <w:t>From our inception through December 31, 2017, we have received an aggregate of $482.1 million to fund our operations which included $386.4 million from the sale of equity securities, $76.6 million from our collaboration agreements and $19.1 million from venture debt. As of December 31, 2017, we had $324.3 million in cash, cash equivalents and investments.</w:t>
      </w:r>
    </w:p>
    <w:p>
      <w:pPr>
        <w:spacing w:after="0" w:line="181" w:lineRule="exact"/>
        <w:rPr>
          <w:sz w:val="20"/>
          <w:szCs w:val="20"/>
          <w:color w:val="auto"/>
        </w:rPr>
      </w:pPr>
    </w:p>
    <w:p>
      <w:pPr>
        <w:ind w:right="240" w:firstLine="567"/>
        <w:spacing w:after="0" w:line="257" w:lineRule="auto"/>
        <w:rPr>
          <w:sz w:val="20"/>
          <w:szCs w:val="20"/>
          <w:color w:val="auto"/>
        </w:rPr>
      </w:pPr>
      <w:r>
        <w:rPr>
          <w:rFonts w:ascii="Arial" w:cs="Arial" w:eastAsia="Arial" w:hAnsi="Arial"/>
          <w:sz w:val="18"/>
          <w:szCs w:val="18"/>
          <w:color w:val="auto"/>
        </w:rPr>
        <w:t>In addition to our existing cash, cash equivalents and investments, we are eligible to earn milestone and other contingent payments for the achievement of defined collaboration objectives and certain preclinical,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Under the Loan Agreement, as defined in Part II Item 8—5. Notes Payable, we may borrow up to $15.0 million in three separate draws of</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firstLine="8"/>
        <w:spacing w:after="0" w:line="261"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 December 30, 2016. As of December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692" w:right="259" w:bottom="1440" w:gutter="0" w:footer="0" w:header="0"/>
        </w:sectPr>
      </w:pPr>
    </w:p>
    <w:bookmarkStart w:id="75" w:name="page76"/>
    <w:bookmarkEnd w:id="75"/>
    <w:p>
      <w:pPr>
        <w:ind w:right="100"/>
        <w:spacing w:after="0" w:line="264" w:lineRule="auto"/>
        <w:rPr>
          <w:sz w:val="20"/>
          <w:szCs w:val="20"/>
          <w:color w:val="auto"/>
        </w:rPr>
      </w:pPr>
      <w:r>
        <w:rPr>
          <w:rFonts w:ascii="Arial" w:cs="Arial" w:eastAsia="Arial" w:hAnsi="Arial"/>
          <w:sz w:val="18"/>
          <w:szCs w:val="18"/>
          <w:color w:val="auto"/>
        </w:rPr>
        <w:t>31, 2017, there is one monthly interest-only payment due on the Term Loans through January 2018, followed by 24 equal monthly principal and interest payments beginning February 1, 2018, with final maturity in January 2020. Each Loan bears interest equal to the greater of 3-month U.S. LIBOR plus 6.37% or 7.3%. The interest rate was 7.86% as of December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jc w:val="both"/>
        <w:ind w:right="240" w:firstLine="567"/>
        <w:spacing w:after="0" w:line="264" w:lineRule="auto"/>
        <w:rPr>
          <w:sz w:val="20"/>
          <w:szCs w:val="20"/>
          <w:color w:val="auto"/>
        </w:rPr>
      </w:pPr>
      <w:r>
        <w:rPr>
          <w:rFonts w:ascii="Arial" w:cs="Arial" w:eastAsia="Arial" w:hAnsi="Arial"/>
          <w:sz w:val="18"/>
          <w:szCs w:val="18"/>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w:t>
      </w:r>
    </w:p>
    <w:p>
      <w:pPr>
        <w:spacing w:after="0" w:line="73" w:lineRule="exact"/>
        <w:rPr>
          <w:sz w:val="20"/>
          <w:szCs w:val="20"/>
          <w:color w:val="auto"/>
        </w:rPr>
      </w:pPr>
    </w:p>
    <w:p>
      <w:pPr>
        <w:ind w:right="400" w:firstLine="567"/>
        <w:spacing w:after="0" w:line="259" w:lineRule="auto"/>
        <w:rPr>
          <w:sz w:val="20"/>
          <w:szCs w:val="20"/>
          <w:color w:val="auto"/>
        </w:rPr>
      </w:pPr>
      <w:r>
        <w:rPr>
          <w:rFonts w:ascii="Arial" w:cs="Arial" w:eastAsia="Arial" w:hAnsi="Arial"/>
          <w:sz w:val="18"/>
          <w:szCs w:val="18"/>
          <w:color w:val="auto"/>
        </w:rPr>
        <w:t>As a publicly traded company, we incur significant legal, accounting and other expenses. In addition, the Sarbanes-Oxley Act of 2002, as well as rules adopted by the SEC and The Nasdaq Stock Market, require public companies to implement specified corporate governance practices that were inapplicable to us as a private company. We expect these rules and regulations will increase our legal and financial compliance costs and will make some activities more time-consuming and costly.</w:t>
      </w:r>
    </w:p>
    <w:p>
      <w:pPr>
        <w:spacing w:after="0" w:line="187" w:lineRule="exact"/>
        <w:rPr>
          <w:sz w:val="20"/>
          <w:szCs w:val="20"/>
          <w:color w:val="auto"/>
        </w:rPr>
      </w:pPr>
    </w:p>
    <w:p>
      <w:pPr>
        <w:ind w:firstLine="567"/>
        <w:spacing w:after="0" w:line="279" w:lineRule="auto"/>
        <w:rPr>
          <w:sz w:val="20"/>
          <w:szCs w:val="20"/>
          <w:color w:val="auto"/>
        </w:rPr>
      </w:pPr>
      <w:r>
        <w:rPr>
          <w:rFonts w:ascii="Arial" w:cs="Arial" w:eastAsia="Arial" w:hAnsi="Arial"/>
          <w:sz w:val="17"/>
          <w:szCs w:val="17"/>
          <w:color w:val="auto"/>
        </w:rPr>
        <w:t>Cash, cash equivalents and investments totaled $324.3 million as of December 31, 2017, compared to $51.2 million as of December 31, 2016. We expect that our existing cash, cash equivalents and investments will fund our current operating plan through the end of 2019.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years ended December 31, 2017, 2016 and 2015: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5"/>
                <w:szCs w:val="15"/>
                <w:color w:val="auto"/>
              </w:rPr>
            </w:pPr>
          </w:p>
        </w:tc>
        <w:tc>
          <w:tcPr>
            <w:tcW w:w="114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7"/>
        </w:trPr>
        <w:tc>
          <w:tcPr>
            <w:tcW w:w="6740" w:type="dxa"/>
            <w:vAlign w:val="bottom"/>
            <w:tcBorders>
              <w:bottom w:val="single" w:sz="8" w:color="CFF0FC"/>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(19,438)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8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(243,058)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292,453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39,403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29,957</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29,471</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60" w:firstLine="567"/>
        <w:spacing w:after="0" w:line="293" w:lineRule="auto"/>
        <w:rPr>
          <w:sz w:val="20"/>
          <w:szCs w:val="20"/>
          <w:color w:val="auto"/>
        </w:rPr>
      </w:pPr>
      <w:r>
        <w:rPr>
          <w:rFonts w:ascii="Arial" w:cs="Arial" w:eastAsia="Arial" w:hAnsi="Arial"/>
          <w:sz w:val="16"/>
          <w:szCs w:val="16"/>
          <w:color w:val="auto"/>
        </w:rPr>
        <w:t>Net cash used in operating activities during the year ended December 31, 2017 of $19.4 million was primarily due to our net loss of $30.1 million, adjusted for addbacks for non-cash expenses of $6.6 million which includes stock-based compensation and warrant liability fair value adjustments and increases in working capital of $4.1 million. Net cash used in operating activities during the year ended December 31, 2016 of $9.0 million was primarily due to decreases in working capital of $7.0 million offset by non-cash addbacks of $2.3 million and net loss of $4.3 million. Net cash used in operating activities during the year ended December 31, 2015 of $9.7 million was primarily due to our net loss of $5.4 million, adjusted for decreases in working capital of $6.5 million and addbacks for non-cash expenses of $2.3 million which includes stock-based compensation and warrant liability fair value adjustments.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Cash used in investing activities during the year ended December 31, 2017 was primarily due to the acquisition of investments upon receipt of the proceeds from our IPO and follow-on public offering, offset by investment maturities. Cash used in investing activities during the year ended December 31, 2016 and 2015 was due to our purchases of property and equipment.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800"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color w:val="auto"/>
        </w:rPr>
        <w:t>The cash provided by financing activities during the year ended December 31, 2017 of $292.5 million was primarily related to proceeds of $292.5 million from our IPO and follow-on public offering, net of underwriting discounts and commissions, as well as proceeds of $1.5 million from the issuance of common stock as a result of option and warrant exercises, offset by $1.6 million in payments related to offering costs. Cash provided by financing activities during the year ended December 31, 2016 of $8.6 million was primarily related to the draw down of our Term B &amp; C loans of $10.0 million, offset by $1.4 million in payments for debt issuance costs and deferred offering costs. Cash provided by financing activities during the year ended December 31, 2015 of $39.4 million was primarily related to the issuance of Series D Convertible Preferred Stock for net proceeds of $40.7 million in July 2015 offset by $1.4 million in payments related to deferred offering costs.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0"/>
                <w:szCs w:val="10"/>
                <w:b w:val="1"/>
                <w:bCs w:val="1"/>
                <w:color w:val="auto"/>
              </w:rPr>
              <w:t>(1)</w:t>
            </w:r>
          </w:p>
        </w:tc>
        <w:tc>
          <w:tcPr>
            <w:tcW w:w="300" w:type="dxa"/>
            <w:vAlign w:val="bottom"/>
          </w:tcPr>
          <w:p>
            <w:pPr>
              <w:spacing w:after="0"/>
              <w:rPr>
                <w:sz w:val="13"/>
                <w:szCs w:val="13"/>
                <w:color w:val="auto"/>
              </w:rPr>
            </w:pPr>
          </w:p>
        </w:tc>
        <w:tc>
          <w:tcPr>
            <w:tcW w:w="14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2"/>
              </w:rPr>
              <w:t>Less Than</w:t>
            </w:r>
          </w:p>
        </w:tc>
        <w:tc>
          <w:tcPr>
            <w:tcW w:w="380" w:type="dxa"/>
            <w:vAlign w:val="bottom"/>
          </w:tcPr>
          <w:p>
            <w:pPr>
              <w:spacing w:after="0"/>
              <w:rPr>
                <w:sz w:val="13"/>
                <w:szCs w:val="13"/>
                <w:color w:val="auto"/>
              </w:rPr>
            </w:pPr>
          </w:p>
        </w:tc>
        <w:tc>
          <w:tcPr>
            <w:tcW w:w="1200" w:type="dxa"/>
            <w:vAlign w:val="bottom"/>
          </w:tcPr>
          <w:p>
            <w:pPr>
              <w:jc w:val="right"/>
              <w:ind w:right="599"/>
              <w:spacing w:after="0" w:line="153"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617"/>
              <w:spacing w:after="0" w:line="153"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29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380" w:type="dxa"/>
            <w:vAlign w:val="bottom"/>
          </w:tcPr>
          <w:p>
            <w:pPr>
              <w:spacing w:after="0"/>
              <w:rPr>
                <w:sz w:val="16"/>
                <w:szCs w:val="16"/>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6"/>
                <w:szCs w:val="16"/>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Notes payable, including interest and</w:t>
            </w: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final payment fee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17,094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7,842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9,252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8,392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160" w:hanging="249"/>
        <w:spacing w:after="0" w:line="256" w:lineRule="auto"/>
        <w:tabs>
          <w:tab w:leader="none" w:pos="500" w:val="left"/>
        </w:tabs>
        <w:numPr>
          <w:ilvl w:val="0"/>
          <w:numId w:val="42"/>
        </w:numPr>
        <w:rPr>
          <w:rFonts w:ascii="Arial" w:cs="Arial" w:eastAsia="Arial" w:hAnsi="Arial"/>
          <w:sz w:val="22"/>
          <w:szCs w:val="22"/>
          <w:color w:val="auto"/>
          <w:vertAlign w:val="superscript"/>
        </w:rPr>
      </w:pPr>
      <w:r>
        <w:rPr>
          <w:rFonts w:ascii="Arial" w:cs="Arial" w:eastAsia="Arial" w:hAnsi="Arial"/>
          <w:sz w:val="16"/>
          <w:szCs w:val="16"/>
          <w:color w:val="auto"/>
        </w:rPr>
        <w:t>Future minimum annual obligations for license payments under all collaborative in-license agreements at December 31, 2017 were $0.2 million in fiscal 2018 and in the years thereafter. These obligations are excluded from the table above as the annual minimum payments are payable through ten years from the first commercial sale, if any, or expiration of the last patent to expire, the dates of which are not determinable at this time.</w:t>
      </w:r>
    </w:p>
    <w:p>
      <w:pPr>
        <w:ind w:left="500" w:hanging="249"/>
        <w:spacing w:after="0" w:line="180" w:lineRule="auto"/>
        <w:tabs>
          <w:tab w:leader="none" w:pos="50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 includes future rent payments under an office lease, which expires on August 31, 2021.</w:t>
      </w:r>
    </w:p>
    <w:p>
      <w:pPr>
        <w:spacing w:after="0" w:line="202" w:lineRule="exact"/>
        <w:rPr>
          <w:sz w:val="20"/>
          <w:szCs w:val="20"/>
          <w:color w:val="auto"/>
        </w:rPr>
      </w:pPr>
    </w:p>
    <w:p>
      <w:pPr>
        <w:jc w:val="both"/>
        <w:ind w:right="120" w:firstLine="567"/>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567"/>
        <w:spacing w:after="0" w:line="253" w:lineRule="auto"/>
        <w:rPr>
          <w:sz w:val="20"/>
          <w:szCs w:val="20"/>
          <w:color w:val="auto"/>
        </w:rPr>
      </w:pPr>
      <w:r>
        <w:rPr>
          <w:rFonts w:ascii="Arial" w:cs="Arial" w:eastAsia="Arial" w:hAnsi="Arial"/>
          <w:sz w:val="18"/>
          <w:szCs w:val="18"/>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For marketable investment securities with short-term maturities, we do not believe that an increase or decrease in market rates would have a significant impact on the realized values or the statements of operations and comprehensive loss. As of December 31, 2017, we held $75.9 million in securities with long-term maturities for which the accumulated other comprehensive loss was a $0.2 million loss. As such, we believe that should a 10.0% change in interest rates were to have occurred on December 31, 2017, this change would not have had a material effect on the fair value of our investment portfolio as of that date.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908" w:right="239" w:bottom="1440" w:gutter="0" w:footer="0" w:header="0"/>
        </w:sectPr>
      </w:pPr>
    </w:p>
    <w:bookmarkStart w:id="77" w:name="page78"/>
    <w:bookmarkEnd w:id="77"/>
    <w:p>
      <w:pPr>
        <w:ind w:firstLine="567"/>
        <w:spacing w:after="0" w:line="276" w:lineRule="auto"/>
        <w:rPr>
          <w:sz w:val="20"/>
          <w:szCs w:val="20"/>
          <w:color w:val="auto"/>
        </w:rPr>
      </w:pPr>
      <w:r>
        <w:rPr>
          <w:rFonts w:ascii="Arial" w:cs="Arial" w:eastAsia="Arial" w:hAnsi="Arial"/>
          <w:sz w:val="17"/>
          <w:szCs w:val="17"/>
          <w:color w:val="auto"/>
        </w:rPr>
        <w:t>We are also subject to interest expense fluctuations through our Term Loans, as discussed in Part II Item 8—5. Notes Payable, which as of December 31, 2017 bear interest equal to the greater of 3-month U.S. LIBOR plus 6.37% or 7.3% and are therefore exposed to changes in interest rates through their maturity date of January 2020. The rate was 7.86% as of December 31, 2017. If interest rates had been 10% higher/lower and all other variables were held constant, operating income would decrease/increase by approximately $0.1 million. Therefore we do not believe that our financial condition or results of operations would be materially impacted by an immediate change of 10% in interest rates.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60" w:firstLine="567"/>
        <w:spacing w:after="0" w:line="287"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approximately $0.3 million during the year ended December 31, 2017. We believe that our foreign currency exposure is limited at this time as the value of transactions and the asset and liability balances denominated in foreign currencies are relatively small. Further, we do not believe that our financial condition or results of operations would be materially impacted by an immediate change of 10% in exchange rate of the foreign currencies in which we have transactions denominated, as exchange rates have fluctuated over 10% throughout the year ended December 31, 2017 from a low of 0.7125 to a high of 0.8078 with a net impact of approximately $0.3 million to the consolidated statement of operations.</w:t>
      </w:r>
    </w:p>
    <w:p>
      <w:pPr>
        <w:spacing w:after="0" w:line="173"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We contract with CROs and investigational sites in several foreign countries within Western Europe. We are therefore subject to fluctuations in foreign currency rates in connection with these agreements. Historically, transactions with these providers are predominantly settled in U.S. dollars and there have been no material adverse effects to date, therefore, we believe that we do not have a material exposure to foreign currency exchange risks. We do not hedge our foreign currency exchange rate risk, however, we may do so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right="220" w:firstLine="567"/>
        <w:spacing w:after="0" w:line="277" w:lineRule="auto"/>
        <w:rPr>
          <w:sz w:val="20"/>
          <w:szCs w:val="20"/>
          <w:color w:val="auto"/>
        </w:rPr>
      </w:pPr>
      <w:r>
        <w:rPr>
          <w:rFonts w:ascii="Arial" w:cs="Arial" w:eastAsia="Arial" w:hAnsi="Arial"/>
          <w:sz w:val="18"/>
          <w:szCs w:val="18"/>
          <w:color w:val="auto"/>
        </w:rPr>
        <w:t>Inflation generally affects us by increasing our cost of clinical trial costs. We do not believe that inflation has had a material effect on our business, financial condition or results of operations during the years ended December 31, 2017, 2016 or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800" w:right="29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AUDITED CONSOLIDATED FINANCIAL STATEMENTS</w:t>
      </w: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80" w:type="dxa"/>
            <w:vAlign w:val="bottom"/>
          </w:tcPr>
          <w:p>
            <w:pPr>
              <w:jc w:val="right"/>
              <w:ind w:right="153"/>
              <w:spacing w:after="0"/>
              <w:rPr>
                <w:sz w:val="20"/>
                <w:szCs w:val="20"/>
                <w:color w:val="auto"/>
              </w:rPr>
            </w:pPr>
            <w:r>
              <w:rPr>
                <w:rFonts w:ascii="Arial" w:cs="Arial" w:eastAsia="Arial" w:hAnsi="Arial"/>
                <w:sz w:val="14"/>
                <w:szCs w:val="14"/>
                <w:b w:val="1"/>
                <w:bCs w:val="1"/>
                <w:color w:val="auto"/>
              </w:rPr>
              <w:t>Page</w:t>
            </w:r>
          </w:p>
        </w:tc>
      </w:tr>
      <w:tr>
        <w:trPr>
          <w:trHeight w:val="215"/>
        </w:trPr>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4660" w:type="dxa"/>
            <w:vAlign w:val="bottom"/>
            <w:gridSpan w:val="2"/>
          </w:tcPr>
          <w:p>
            <w:pPr>
              <w:spacing w:after="0"/>
              <w:rPr>
                <w:sz w:val="18"/>
                <w:szCs w:val="18"/>
                <w:color w:val="auto"/>
              </w:rPr>
            </w:pPr>
          </w:p>
        </w:tc>
        <w:tc>
          <w:tcPr>
            <w:tcW w:w="24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78</w:t>
              </w:r>
            </w:hyperlink>
          </w:p>
        </w:tc>
      </w:tr>
      <w:tr>
        <w:trPr>
          <w:trHeight w:val="250"/>
        </w:trPr>
        <w:tc>
          <w:tcPr>
            <w:tcW w:w="2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Financial Statements</w:t>
              </w:r>
            </w:hyperlink>
          </w:p>
        </w:tc>
        <w:tc>
          <w:tcPr>
            <w:tcW w:w="6380" w:type="dxa"/>
            <w:vAlign w:val="bottom"/>
            <w:gridSpan w:val="6"/>
          </w:tcPr>
          <w:p>
            <w:pPr>
              <w:spacing w:after="0"/>
              <w:rPr>
                <w:sz w:val="21"/>
                <w:szCs w:val="21"/>
                <w:color w:val="auto"/>
              </w:rPr>
            </w:pPr>
          </w:p>
        </w:tc>
        <w:tc>
          <w:tcPr>
            <w:tcW w:w="2480" w:type="dxa"/>
            <w:vAlign w:val="bottom"/>
          </w:tcPr>
          <w:p>
            <w:pPr>
              <w:spacing w:after="0"/>
              <w:rPr>
                <w:sz w:val="21"/>
                <w:szCs w:val="21"/>
                <w:color w:val="auto"/>
              </w:rPr>
            </w:pPr>
          </w:p>
        </w:tc>
      </w:tr>
      <w:tr>
        <w:trPr>
          <w:trHeight w:val="250"/>
        </w:trPr>
        <w:tc>
          <w:tcPr>
            <w:tcW w:w="340" w:type="dxa"/>
            <w:vAlign w:val="bottom"/>
          </w:tcPr>
          <w:p>
            <w:pPr>
              <w:spacing w:after="0"/>
              <w:rPr>
                <w:sz w:val="21"/>
                <w:szCs w:val="21"/>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Balance Sheets</w:t>
              </w:r>
            </w:hyperlink>
          </w:p>
        </w:tc>
        <w:tc>
          <w:tcPr>
            <w:tcW w:w="6440" w:type="dxa"/>
            <w:vAlign w:val="bottom"/>
            <w:gridSpan w:val="7"/>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79</w:t>
              </w:r>
            </w:hyperlink>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Consolidated Statements of Operations</w:t>
              </w:r>
            </w:hyperlink>
          </w:p>
        </w:tc>
        <w:tc>
          <w:tcPr>
            <w:tcW w:w="24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80</w:t>
              </w:r>
            </w:hyperlink>
          </w:p>
        </w:tc>
      </w:tr>
      <w:tr>
        <w:trPr>
          <w:trHeight w:val="20"/>
        </w:trPr>
        <w:tc>
          <w:tcPr>
            <w:tcW w:w="340" w:type="dxa"/>
            <w:vAlign w:val="bottom"/>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8540" w:type="dxa"/>
            <w:vAlign w:val="bottom"/>
            <w:gridSpan w:val="8"/>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Convertible Preferred Stock and Stockholders’ Equity (Deficit)</w:t>
              </w:r>
            </w:hyperlink>
          </w:p>
        </w:tc>
        <w:tc>
          <w:tcPr>
            <w:tcW w:w="24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81</w:t>
              </w:r>
            </w:hyperlink>
          </w:p>
        </w:tc>
      </w:tr>
      <w:tr>
        <w:trPr>
          <w:trHeight w:val="250"/>
        </w:trPr>
        <w:tc>
          <w:tcPr>
            <w:tcW w:w="340" w:type="dxa"/>
            <w:vAlign w:val="bottom"/>
          </w:tcPr>
          <w:p>
            <w:pPr>
              <w:spacing w:after="0"/>
              <w:rPr>
                <w:sz w:val="21"/>
                <w:szCs w:val="21"/>
                <w:color w:val="auto"/>
              </w:rPr>
            </w:pPr>
          </w:p>
        </w:tc>
        <w:tc>
          <w:tcPr>
            <w:tcW w:w="28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Cash Flows</w:t>
              </w:r>
            </w:hyperlink>
          </w:p>
        </w:tc>
        <w:tc>
          <w:tcPr>
            <w:tcW w:w="3700" w:type="dxa"/>
            <w:vAlign w:val="bottom"/>
            <w:tcBorders>
              <w:top w:val="single" w:sz="8" w:color="0000EE"/>
            </w:tcBorders>
            <w:gridSpan w:val="3"/>
          </w:tcPr>
          <w:p>
            <w:pPr>
              <w:spacing w:after="0"/>
              <w:rPr>
                <w:sz w:val="21"/>
                <w:szCs w:val="21"/>
                <w:color w:val="auto"/>
              </w:rPr>
            </w:pPr>
          </w:p>
        </w:tc>
        <w:tc>
          <w:tcPr>
            <w:tcW w:w="1960" w:type="dxa"/>
            <w:vAlign w:val="bottom"/>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82</w:t>
              </w:r>
            </w:hyperlink>
          </w:p>
        </w:tc>
      </w:tr>
      <w:tr>
        <w:trPr>
          <w:trHeight w:val="250"/>
        </w:trPr>
        <w:tc>
          <w:tcPr>
            <w:tcW w:w="340" w:type="dxa"/>
            <w:vAlign w:val="bottom"/>
          </w:tcPr>
          <w:p>
            <w:pPr>
              <w:spacing w:after="0"/>
              <w:rPr>
                <w:sz w:val="21"/>
                <w:szCs w:val="21"/>
                <w:color w:val="auto"/>
              </w:rPr>
            </w:pPr>
          </w:p>
        </w:tc>
        <w:tc>
          <w:tcPr>
            <w:tcW w:w="31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Notes to Consolidated Financial Statements</w:t>
              </w:r>
            </w:hyperlink>
          </w:p>
        </w:tc>
        <w:tc>
          <w:tcPr>
            <w:tcW w:w="5380" w:type="dxa"/>
            <w:vAlign w:val="bottom"/>
            <w:gridSpan w:val="3"/>
          </w:tcPr>
          <w:p>
            <w:pPr>
              <w:spacing w:after="0"/>
              <w:rPr>
                <w:sz w:val="21"/>
                <w:szCs w:val="21"/>
                <w:color w:val="auto"/>
              </w:rPr>
            </w:pPr>
          </w:p>
        </w:tc>
        <w:tc>
          <w:tcPr>
            <w:tcW w:w="2480" w:type="dxa"/>
            <w:vAlign w:val="bottom"/>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83</w:t>
              </w:r>
            </w:hyperlink>
          </w:p>
        </w:tc>
      </w:tr>
      <w:tr>
        <w:trPr>
          <w:trHeight w:val="723"/>
        </w:trPr>
        <w:tc>
          <w:tcPr>
            <w:tcW w:w="6920" w:type="dxa"/>
            <w:vAlign w:val="bottom"/>
            <w:gridSpan w:val="8"/>
          </w:tcPr>
          <w:p>
            <w:pPr>
              <w:jc w:val="right"/>
              <w:ind w:right="1160"/>
              <w:spacing w:after="0"/>
              <w:rPr>
                <w:sz w:val="20"/>
                <w:szCs w:val="20"/>
                <w:color w:val="auto"/>
              </w:rPr>
            </w:pPr>
            <w:r>
              <w:rPr>
                <w:rFonts w:ascii="Arial" w:cs="Arial" w:eastAsia="Arial" w:hAnsi="Arial"/>
                <w:sz w:val="18"/>
                <w:szCs w:val="18"/>
                <w:color w:val="auto"/>
              </w:rPr>
              <w:t>77</w:t>
            </w:r>
          </w:p>
        </w:tc>
        <w:tc>
          <w:tcPr>
            <w:tcW w:w="196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400"/>
          </w:cols>
          <w:pgMar w:left="240" w:top="580"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20"/>
        <w:spacing w:after="0" w:line="219" w:lineRule="exact"/>
        <w:rPr>
          <w:sz w:val="20"/>
          <w:szCs w:val="20"/>
          <w:color w:val="auto"/>
        </w:rPr>
      </w:pPr>
      <w:r>
        <w:rPr>
          <w:rFonts w:ascii="Arial" w:cs="Arial" w:eastAsia="Arial" w:hAnsi="Arial"/>
          <w:sz w:val="18"/>
          <w:szCs w:val="18"/>
          <w:color w:val="auto"/>
        </w:rPr>
        <w:t>We have audited the accompanying consolidated balance sheets of AnaptysBio, Inc. and subsidiary (the Company) as of December 31, 2017 and 2016, the related consolidated statements of operations and comprehensive loss, convertible preferred stock and stockholders’ equity (deficit),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2017,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(signed)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580" w:right="25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2016</w:t>
            </w:r>
          </w:p>
        </w:tc>
      </w:tr>
      <w:tr>
        <w:trPr>
          <w:trHeight w:val="210"/>
        </w:trPr>
        <w:tc>
          <w:tcPr>
            <w:tcW w:w="4080" w:type="dxa"/>
            <w:vAlign w:val="bottom"/>
          </w:tcPr>
          <w:p>
            <w:pPr>
              <w:spacing w:after="0"/>
              <w:rPr>
                <w:sz w:val="18"/>
                <w:szCs w:val="18"/>
                <w:color w:val="auto"/>
              </w:rPr>
            </w:pPr>
          </w:p>
        </w:tc>
        <w:tc>
          <w:tcPr>
            <w:tcW w:w="4040" w:type="dxa"/>
            <w:vAlign w:val="bottom"/>
          </w:tcPr>
          <w:p>
            <w:pPr>
              <w:ind w:left="134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Current assets:</w:t>
            </w:r>
          </w:p>
        </w:tc>
        <w:tc>
          <w:tcPr>
            <w:tcW w:w="4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4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81,189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51,232</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Receivable from collaborative partners</w:t>
            </w:r>
          </w:p>
        </w:tc>
        <w:tc>
          <w:tcPr>
            <w:tcW w:w="4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1,225</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Australian tax incentive receivable</w:t>
            </w: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4,118</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Short-term investments</w:t>
            </w:r>
          </w:p>
        </w:tc>
        <w:tc>
          <w:tcPr>
            <w:tcW w:w="4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167,218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2,688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1,633</w:t>
            </w:r>
          </w:p>
        </w:tc>
      </w:tr>
      <w:tr>
        <w:trPr>
          <w:trHeight w:val="33"/>
        </w:trPr>
        <w:tc>
          <w:tcPr>
            <w:tcW w:w="4080" w:type="dxa"/>
            <w:vAlign w:val="bottom"/>
            <w:tcBorders>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Total current assets</w:t>
            </w:r>
          </w:p>
        </w:tc>
        <w:tc>
          <w:tcPr>
            <w:tcW w:w="40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252,696</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58,208</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471</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Long-term investments</w:t>
            </w:r>
          </w:p>
        </w:tc>
        <w:tc>
          <w:tcPr>
            <w:tcW w:w="4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75,897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Long-term vendor deposits</w:t>
            </w: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0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0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Restricted cash</w:t>
            </w:r>
          </w:p>
        </w:tc>
        <w:tc>
          <w:tcPr>
            <w:tcW w:w="40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60</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3,441</w:t>
            </w:r>
          </w:p>
        </w:tc>
      </w:tr>
      <w:tr>
        <w:trPr>
          <w:trHeight w:val="33"/>
        </w:trPr>
        <w:tc>
          <w:tcPr>
            <w:tcW w:w="4080" w:type="dxa"/>
            <w:vAlign w:val="bottom"/>
            <w:tcBorders>
              <w:bottom w:val="single" w:sz="8" w:color="CFF0FC"/>
            </w:tcBorders>
          </w:tcPr>
          <w:p>
            <w:pPr>
              <w:spacing w:after="0"/>
              <w:rPr>
                <w:sz w:val="2"/>
                <w:szCs w:val="2"/>
                <w:color w:val="auto"/>
              </w:rPr>
            </w:pPr>
          </w:p>
        </w:tc>
        <w:tc>
          <w:tcPr>
            <w:tcW w:w="40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408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assets</w:t>
            </w:r>
          </w:p>
        </w:tc>
        <w:tc>
          <w:tcPr>
            <w:tcW w:w="42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329,364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62,180</w:t>
            </w:r>
          </w:p>
        </w:tc>
      </w:tr>
      <w:tr>
        <w:trPr>
          <w:trHeight w:val="20"/>
        </w:trPr>
        <w:tc>
          <w:tcPr>
            <w:tcW w:w="4080" w:type="dxa"/>
            <w:vAlign w:val="bottom"/>
            <w:tcBorders>
              <w:top w:val="single" w:sz="8" w:color="CFF0FC"/>
            </w:tcBorders>
          </w:tcPr>
          <w:p>
            <w:pPr>
              <w:spacing w:after="0" w:line="20" w:lineRule="exact"/>
              <w:rPr>
                <w:sz w:val="1"/>
                <w:szCs w:val="1"/>
                <w:color w:val="auto"/>
              </w:rPr>
            </w:pPr>
          </w:p>
        </w:tc>
        <w:tc>
          <w:tcPr>
            <w:tcW w:w="40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6"/>
          <w:szCs w:val="16"/>
          <w:b w:val="1"/>
          <w:bCs w:val="1"/>
          <w:color w:val="auto"/>
        </w:rPr>
        <w:t>LIABILITIES, CONVERTIBLE PREFERRED STOCK AND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ectPr>
          <w:pgSz w:w="11900" w:h="16838" w:orient="portrait"/>
          <w:cols w:equalWidth="0" w:num="1">
            <w:col w:w="11420"/>
          </w:cols>
          <w:pgMar w:left="240" w:top="580" w:right="239" w:bottom="1440" w:gutter="0" w:footer="0" w:header="0"/>
        </w:sectPr>
      </w:pPr>
    </w:p>
    <w:p>
      <w:pPr>
        <w:spacing w:after="0" w:line="86" w:lineRule="exact"/>
        <w:rPr>
          <w:sz w:val="20"/>
          <w:szCs w:val="20"/>
          <w:color w:val="auto"/>
        </w:rPr>
      </w:pPr>
    </w:p>
    <w:p>
      <w:pPr>
        <w:ind w:left="40"/>
        <w:spacing w:after="0"/>
        <w:tabs>
          <w:tab w:leader="none" w:pos="812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liabilities</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Notes payable, net of current portion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Preferred stock warrant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32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December 31, 2017 and December 31, 2016, respectively</w:t>
      </w:r>
    </w:p>
    <w:p>
      <w:pPr>
        <w:spacing w:after="0" w:line="23" w:lineRule="exact"/>
        <w:rPr>
          <w:sz w:val="20"/>
          <w:szCs w:val="20"/>
          <w:color w:val="auto"/>
        </w:rPr>
      </w:pPr>
    </w:p>
    <w:p>
      <w:pPr>
        <w:ind w:left="40" w:right="480"/>
        <w:spacing w:after="0" w:line="293" w:lineRule="auto"/>
        <w:rPr>
          <w:sz w:val="20"/>
          <w:szCs w:val="20"/>
          <w:color w:val="auto"/>
        </w:rPr>
      </w:pPr>
      <w:r>
        <w:rPr>
          <w:rFonts w:ascii="Arial" w:cs="Arial" w:eastAsia="Arial" w:hAnsi="Arial"/>
          <w:sz w:val="16"/>
          <w:szCs w:val="16"/>
          <w:color w:val="auto"/>
        </w:rPr>
        <w:t>Series C convertible preferred stock, $0.001 par value, no shares and 1,887 shares authorized, no shares and 1,593 shares issued and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56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December 31, 2017 and December 31, 2016, respectively</w:t>
      </w:r>
    </w:p>
    <w:p>
      <w:pPr>
        <w:spacing w:after="0" w:line="23" w:lineRule="exact"/>
        <w:rPr>
          <w:sz w:val="20"/>
          <w:szCs w:val="20"/>
          <w:color w:val="auto"/>
        </w:rPr>
      </w:pPr>
    </w:p>
    <w:p>
      <w:pPr>
        <w:ind w:left="40" w:right="56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Stockholders’ equity (deficit):</w:t>
      </w:r>
    </w:p>
    <w:p>
      <w:pPr>
        <w:spacing w:after="0" w:line="100" w:lineRule="exact"/>
        <w:rPr>
          <w:sz w:val="20"/>
          <w:szCs w:val="20"/>
          <w:color w:val="auto"/>
        </w:rPr>
      </w:pPr>
    </w:p>
    <w:p>
      <w:pPr>
        <w:ind w:left="40" w:right="34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December 31,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Common stock, $0.001 par value, 500,000 and 17,214 authorized, 23,791 shares and 2,651 shares issued and outstanding at December 31, 2017 and December 31, 2016,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 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 (deficit)</w:t>
      </w:r>
    </w:p>
    <w:p>
      <w:pPr>
        <w:spacing w:after="0" w:line="86" w:lineRule="exact"/>
        <w:rPr>
          <w:sz w:val="20"/>
          <w:szCs w:val="20"/>
          <w:color w:val="auto"/>
        </w:rPr>
      </w:pPr>
    </w:p>
    <w:p>
      <w:pPr>
        <w:ind w:left="520"/>
        <w:spacing w:after="0"/>
        <w:tabs>
          <w:tab w:leader="none" w:pos="812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06"/>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2,323</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4,875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6,875</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80" w:type="dxa"/>
            <w:vAlign w:val="bottom"/>
          </w:tcPr>
          <w:p>
            <w:pPr>
              <w:jc w:val="right"/>
              <w:ind w:right="139"/>
              <w:spacing w:after="0"/>
              <w:rPr>
                <w:sz w:val="20"/>
                <w:szCs w:val="20"/>
                <w:color w:val="auto"/>
              </w:rPr>
            </w:pPr>
            <w:r>
              <w:rPr>
                <w:rFonts w:ascii="Arial" w:cs="Arial" w:eastAsia="Arial" w:hAnsi="Arial"/>
                <w:sz w:val="16"/>
                <w:szCs w:val="16"/>
                <w:color w:val="auto"/>
                <w:w w:val="89"/>
              </w:rPr>
              <w:t>14,090</w:t>
            </w:r>
          </w:p>
        </w:tc>
        <w:tc>
          <w:tcPr>
            <w:tcW w:w="56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7,553</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140</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6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-664210</wp:posOffset>
            </wp:positionV>
            <wp:extent cx="1029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28,220</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6,452</w:t>
      </w:r>
    </w:p>
    <w:p>
      <w:pPr>
        <w:spacing w:after="0" w:line="289"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2,156</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40,688</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39"/>
              <w:spacing w:after="0"/>
              <w:rPr>
                <w:sz w:val="20"/>
                <w:szCs w:val="20"/>
                <w:color w:val="auto"/>
              </w:rPr>
            </w:pPr>
            <w:r>
              <w:rPr>
                <w:rFonts w:ascii="Arial" w:cs="Arial" w:eastAsia="Arial" w:hAnsi="Arial"/>
                <w:sz w:val="16"/>
                <w:szCs w:val="16"/>
                <w:color w:val="auto"/>
              </w:rPr>
              <w:t>24</w:t>
            </w:r>
          </w:p>
        </w:tc>
        <w:tc>
          <w:tcPr>
            <w:tcW w:w="54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393,017</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(426)</w:t>
            </w:r>
          </w:p>
        </w:tc>
        <w:tc>
          <w:tcPr>
            <w:tcW w:w="54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(85,034)</w:t>
            </w:r>
          </w:p>
        </w:tc>
        <w:tc>
          <w:tcPr>
            <w:tcW w:w="5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307,581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39"/>
              <w:spacing w:after="0"/>
              <w:rPr>
                <w:sz w:val="20"/>
                <w:szCs w:val="20"/>
                <w:color w:val="auto"/>
              </w:rPr>
            </w:pPr>
            <w:r>
              <w:rPr>
                <w:rFonts w:ascii="Arial" w:cs="Arial" w:eastAsia="Arial" w:hAnsi="Arial"/>
                <w:sz w:val="16"/>
                <w:szCs w:val="16"/>
                <w:color w:val="auto"/>
                <w:w w:val="89"/>
              </w:rPr>
              <w:t>329,364</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-25400</wp:posOffset>
            </wp:positionV>
            <wp:extent cx="10293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-8255</wp:posOffset>
            </wp:positionV>
            <wp:extent cx="1029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-196850</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720"/>
            <w:col w:w="2340"/>
          </w:cols>
          <w:pgMar w:left="240" w:top="580" w:right="2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7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56"/>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Collaboration revenue</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16,684</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17,571</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29,443</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15,419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17,304</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9,338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4,290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3,589</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38,781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19,709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20,893</w:t>
            </w: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(28,781)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(3,322)</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(1,277)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income (expense), net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7440" w:type="dxa"/>
            <w:vAlign w:val="bottom"/>
          </w:tcPr>
          <w:p>
            <w:pPr>
              <w:ind w:left="520"/>
              <w:spacing w:after="0"/>
              <w:rPr>
                <w:sz w:val="20"/>
                <w:szCs w:val="20"/>
                <w:color w:val="auto"/>
              </w:rPr>
            </w:pPr>
            <w:r>
              <w:rPr>
                <w:rFonts w:ascii="Arial" w:cs="Arial" w:eastAsia="Arial" w:hAnsi="Arial"/>
                <w:sz w:val="16"/>
                <w:szCs w:val="16"/>
                <w:color w:val="auto"/>
              </w:rPr>
              <w:t>Total other income (expense), net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(1,944)</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(5,266)</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(5,405)</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Unrealized loss on available for sale securities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Other comprehensive loss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440" w:type="dxa"/>
            <w:vAlign w:val="bottom"/>
          </w:tcPr>
          <w:p>
            <w:pPr>
              <w:ind w:left="600"/>
              <w:spacing w:after="0"/>
              <w:rPr>
                <w:sz w:val="20"/>
                <w:szCs w:val="20"/>
                <w:color w:val="auto"/>
              </w:rPr>
            </w:pPr>
            <w:r>
              <w:rPr>
                <w:rFonts w:ascii="Arial" w:cs="Arial" w:eastAsia="Arial" w:hAnsi="Arial"/>
                <w:sz w:val="16"/>
                <w:szCs w:val="16"/>
                <w:color w:val="auto"/>
              </w:rPr>
              <w:t>Comprehensive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(30,496)</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(5,405)</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Net loss per common share:</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73"/>
        </w:trPr>
        <w:tc>
          <w:tcPr>
            <w:tcW w:w="744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77"/>
        </w:trPr>
        <w:tc>
          <w:tcPr>
            <w:tcW w:w="7440" w:type="dxa"/>
            <w:vAlign w:val="bottom"/>
            <w:shd w:val="clear" w:color="auto" w:fill="CFF0FC"/>
          </w:tcPr>
          <w:p>
            <w:pPr>
              <w:ind w:left="4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74"/>
        </w:trPr>
        <w:tc>
          <w:tcPr>
            <w:tcW w:w="744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940" w:type="dxa"/>
            <w:vAlign w:val="bottom"/>
            <w:shd w:val="clear" w:color="auto" w:fill="CFF0FC"/>
          </w:tcPr>
          <w:p>
            <w:pPr>
              <w:spacing w:after="0"/>
              <w:rPr>
                <w:sz w:val="6"/>
                <w:szCs w:val="6"/>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2,551</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0" w:right="239" w:bottom="1440" w:gutter="0" w:footer="0" w:header="0"/>
        </w:sectPr>
      </w:pPr>
    </w:p>
    <w:bookmarkStart w:id="82" w:name="page83"/>
    <w:bookmarkEnd w:id="82"/>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Balance, January 1, 2015</w:t>
      </w:r>
    </w:p>
    <w:p>
      <w:pPr>
        <w:spacing w:after="0" w:line="107" w:lineRule="exact"/>
        <w:rPr>
          <w:sz w:val="20"/>
          <w:szCs w:val="20"/>
          <w:color w:val="auto"/>
        </w:rPr>
      </w:pPr>
    </w:p>
    <w:p>
      <w:pPr>
        <w:ind w:left="80" w:right="60" w:hanging="80"/>
        <w:spacing w:after="0" w:line="249" w:lineRule="auto"/>
        <w:rPr>
          <w:sz w:val="20"/>
          <w:szCs w:val="20"/>
          <w:color w:val="auto"/>
        </w:rPr>
      </w:pPr>
      <w:r>
        <w:rPr>
          <w:rFonts w:ascii="Arial" w:cs="Arial" w:eastAsia="Arial" w:hAnsi="Arial"/>
          <w:sz w:val="11"/>
          <w:szCs w:val="11"/>
          <w:color w:val="auto"/>
        </w:rPr>
        <w:t>Issuance of Series D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Reclassification of warrants</w:t>
      </w:r>
    </w:p>
    <w:p>
      <w:pPr>
        <w:spacing w:after="0" w:line="103" w:lineRule="exact"/>
        <w:rPr>
          <w:sz w:val="20"/>
          <w:szCs w:val="20"/>
          <w:color w:val="auto"/>
        </w:rPr>
      </w:pPr>
    </w:p>
    <w:p>
      <w:pPr>
        <w:ind w:left="80" w:right="60" w:hanging="80"/>
        <w:spacing w:after="0" w:line="249" w:lineRule="auto"/>
        <w:rPr>
          <w:sz w:val="20"/>
          <w:szCs w:val="20"/>
          <w:color w:val="auto"/>
        </w:rPr>
      </w:pPr>
      <w:r>
        <w:rPr>
          <w:rFonts w:ascii="Arial" w:cs="Arial" w:eastAsia="Arial" w:hAnsi="Arial"/>
          <w:sz w:val="11"/>
          <w:szCs w:val="11"/>
          <w:color w:val="auto"/>
        </w:rPr>
        <w:t>Shares issued under employee stock plans</w:t>
      </w:r>
    </w:p>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Net loss</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Balance, December 31, 2015</w:t>
      </w:r>
    </w:p>
    <w:p>
      <w:pPr>
        <w:spacing w:after="0" w:line="119" w:lineRule="exact"/>
        <w:rPr>
          <w:sz w:val="20"/>
          <w:szCs w:val="20"/>
          <w:color w:val="auto"/>
        </w:rPr>
      </w:pPr>
    </w:p>
    <w:p>
      <w:pPr>
        <w:ind w:left="80" w:right="60" w:hanging="80"/>
        <w:spacing w:after="0" w:line="249" w:lineRule="auto"/>
        <w:rPr>
          <w:sz w:val="20"/>
          <w:szCs w:val="20"/>
          <w:color w:val="auto"/>
        </w:rPr>
      </w:pPr>
      <w:r>
        <w:rPr>
          <w:rFonts w:ascii="Arial" w:cs="Arial" w:eastAsia="Arial" w:hAnsi="Arial"/>
          <w:sz w:val="11"/>
          <w:szCs w:val="11"/>
          <w:color w:val="auto"/>
        </w:rPr>
        <w:t>Shares issued under employee stock plans</w:t>
      </w:r>
    </w:p>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Repurchase of shares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Net loss</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Balance, December 31, 2016</w:t>
      </w:r>
    </w:p>
    <w:p>
      <w:pPr>
        <w:spacing w:after="0" w:line="119" w:lineRule="exact"/>
        <w:rPr>
          <w:sz w:val="20"/>
          <w:szCs w:val="20"/>
          <w:color w:val="auto"/>
        </w:rPr>
      </w:pPr>
    </w:p>
    <w:p>
      <w:pPr>
        <w:ind w:left="80" w:hanging="80"/>
        <w:spacing w:after="0" w:line="239" w:lineRule="auto"/>
        <w:rPr>
          <w:sz w:val="20"/>
          <w:szCs w:val="20"/>
          <w:color w:val="auto"/>
        </w:rPr>
      </w:pPr>
      <w:r>
        <w:rPr>
          <w:rFonts w:ascii="Arial" w:cs="Arial" w:eastAsia="Arial" w:hAnsi="Arial"/>
          <w:sz w:val="11"/>
          <w:szCs w:val="11"/>
          <w:color w:val="auto"/>
        </w:rPr>
        <w:t>Shares issued for public offerings, net of underwriters' fees</w:t>
      </w: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Total offering costs</w:t>
      </w:r>
    </w:p>
    <w:p>
      <w:pPr>
        <w:spacing w:after="0" w:line="103" w:lineRule="exact"/>
        <w:rPr>
          <w:sz w:val="20"/>
          <w:szCs w:val="20"/>
          <w:color w:val="auto"/>
        </w:rPr>
      </w:pPr>
    </w:p>
    <w:p>
      <w:pPr>
        <w:ind w:left="80" w:right="60" w:hanging="80"/>
        <w:spacing w:after="0" w:line="249" w:lineRule="auto"/>
        <w:rPr>
          <w:sz w:val="20"/>
          <w:szCs w:val="20"/>
          <w:color w:val="auto"/>
        </w:rPr>
      </w:pPr>
      <w:r>
        <w:rPr>
          <w:rFonts w:ascii="Arial" w:cs="Arial" w:eastAsia="Arial" w:hAnsi="Arial"/>
          <w:sz w:val="11"/>
          <w:szCs w:val="11"/>
          <w:color w:val="auto"/>
        </w:rPr>
        <w:t>Shares issued under employee stock plans</w:t>
      </w:r>
    </w:p>
    <w:p>
      <w:pPr>
        <w:spacing w:after="0" w:line="75" w:lineRule="exact"/>
        <w:rPr>
          <w:sz w:val="20"/>
          <w:szCs w:val="20"/>
          <w:color w:val="auto"/>
        </w:rPr>
      </w:pPr>
    </w:p>
    <w:p>
      <w:pPr>
        <w:spacing w:after="0"/>
        <w:rPr>
          <w:sz w:val="20"/>
          <w:szCs w:val="20"/>
          <w:color w:val="auto"/>
        </w:rPr>
      </w:pPr>
      <w:r>
        <w:rPr>
          <w:rFonts w:ascii="Arial" w:cs="Arial" w:eastAsia="Arial" w:hAnsi="Arial"/>
          <w:sz w:val="10"/>
          <w:szCs w:val="10"/>
          <w:color w:val="auto"/>
        </w:rPr>
        <w:t>Conversion of preferred stock</w:t>
      </w:r>
    </w:p>
    <w:p>
      <w:pPr>
        <w:spacing w:after="0" w:line="155" w:lineRule="exact"/>
        <w:rPr>
          <w:sz w:val="20"/>
          <w:szCs w:val="20"/>
          <w:color w:val="auto"/>
        </w:rPr>
      </w:pPr>
    </w:p>
    <w:p>
      <w:pPr>
        <w:spacing w:after="0"/>
        <w:rPr>
          <w:sz w:val="20"/>
          <w:szCs w:val="20"/>
          <w:color w:val="auto"/>
        </w:rPr>
      </w:pPr>
      <w:r>
        <w:rPr>
          <w:rFonts w:ascii="Arial" w:cs="Arial" w:eastAsia="Arial" w:hAnsi="Arial"/>
          <w:sz w:val="11"/>
          <w:szCs w:val="11"/>
          <w:color w:val="auto"/>
        </w:rPr>
        <w:t>Warrants exercised</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Reclassification of warrants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Forfeiture rate adjustment</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Comprehensive loss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color w:val="auto"/>
        </w:rPr>
        <w:t>Net loss</w:t>
      </w: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Balance, December 31, 2017</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3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1"/>
              </w:rPr>
              <w:t>Series B</w:t>
            </w:r>
          </w:p>
        </w:tc>
        <w:tc>
          <w:tcPr>
            <w:tcW w:w="134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6"/>
              </w:rPr>
              <w:t>Series C</w:t>
            </w:r>
          </w:p>
        </w:tc>
        <w:tc>
          <w:tcPr>
            <w:tcW w:w="136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5"/>
              </w:rPr>
              <w:t>Series C-1</w:t>
            </w:r>
          </w:p>
        </w:tc>
        <w:tc>
          <w:tcPr>
            <w:tcW w:w="13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90"/>
              </w:rPr>
              <w:t>Series 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4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36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34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41"/>
        </w:trPr>
        <w:tc>
          <w:tcPr>
            <w:tcW w:w="136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87"/>
              </w:rPr>
              <w:t>Preferred Stock</w:t>
            </w: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90"/>
              </w:rPr>
              <w:t>Preferred Stock</w:t>
            </w:r>
          </w:p>
        </w:tc>
        <w:tc>
          <w:tcPr>
            <w:tcW w:w="1340" w:type="dxa"/>
            <w:vAlign w:val="bottom"/>
            <w:gridSpan w:val="4"/>
            <w:vMerge w:val="restart"/>
          </w:tcPr>
          <w:p>
            <w:pPr>
              <w:jc w:val="center"/>
              <w:ind w:right="100"/>
              <w:spacing w:after="0"/>
              <w:rPr>
                <w:sz w:val="20"/>
                <w:szCs w:val="20"/>
                <w:color w:val="auto"/>
              </w:rPr>
            </w:pPr>
            <w:r>
              <w:rPr>
                <w:rFonts w:ascii="Arial" w:cs="Arial" w:eastAsia="Arial" w:hAnsi="Arial"/>
                <w:sz w:val="11"/>
                <w:szCs w:val="11"/>
                <w:b w:val="1"/>
                <w:bCs w:val="1"/>
                <w:color w:val="auto"/>
                <w:w w:val="87"/>
              </w:rPr>
              <w:t>Preferred Stock</w:t>
            </w:r>
          </w:p>
        </w:tc>
        <w:tc>
          <w:tcPr>
            <w:tcW w:w="1360" w:type="dxa"/>
            <w:vAlign w:val="bottom"/>
            <w:gridSpan w:val="4"/>
            <w:vMerge w:val="restart"/>
          </w:tcPr>
          <w:p>
            <w:pPr>
              <w:ind w:left="280"/>
              <w:spacing w:after="0"/>
              <w:rPr>
                <w:sz w:val="20"/>
                <w:szCs w:val="20"/>
                <w:color w:val="auto"/>
              </w:rPr>
            </w:pPr>
            <w:r>
              <w:rPr>
                <w:rFonts w:ascii="Arial" w:cs="Arial" w:eastAsia="Arial" w:hAnsi="Arial"/>
                <w:sz w:val="11"/>
                <w:szCs w:val="11"/>
                <w:b w:val="1"/>
                <w:bCs w:val="1"/>
                <w:color w:val="auto"/>
              </w:rPr>
              <w:t>Common Stock</w:t>
            </w: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360" w:type="dxa"/>
            <w:vAlign w:val="bottom"/>
            <w:gridSpan w:val="4"/>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Additional</w:t>
            </w:r>
          </w:p>
        </w:tc>
        <w:tc>
          <w:tcPr>
            <w:tcW w:w="9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5"/>
              </w:rPr>
              <w:t>Other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01"/>
        </w:trPr>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2"/>
              </w:rPr>
              <w:t>Paid-in</w:t>
            </w:r>
          </w:p>
        </w:tc>
        <w:tc>
          <w:tcPr>
            <w:tcW w:w="9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7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40"/>
        </w:trPr>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Capital</w:t>
            </w:r>
          </w:p>
        </w:tc>
        <w:tc>
          <w:tcPr>
            <w:tcW w:w="9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Loss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Deficit</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80" w:type="dxa"/>
            <w:vAlign w:val="bottom"/>
          </w:tcPr>
          <w:p>
            <w:pPr>
              <w:jc w:val="center"/>
              <w:spacing w:after="0"/>
              <w:rPr>
                <w:sz w:val="20"/>
                <w:szCs w:val="20"/>
                <w:color w:val="auto"/>
              </w:rPr>
            </w:pPr>
            <w:r>
              <w:rPr>
                <w:rFonts w:ascii="Arial" w:cs="Arial" w:eastAsia="Arial" w:hAnsi="Arial"/>
                <w:sz w:val="11"/>
                <w:szCs w:val="11"/>
                <w:color w:val="auto"/>
                <w:w w:val="87"/>
              </w:rPr>
              <w:t>3,963</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5"/>
              </w:rPr>
              <w:t>$28,220</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1,593</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$6,452</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474</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$2,156</w:t>
            </w:r>
          </w:p>
        </w:tc>
        <w:tc>
          <w:tcPr>
            <w:tcW w:w="100" w:type="dxa"/>
            <w:vAlign w:val="bottom"/>
          </w:tcPr>
          <w:p>
            <w:pPr>
              <w:spacing w:after="0"/>
              <w:rPr>
                <w:sz w:val="19"/>
                <w:szCs w:val="19"/>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w:t>
            </w: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2,481</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1"/>
              </w:rPr>
              <w:t>$2</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$14,422</w:t>
            </w:r>
          </w:p>
        </w:tc>
        <w:tc>
          <w:tcPr>
            <w:tcW w:w="10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w:t>
            </w: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$(45,259)</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9"/>
              </w:rPr>
              <w:t>$(30,835)</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5,491</w:t>
            </w:r>
          </w:p>
        </w:tc>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40,688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6"/>
              </w:rPr>
              <w:t>297</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297</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149</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1</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6"/>
              </w:rPr>
              <w:t>159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160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6"/>
              </w:rPr>
              <w:t>604</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604</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5"/>
              </w:rPr>
              <w:t>(5,405)</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5"/>
              </w:rPr>
              <w:t>(5,405)</w:t>
            </w:r>
          </w:p>
        </w:tc>
        <w:tc>
          <w:tcPr>
            <w:tcW w:w="0" w:type="dxa"/>
            <w:vAlign w:val="bottom"/>
          </w:tcPr>
          <w:p>
            <w:pPr>
              <w:spacing w:after="0"/>
              <w:rPr>
                <w:sz w:val="1"/>
                <w:szCs w:val="1"/>
                <w:color w:val="auto"/>
              </w:rPr>
            </w:pP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80" w:type="dxa"/>
            <w:vAlign w:val="bottom"/>
          </w:tcPr>
          <w:p>
            <w:pPr>
              <w:jc w:val="center"/>
              <w:spacing w:after="0"/>
              <w:rPr>
                <w:sz w:val="20"/>
                <w:szCs w:val="20"/>
                <w:color w:val="auto"/>
              </w:rPr>
            </w:pPr>
            <w:r>
              <w:rPr>
                <w:rFonts w:ascii="Arial" w:cs="Arial" w:eastAsia="Arial" w:hAnsi="Arial"/>
                <w:sz w:val="11"/>
                <w:szCs w:val="11"/>
                <w:color w:val="auto"/>
                <w:w w:val="87"/>
              </w:rPr>
              <w:t>3,963</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28,220</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1,593</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6,452</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474</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2,156</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5,491</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40,688</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2,630</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3</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15,482</w:t>
            </w:r>
          </w:p>
        </w:tc>
        <w:tc>
          <w:tcPr>
            <w:tcW w:w="10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(50,664)</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(35,179)</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1"/>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31</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1"/>
              </w:rPr>
              <w:t>31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1,160</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4"/>
              </w:rPr>
              <w:t>1,160</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5"/>
              </w:rPr>
              <w:t>(4,259)</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5"/>
              </w:rPr>
              <w:t>(4,259)</w:t>
            </w:r>
          </w:p>
        </w:tc>
        <w:tc>
          <w:tcPr>
            <w:tcW w:w="0" w:type="dxa"/>
            <w:vAlign w:val="bottom"/>
          </w:tcPr>
          <w:p>
            <w:pPr>
              <w:spacing w:after="0"/>
              <w:rPr>
                <w:sz w:val="1"/>
                <w:szCs w:val="1"/>
                <w:color w:val="auto"/>
              </w:rPr>
            </w:pP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80" w:type="dxa"/>
            <w:vAlign w:val="bottom"/>
          </w:tcPr>
          <w:p>
            <w:pPr>
              <w:jc w:val="center"/>
              <w:spacing w:after="0"/>
              <w:rPr>
                <w:sz w:val="20"/>
                <w:szCs w:val="20"/>
                <w:color w:val="auto"/>
              </w:rPr>
            </w:pPr>
            <w:r>
              <w:rPr>
                <w:rFonts w:ascii="Arial" w:cs="Arial" w:eastAsia="Arial" w:hAnsi="Arial"/>
                <w:sz w:val="11"/>
                <w:szCs w:val="11"/>
                <w:color w:val="auto"/>
                <w:w w:val="87"/>
              </w:rPr>
              <w:t>3,963</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28,220</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1,593</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6,452</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474</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2,156</w:t>
            </w:r>
          </w:p>
        </w:tc>
        <w:tc>
          <w:tcPr>
            <w:tcW w:w="1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5,491</w:t>
            </w:r>
          </w:p>
        </w:tc>
        <w:tc>
          <w:tcPr>
            <w:tcW w:w="12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9"/>
              </w:rPr>
              <w:t>40,688</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2,651</w:t>
            </w:r>
          </w:p>
        </w:tc>
        <w:tc>
          <w:tcPr>
            <w:tcW w:w="1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3</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16,672</w:t>
            </w:r>
          </w:p>
        </w:tc>
        <w:tc>
          <w:tcPr>
            <w:tcW w:w="10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w:t>
            </w: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(54,923)</w:t>
            </w:r>
          </w:p>
        </w:tc>
        <w:tc>
          <w:tcPr>
            <w:tcW w:w="1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(38,248)</w:t>
            </w: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7"/>
              </w:rPr>
              <w:t>9,021</w:t>
            </w: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9</w:t>
            </w: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292,528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w:t>
            </w:r>
          </w:p>
        </w:tc>
        <w:tc>
          <w:tcPr>
            <w:tcW w:w="700" w:type="dxa"/>
            <w:vAlign w:val="bottom"/>
          </w:tcPr>
          <w:p>
            <w:pPr>
              <w:jc w:val="center"/>
              <w:spacing w:after="0"/>
              <w:rPr>
                <w:sz w:val="20"/>
                <w:szCs w:val="20"/>
                <w:color w:val="auto"/>
              </w:rPr>
            </w:pPr>
            <w:r>
              <w:rPr>
                <w:rFonts w:ascii="Arial" w:cs="Arial" w:eastAsia="Arial" w:hAnsi="Arial"/>
                <w:sz w:val="11"/>
                <w:szCs w:val="11"/>
                <w:color w:val="auto"/>
                <w:w w:val="85"/>
              </w:rPr>
              <w:t>292,537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1"/>
              </w:rPr>
              <w:t>(4,228)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5"/>
              </w:rPr>
              <w:t>(4,228)</w:t>
            </w: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199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6"/>
              </w:rPr>
              <w:t>979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979</w:t>
            </w:r>
          </w:p>
        </w:tc>
        <w:tc>
          <w:tcPr>
            <w:tcW w:w="0" w:type="dxa"/>
            <w:vAlign w:val="bottom"/>
          </w:tcPr>
          <w:p>
            <w:pPr>
              <w:spacing w:after="0"/>
              <w:rPr>
                <w:sz w:val="1"/>
                <w:szCs w:val="1"/>
                <w:color w:val="auto"/>
              </w:rPr>
            </w:pPr>
          </w:p>
        </w:tc>
      </w:tr>
      <w:tr>
        <w:trPr>
          <w:trHeight w:val="270"/>
        </w:trPr>
        <w:tc>
          <w:tcPr>
            <w:tcW w:w="580" w:type="dxa"/>
            <w:vAlign w:val="bottom"/>
          </w:tcPr>
          <w:p>
            <w:pPr>
              <w:jc w:val="center"/>
              <w:spacing w:after="0"/>
              <w:rPr>
                <w:sz w:val="20"/>
                <w:szCs w:val="20"/>
                <w:color w:val="auto"/>
              </w:rPr>
            </w:pPr>
            <w:r>
              <w:rPr>
                <w:rFonts w:ascii="Arial" w:cs="Arial" w:eastAsia="Arial" w:hAnsi="Arial"/>
                <w:sz w:val="11"/>
                <w:szCs w:val="11"/>
                <w:color w:val="auto"/>
                <w:w w:val="91"/>
              </w:rPr>
              <w:t>(3,963)</w:t>
            </w:r>
          </w:p>
        </w:tc>
        <w:tc>
          <w:tcPr>
            <w:tcW w:w="1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2"/>
              </w:rPr>
              <w:t>(28,220)</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1"/>
              </w:rPr>
              <w:t>(1,593)</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1"/>
              </w:rPr>
              <w:t>(6,452)</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5"/>
              </w:rPr>
              <w:t>(474)</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1"/>
              </w:rPr>
              <w:t>(2,156)</w:t>
            </w:r>
          </w:p>
        </w:tc>
        <w:tc>
          <w:tcPr>
            <w:tcW w:w="10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1"/>
              </w:rPr>
              <w:t>(5,491)</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87"/>
              </w:rPr>
              <w:t>(40,688)</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11,521</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1"/>
              </w:rPr>
              <w:t>12</w:t>
            </w: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9"/>
              </w:rPr>
              <w:t>77,504</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9"/>
              </w:rPr>
              <w:t>77,516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399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6"/>
              </w:rPr>
              <w:t>536</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536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4,607</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4"/>
              </w:rPr>
              <w:t>4,607</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41</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1"/>
              </w:rPr>
              <w:t>(41)</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4,378</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4"/>
              </w:rPr>
              <w:t>4,378</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93"/>
              </w:rPr>
              <w:t>(426)</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5"/>
              </w:rPr>
              <w:t>(426)</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2"/>
              </w:rPr>
              <w:t>(30,070)</w:t>
            </w:r>
          </w:p>
        </w:tc>
        <w:tc>
          <w:tcPr>
            <w:tcW w:w="12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2"/>
              </w:rPr>
              <w:t>(30,070)</w:t>
            </w:r>
          </w:p>
        </w:tc>
        <w:tc>
          <w:tcPr>
            <w:tcW w:w="0" w:type="dxa"/>
            <w:vAlign w:val="bottom"/>
          </w:tcPr>
          <w:p>
            <w:pPr>
              <w:spacing w:after="0"/>
              <w:rPr>
                <w:sz w:val="1"/>
                <w:szCs w:val="1"/>
                <w:color w:val="auto"/>
              </w:rPr>
            </w:pP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8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w:t>
            </w:r>
          </w:p>
        </w:tc>
        <w:tc>
          <w:tcPr>
            <w:tcW w:w="580" w:type="dxa"/>
            <w:vAlign w:val="bottom"/>
          </w:tcPr>
          <w:p>
            <w:pPr>
              <w:jc w:val="center"/>
              <w:spacing w:after="0"/>
              <w:rPr>
                <w:sz w:val="20"/>
                <w:szCs w:val="20"/>
                <w:color w:val="auto"/>
              </w:rPr>
            </w:pPr>
            <w:r>
              <w:rPr>
                <w:rFonts w:ascii="Arial" w:cs="Arial" w:eastAsia="Arial" w:hAnsi="Arial"/>
                <w:sz w:val="11"/>
                <w:szCs w:val="11"/>
                <w:color w:val="auto"/>
                <w:w w:val="89"/>
              </w:rPr>
              <w:t>23,791</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86"/>
              </w:rPr>
              <w:t>$24</w:t>
            </w: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7"/>
              </w:rPr>
              <w:t>$393,017</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1"/>
                <w:szCs w:val="11"/>
                <w:color w:val="auto"/>
                <w:w w:val="87"/>
              </w:rPr>
              <w:t>$(426)</w:t>
            </w:r>
          </w:p>
        </w:tc>
        <w:tc>
          <w:tcPr>
            <w:tcW w:w="1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9"/>
              </w:rPr>
              <w:t>$(85,034)</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91"/>
              </w:rPr>
              <w:t>$307,581</w:t>
            </w:r>
          </w:p>
        </w:tc>
        <w:tc>
          <w:tcPr>
            <w:tcW w:w="0" w:type="dxa"/>
            <w:vAlign w:val="bottom"/>
          </w:tcPr>
          <w:p>
            <w:pPr>
              <w:spacing w:after="0"/>
              <w:rPr>
                <w:sz w:val="1"/>
                <w:szCs w:val="1"/>
                <w:color w:val="auto"/>
              </w:rPr>
            </w:pPr>
          </w:p>
        </w:tc>
      </w:tr>
      <w:tr>
        <w:trPr>
          <w:trHeight w:val="22"/>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-4124325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-3764280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-3404235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-3060700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-2700655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-2357755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-2014855</wp:posOffset>
            </wp:positionV>
            <wp:extent cx="7246620" cy="266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-1577340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-1217295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-874395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-530860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-187960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60" w:space="100"/>
            <w:col w:w="9920"/>
          </w:cols>
          <w:pgMar w:left="280" w:top="580" w:right="239" w:bottom="1440" w:gutter="0" w:footer="0" w:header="0"/>
          <w:type w:val="continuous"/>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80" w:top="580"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13335</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(30,070)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(4,259)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(5,405)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4,378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from investments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Loss on disposal of property and equipment</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4"/>
        </w:trPr>
        <w:tc>
          <w:tcPr>
            <w:tcW w:w="74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1,225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Australian tax incentive receivable</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Income taxes payable</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37"/>
        </w:trPr>
        <w:tc>
          <w:tcPr>
            <w:tcW w:w="7440" w:type="dxa"/>
            <w:vAlign w:val="bottom"/>
          </w:tcPr>
          <w:p>
            <w:pPr>
              <w:ind w:left="5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(19,438)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(9,030)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(9,694)</w:t>
            </w:r>
          </w:p>
        </w:tc>
        <w:tc>
          <w:tcPr>
            <w:tcW w:w="0" w:type="dxa"/>
            <w:vAlign w:val="bottom"/>
          </w:tcPr>
          <w:p>
            <w:pPr>
              <w:spacing w:after="0"/>
              <w:rPr>
                <w:sz w:val="1"/>
                <w:szCs w:val="1"/>
                <w:color w:val="auto"/>
              </w:rPr>
            </w:pP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Acquisition of investments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(290,905)</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Sales and maturities of investments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48,137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(243,058)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4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0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public offerings, net of underwriters' fees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292,537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the issuance of preferred stock, net of issuance cost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40,688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3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Proceeds from debt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repurchase of common stock</w:t>
            </w: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Payments for offering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debt issuance costs</w:t>
            </w:r>
          </w:p>
        </w:tc>
        <w:tc>
          <w:tcPr>
            <w:tcW w:w="30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7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292,453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8,628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39,403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0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29,957</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29,471</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51,292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51,744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22,273</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81,249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51,292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51,744</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7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Fair value of warrants issued with debt</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offering costs</w:t>
            </w: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4,607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80"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publicly traded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the natural process of antibody generation. We currently generate revenue from our collaborative research and development arrangements.</w:t>
      </w:r>
    </w:p>
    <w:p>
      <w:pPr>
        <w:spacing w:after="0" w:line="187"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December 31, 2017, have an accumulated deficit of $85.0 million. Through December 31, 2017, all of our financial support has been provided primarily from the sale of our common and preferred stock, as well as from proceeds from the issuance of convertible debt and revenue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We expect that our existing cash, cash equivalents and investments will fund our current operating plan through the end of 2019.</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740" w:hanging="246"/>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660" w:right="100" w:hanging="166"/>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120" w:firstLine="567"/>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ind w:firstLine="567"/>
        <w:spacing w:after="0" w:line="302" w:lineRule="auto"/>
        <w:rPr>
          <w:sz w:val="20"/>
          <w:szCs w:val="20"/>
          <w:color w:val="auto"/>
        </w:rPr>
      </w:pPr>
      <w:r>
        <w:rPr>
          <w:rFonts w:ascii="Arial" w:cs="Arial" w:eastAsia="Arial" w:hAnsi="Arial"/>
          <w:sz w:val="16"/>
          <w:szCs w:val="16"/>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on November 14, 2017, the underwriters exercised an additional 271,380 shares of common stock at a discounted price to the public of $68.50 per share for aggregate net proceeds of $17.6 million, net of underwriting discounts and commissions.</w:t>
      </w:r>
    </w:p>
    <w:p>
      <w:pPr>
        <w:spacing w:after="0" w:line="258" w:lineRule="exact"/>
        <w:rPr>
          <w:sz w:val="20"/>
          <w:szCs w:val="20"/>
          <w:color w:val="auto"/>
        </w:rPr>
      </w:pPr>
    </w:p>
    <w:p>
      <w:pPr>
        <w:ind w:left="260" w:right="7860" w:hanging="252"/>
        <w:spacing w:after="0" w:line="378" w:lineRule="auto"/>
        <w:tabs>
          <w:tab w:leader="none" w:pos="197"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jc w:val="both"/>
        <w:ind w:right="580" w:firstLine="567"/>
        <w:spacing w:after="0" w:line="264"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or the SEC. The accompanying consolidated financial statements have been prepared in conformity with accounting principles generally accepted in the United States of America, or U.S. GAAP.</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480" w:firstLine="567"/>
        <w:spacing w:after="0" w:line="264" w:lineRule="auto"/>
        <w:rPr>
          <w:sz w:val="20"/>
          <w:szCs w:val="20"/>
          <w:color w:val="auto"/>
        </w:rPr>
      </w:pPr>
      <w:r>
        <w:rPr>
          <w:rFonts w:ascii="Arial" w:cs="Arial" w:eastAsia="Arial" w:hAnsi="Arial"/>
          <w:sz w:val="18"/>
          <w:szCs w:val="18"/>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United States dollar, or the U.S. dollar.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5" w:name="page86"/>
    <w:bookmarkEnd w:id="85"/>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67"/>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We held restricted cash of $60,000 at December 31, 2017 and 2016, respectively, which we used to secure a letter of credit provided as security for our operating lease for our facility.</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and Long Term Investments</w:t>
      </w:r>
    </w:p>
    <w:p>
      <w:pPr>
        <w:spacing w:after="0" w:line="117" w:lineRule="exact"/>
        <w:rPr>
          <w:sz w:val="20"/>
          <w:szCs w:val="20"/>
          <w:color w:val="auto"/>
        </w:rPr>
      </w:pPr>
    </w:p>
    <w:p>
      <w:pPr>
        <w:ind w:right="180" w:firstLine="567"/>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Unrealized gains and losses, deemed temporary in nature, are reported as a component of accumulated other comprehensive loss. A decline in the fair value of any security below cost that is deemed other than temporary results in a charge to earnings and the corresponding establishment of a new cost basis for the security. Dividend and interest income are recognized when earned. Realized gains and losses are included in earnings and are derived using the specific identification method for determining the cost of securities sold.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Financial instruments that potentially subject us to a concentration of credit risk consist of cash and cash equivalents and certain investments in money market funds,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term of the lease.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2017, 2016, or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908" w:right="239" w:bottom="1440" w:gutter="0" w:footer="0" w:header="0"/>
        </w:sectPr>
      </w:pPr>
    </w:p>
    <w:bookmarkStart w:id="86" w:name="page87"/>
    <w:bookmarkEnd w:id="86"/>
    <w:p>
      <w:pPr>
        <w:ind w:left="2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480" w:firstLine="567"/>
        <w:spacing w:after="0" w:line="342" w:lineRule="auto"/>
        <w:rPr>
          <w:sz w:val="20"/>
          <w:szCs w:val="20"/>
          <w:color w:val="auto"/>
        </w:rPr>
      </w:pPr>
      <w:r>
        <w:rPr>
          <w:rFonts w:ascii="Arial" w:cs="Arial" w:eastAsia="Arial" w:hAnsi="Arial"/>
          <w:sz w:val="16"/>
          <w:szCs w:val="16"/>
          <w:color w:val="auto"/>
        </w:rPr>
        <w:t>Deferred offering costs represent legal, accounting and other direct costs related to our IPO and follow-on offering. These costs were originally recorded as a long-term asset and reclassified to financing costs as a reduction to equity upon completion of our IPO and follow-on offering.</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 Deferred Rent and Operating Lease Incentives</w:t>
      </w:r>
    </w:p>
    <w:p>
      <w:pPr>
        <w:spacing w:after="0" w:line="117" w:lineRule="exact"/>
        <w:rPr>
          <w:sz w:val="20"/>
          <w:szCs w:val="20"/>
          <w:color w:val="auto"/>
        </w:rPr>
      </w:pPr>
    </w:p>
    <w:p>
      <w:pPr>
        <w:ind w:right="40" w:firstLine="567"/>
        <w:spacing w:after="0" w:line="302" w:lineRule="auto"/>
        <w:rPr>
          <w:sz w:val="20"/>
          <w:szCs w:val="20"/>
          <w:color w:val="auto"/>
        </w:rPr>
      </w:pPr>
      <w:r>
        <w:rPr>
          <w:rFonts w:ascii="Arial" w:cs="Arial" w:eastAsia="Arial" w:hAnsi="Arial"/>
          <w:sz w:val="16"/>
          <w:szCs w:val="16"/>
          <w:color w:val="auto"/>
        </w:rPr>
        <w:t>Our corporate headquarters lease is classified as an operating lease. Rent expense is recognized on a straight-line basis over the terms of the leases and, accordingly, we record the cumulative difference between cash rent payments and the recognition of rent expense as a deferred rent liability. 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w:t>
      </w:r>
    </w:p>
    <w:p>
      <w:pPr>
        <w:spacing w:after="0" w:line="2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ind w:firstLine="567"/>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567"/>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60" w:firstLine="567"/>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360" w:firstLine="567"/>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58" w:lineRule="exact"/>
        <w:rPr>
          <w:sz w:val="20"/>
          <w:szCs w:val="20"/>
          <w:color w:val="auto"/>
        </w:rPr>
      </w:pPr>
    </w:p>
    <w:p>
      <w:pPr>
        <w:ind w:left="880" w:right="40" w:hanging="440"/>
        <w:spacing w:after="0" w:line="258"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75" w:lineRule="exact"/>
        <w:rPr>
          <w:rFonts w:ascii="Arial" w:cs="Arial" w:eastAsia="Arial" w:hAnsi="Arial"/>
          <w:sz w:val="18"/>
          <w:szCs w:val="18"/>
          <w:color w:val="auto"/>
        </w:rPr>
      </w:pPr>
    </w:p>
    <w:p>
      <w:pPr>
        <w:ind w:left="880" w:right="180" w:hanging="440"/>
        <w:spacing w:after="0" w:line="298" w:lineRule="auto"/>
        <w:tabs>
          <w:tab w:leader="none" w:pos="88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200" w:firstLine="567"/>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licensee or collaborator.</w:t>
      </w:r>
    </w:p>
    <w:p>
      <w:pPr>
        <w:spacing w:after="0" w:line="124" w:lineRule="exact"/>
        <w:rPr>
          <w:sz w:val="20"/>
          <w:szCs w:val="20"/>
          <w:color w:val="auto"/>
        </w:rPr>
      </w:pPr>
    </w:p>
    <w:p>
      <w:pPr>
        <w:jc w:val="both"/>
        <w:ind w:right="600" w:firstLine="567"/>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909" w:right="299" w:bottom="1440" w:gutter="0" w:footer="0" w:header="0"/>
        </w:sectPr>
      </w:pPr>
    </w:p>
    <w:bookmarkStart w:id="87" w:name="page88"/>
    <w:bookmarkEnd w:id="87"/>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20" w:firstLine="567"/>
        <w:spacing w:after="0" w:line="286" w:lineRule="auto"/>
        <w:rPr>
          <w:sz w:val="20"/>
          <w:szCs w:val="20"/>
          <w:color w:val="auto"/>
        </w:rPr>
      </w:pPr>
      <w:r>
        <w:rPr>
          <w:rFonts w:ascii="Arial" w:cs="Arial" w:eastAsia="Arial" w:hAnsi="Arial"/>
          <w:sz w:val="17"/>
          <w:szCs w:val="17"/>
          <w:color w:val="auto"/>
        </w:rPr>
        <w:t>Costs associated with research and development activities are expensed as incurred. Research and development costs primarily include third-party clinical and preclinical research and development services, including manufacturing, laboratory and related supplies, salaries and personnel-related costs, in-licensing fees, outside services, and an allocation of information technology, fringe benefits, and facility overhead costs.</w:t>
      </w:r>
    </w:p>
    <w:p>
      <w:pPr>
        <w:spacing w:after="0" w:line="166" w:lineRule="exact"/>
        <w:rPr>
          <w:sz w:val="20"/>
          <w:szCs w:val="20"/>
          <w:color w:val="auto"/>
        </w:rPr>
      </w:pPr>
    </w:p>
    <w:p>
      <w:pPr>
        <w:ind w:right="320" w:firstLine="567"/>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or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67"/>
        <w:spacing w:after="0" w:line="293" w:lineRule="auto"/>
        <w:rPr>
          <w:sz w:val="20"/>
          <w:szCs w:val="20"/>
          <w:color w:val="auto"/>
        </w:rPr>
      </w:pPr>
      <w:r>
        <w:rPr>
          <w:rFonts w:ascii="Arial" w:cs="Arial" w:eastAsia="Arial" w:hAnsi="Arial"/>
          <w:sz w:val="16"/>
          <w:szCs w:val="16"/>
          <w:color w:val="auto"/>
        </w:rPr>
        <w:t xml:space="preserve">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As of January 1, 2017, upon adoption of Accounting Standards Update, or “ASU”,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Improvements to Employee Share-Based Payment Accounting </w:t>
      </w:r>
      <w:r>
        <w:rPr>
          <w:rFonts w:ascii="Arial" w:cs="Arial" w:eastAsia="Arial" w:hAnsi="Arial"/>
          <w:sz w:val="16"/>
          <w:szCs w:val="16"/>
          <w:color w:val="auto"/>
        </w:rPr>
        <w:t>issued by the Financial Accounting Standards Board, or the “FASB”, we recognize forfeitures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period in which forfeiture occur and record stock-based compensation expense as though all awards are expected to vest.</w:t>
      </w:r>
    </w:p>
    <w:p>
      <w:pPr>
        <w:spacing w:after="0" w:line="165"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200" w:firstLine="567"/>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(deficit)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jc w:val="both"/>
        <w:ind w:right="100" w:firstLine="567"/>
        <w:spacing w:after="0" w:line="259" w:lineRule="auto"/>
        <w:rPr>
          <w:sz w:val="20"/>
          <w:szCs w:val="20"/>
          <w:color w:val="auto"/>
        </w:rPr>
      </w:pPr>
      <w:r>
        <w:rPr>
          <w:rFonts w:ascii="Arial" w:cs="Arial" w:eastAsia="Arial" w:hAnsi="Arial"/>
          <w:sz w:val="18"/>
          <w:szCs w:val="18"/>
          <w:color w:val="auto"/>
        </w:rPr>
        <w:t>In January 2017, upon completion of our IPO, all warrants were reclassified to additional paid-in capital. Prior to this, we accounted for warrants for shares of preferred stock with conversion features that provide for reductions in the warrant price as derivative liabilities in the accompanying balance sheets at their fair value on the date of issuance. The derivative liabilities were revalued at each balance sheet date, with changes in the fair value between reporting periods recorded as other income or expense in the consolidated statement of operations.</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40" w:firstLine="567"/>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909" w:right="259" w:bottom="1440" w:gutter="0" w:footer="0" w:header="0"/>
        </w:sectPr>
      </w:pPr>
    </w:p>
    <w:bookmarkStart w:id="88" w:name="page89"/>
    <w:bookmarkEnd w:id="88"/>
    <w:p>
      <w:pPr>
        <w:ind w:right="140" w:firstLine="567"/>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$(0.1) million and $(0.2) million during the years ended December 31, 2017, 2016 and 2015, respectively.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77" w:lineRule="exact"/>
        <w:rPr>
          <w:sz w:val="20"/>
          <w:szCs w:val="20"/>
          <w:color w:val="auto"/>
        </w:rPr>
      </w:pPr>
    </w:p>
    <w:p>
      <w:pPr>
        <w:ind w:right="180" w:firstLine="567"/>
        <w:spacing w:after="0" w:line="342" w:lineRule="auto"/>
        <w:rPr>
          <w:sz w:val="20"/>
          <w:szCs w:val="20"/>
          <w:color w:val="auto"/>
        </w:rPr>
      </w:pPr>
      <w:r>
        <w:rPr>
          <w:rFonts w:ascii="Arial" w:cs="Arial" w:eastAsia="Arial" w:hAnsi="Arial"/>
          <w:sz w:val="16"/>
          <w:szCs w:val="16"/>
          <w:color w:val="auto"/>
        </w:rPr>
        <w:t>Comprehensive loss represents all changes in stockholders’ equity (deficit) except those resulting from distributions to stockholders. Our unrealized losses on available for sale investments represent the only component of other comprehensive loss that is excluded from the reported net income (loss).</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Net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79" w:lineRule="exact"/>
        <w:rPr>
          <w:sz w:val="20"/>
          <w:szCs w:val="20"/>
          <w:color w:val="auto"/>
        </w:rPr>
      </w:pPr>
    </w:p>
    <w:p>
      <w:pPr>
        <w:ind w:right="100" w:firstLine="567"/>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Computations for basic and diluted net loss per common share are presented on the consolidated statements of operations.</w:t>
      </w:r>
    </w:p>
    <w:p>
      <w:pPr>
        <w:spacing w:after="0" w:line="63" w:lineRule="exact"/>
        <w:rPr>
          <w:sz w:val="20"/>
          <w:szCs w:val="20"/>
          <w:color w:val="auto"/>
        </w:rPr>
      </w:pPr>
    </w:p>
    <w:p>
      <w:pPr>
        <w:ind w:right="340" w:firstLine="567"/>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5"/>
                <w:szCs w:val="15"/>
                <w:color w:val="auto"/>
              </w:rPr>
            </w:pPr>
          </w:p>
        </w:tc>
        <w:tc>
          <w:tcPr>
            <w:tcW w:w="12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87"/>
        </w:trPr>
        <w:tc>
          <w:tcPr>
            <w:tcW w:w="7440" w:type="dxa"/>
            <w:vAlign w:val="bottom"/>
            <w:tcBorders>
              <w:bottom w:val="single" w:sz="8" w:color="CFF0FC"/>
            </w:tcBorders>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FF0FC"/>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Convertible preferred stock</w:t>
            </w: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11,521</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Warrants to purchase preferred stock</w:t>
            </w:r>
          </w:p>
        </w:tc>
        <w:tc>
          <w:tcPr>
            <w:tcW w:w="13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13,902</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10,503</w:t>
            </w: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100" w:firstLine="567"/>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Under the new guidance, additional paid-in capital pools will be eliminated and entities will be required to recognize the income tax effects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awards in the income statement when share-based awards vest or are settled. ASU 2016-09 also changes the classification of excess tax benefits on the statement of cash flows. It also will allow an employer to repurchase more of an employee's shares than it can currently for tax withholding purposes without triggering liability accounting and to make a policy election to either account for forfeitures as they occur or to continue the current practice of estimating forfeitures at the time of grant. ASU 2016-09 became effective for annual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800" w:right="239" w:bottom="1440" w:gutter="0" w:footer="0" w:header="0"/>
        </w:sectPr>
      </w:pPr>
    </w:p>
    <w:bookmarkStart w:id="89" w:name="page90"/>
    <w:bookmarkEnd w:id="89"/>
    <w:p>
      <w:pPr>
        <w:ind w:right="40"/>
        <w:spacing w:after="0" w:line="286" w:lineRule="auto"/>
        <w:rPr>
          <w:sz w:val="20"/>
          <w:szCs w:val="20"/>
          <w:color w:val="auto"/>
        </w:rPr>
      </w:pPr>
      <w:r>
        <w:rPr>
          <w:rFonts w:ascii="Arial" w:cs="Arial" w:eastAsia="Arial" w:hAnsi="Arial"/>
          <w:sz w:val="17"/>
          <w:szCs w:val="17"/>
          <w:color w:val="auto"/>
        </w:rPr>
        <w:t>periods beginning January 1, 2017, including interim periods thereafter. Upon adoption of this standard in January 2017, we recognized a cumulative increase of $41,000 to our accumulated deficit as a result of a change in accounting policy, due to our transition from calculating an estimated forfeiture rate at grant date to recording actual forfeitures as they occur. We did not record any other adjustments upon adoption of this standard.</w:t>
      </w:r>
    </w:p>
    <w:p>
      <w:pPr>
        <w:spacing w:after="0" w:line="166" w:lineRule="exact"/>
        <w:rPr>
          <w:sz w:val="20"/>
          <w:szCs w:val="20"/>
          <w:color w:val="auto"/>
        </w:rPr>
      </w:pPr>
    </w:p>
    <w:p>
      <w:pPr>
        <w:ind w:right="40" w:firstLine="567"/>
        <w:spacing w:after="0" w:line="273"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companies to include cash and cash equivalents that have restrictions on withdrawal or use in total cash and cash equivalents on the statement of cash flows. ASU 2016-18 becomes effective for annual reporting periods beginning January 1, 2018, including interim periods thereafter; early adoption is permitted, including adoption in an interim period. Upon early adoption of this standard in January 2017, we adjusted our consolidated statement of cash flows to include $60,000 in restricted cash in all beginning and ending cash balances other than fiscal 2015, for which we adjusted the beginning cash balance to include $85,000 in restricted cash. We did not record any other adjustments upon adoption of this standard.</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67"/>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Entities have the option of using either a full retrospective or a modified retrospective approach for the adoption of the new standard. We will transition this standard using the modified retrospective approach for our annual reporting period beginning January 1, 2018. Based on our current revenue structure,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which would require the milestone payments to be recorded when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a cumulative catch-up adjustment will not be required as of January 1, 2018. While we currently disaggregate our revenue disclosures by collaborative agreement, additional discussion surrounding significant estimates made by management is required.</w:t>
      </w:r>
    </w:p>
    <w:p>
      <w:pPr>
        <w:spacing w:after="0" w:line="181"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We adopted this standard as of January 1, 2018 and note that this standard will not have a material impact on our consolidated financial statements.</w:t>
      </w:r>
    </w:p>
    <w:p>
      <w:pPr>
        <w:spacing w:after="0" w:line="178" w:lineRule="exact"/>
        <w:rPr>
          <w:sz w:val="20"/>
          <w:szCs w:val="20"/>
          <w:color w:val="auto"/>
        </w:rPr>
      </w:pPr>
    </w:p>
    <w:p>
      <w:pPr>
        <w:ind w:right="60" w:firstLine="567"/>
        <w:spacing w:after="0" w:line="29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that lessees recognize a right-of-use asset and a related lease liability arising from leases on the balance sheet. ASU 2016-02 becomes effective for our annual reporting period beginning January 1, 2019, including interim periods thereafter. We have begun analyzing recently executed contracts for embedded leases and have begun to review historical contracts that are still in effect for 2017, including our outstanding lease agreements. We continue to assess the impact that this standard will have on our consolidated financial statements and anticipate recognition of additional assets and corresponding liabilities related to leases on our consolidated balance sheets.</w:t>
      </w:r>
    </w:p>
    <w:p>
      <w:pPr>
        <w:spacing w:after="0" w:line="158"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We adopted this standard as of January 1, 2018 and note that this standard will not have a material impact on our consolidated financial statements.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00" w:right="239" w:bottom="1440" w:gutter="0" w:footer="0" w:header="0"/>
        </w:sectPr>
      </w:pPr>
    </w:p>
    <w:bookmarkStart w:id="90" w:name="page91"/>
    <w:bookmarkEnd w:id="90"/>
    <w:p>
      <w:pPr>
        <w:ind w:left="260" w:right="7040" w:hanging="252"/>
        <w:spacing w:after="0" w:line="378" w:lineRule="auto"/>
        <w:tabs>
          <w:tab w:leader="none" w:pos="19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3,687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(3,978)</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Accrued Expenses</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20" w:type="dxa"/>
            <w:vAlign w:val="bottom"/>
          </w:tcPr>
          <w:p>
            <w:pPr>
              <w:ind w:left="580"/>
              <w:spacing w:after="0"/>
              <w:rPr>
                <w:sz w:val="20"/>
                <w:szCs w:val="20"/>
                <w:color w:val="auto"/>
              </w:rPr>
            </w:pPr>
            <w:r>
              <w:rPr>
                <w:rFonts w:ascii="Arial" w:cs="Arial" w:eastAsia="Arial" w:hAnsi="Arial"/>
                <w:sz w:val="18"/>
                <w:szCs w:val="18"/>
                <w:color w:val="auto"/>
              </w:rPr>
              <w:t>Accrued expenses consist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81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1,588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shd w:val="clear" w:color="auto" w:fill="CFF0FC"/>
          </w:tcPr>
          <w:p>
            <w:pPr>
              <w:spacing w:after="0"/>
              <w:rPr>
                <w:sz w:val="23"/>
                <w:szCs w:val="23"/>
                <w:color w:val="auto"/>
              </w:rPr>
            </w:pPr>
          </w:p>
        </w:tc>
        <w:tc>
          <w:tcPr>
            <w:tcW w:w="14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7240" w:hanging="252"/>
        <w:spacing w:after="0" w:line="375" w:lineRule="auto"/>
        <w:tabs>
          <w:tab w:leader="none" w:pos="197"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Research and Development Agreements TESARO Collaboration</w:t>
      </w:r>
    </w:p>
    <w:p>
      <w:pPr>
        <w:spacing w:after="0" w:line="1"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or the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 fourth target for an upfront license fee of $2.0 million.</w:t>
      </w:r>
    </w:p>
    <w:p>
      <w:pPr>
        <w:spacing w:after="0" w:line="189" w:lineRule="exact"/>
        <w:rPr>
          <w:sz w:val="20"/>
          <w:szCs w:val="20"/>
          <w:color w:val="auto"/>
        </w:rPr>
      </w:pPr>
    </w:p>
    <w:p>
      <w:pPr>
        <w:ind w:firstLine="567"/>
        <w:spacing w:after="0" w:line="270" w:lineRule="auto"/>
        <w:rPr>
          <w:sz w:val="20"/>
          <w:szCs w:val="20"/>
          <w:color w:val="auto"/>
        </w:rPr>
      </w:pPr>
      <w:r>
        <w:rPr>
          <w:rFonts w:ascii="Arial" w:cs="Arial" w:eastAsia="Arial" w:hAnsi="Arial"/>
          <w:sz w:val="17"/>
          <w:szCs w:val="17"/>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w:t>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2017 under the TESARO Agreement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904"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238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Anti-PD-1</w:t>
            </w:r>
          </w:p>
        </w:tc>
        <w:tc>
          <w:tcPr>
            <w:tcW w:w="2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Anti-TIM-3</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Anti-LAG-3</w:t>
            </w:r>
          </w:p>
        </w:tc>
      </w:tr>
      <w:tr>
        <w:trPr>
          <w:trHeight w:val="210"/>
        </w:trPr>
        <w:tc>
          <w:tcPr>
            <w:tcW w:w="4320" w:type="dxa"/>
            <w:vAlign w:val="bottom"/>
          </w:tcPr>
          <w:p>
            <w:pPr>
              <w:spacing w:after="0"/>
              <w:rPr>
                <w:sz w:val="18"/>
                <w:szCs w:val="18"/>
                <w:color w:val="auto"/>
              </w:rPr>
            </w:pPr>
          </w:p>
        </w:tc>
        <w:tc>
          <w:tcPr>
            <w:tcW w:w="2380" w:type="dxa"/>
            <w:vAlign w:val="bottom"/>
            <w:gridSpan w:val="3"/>
          </w:tcPr>
          <w:p>
            <w:pPr>
              <w:jc w:val="right"/>
              <w:ind w:right="900"/>
              <w:spacing w:after="0"/>
              <w:rPr>
                <w:sz w:val="20"/>
                <w:szCs w:val="20"/>
                <w:color w:val="auto"/>
              </w:rPr>
            </w:pPr>
            <w:r>
              <w:rPr>
                <w:rFonts w:ascii="Arial" w:cs="Arial" w:eastAsia="Arial" w:hAnsi="Arial"/>
                <w:sz w:val="16"/>
                <w:szCs w:val="16"/>
                <w:b w:val="1"/>
                <w:bCs w:val="1"/>
                <w:color w:val="auto"/>
              </w:rPr>
              <w:t>(TSR042)</w:t>
            </w:r>
          </w:p>
        </w:tc>
        <w:tc>
          <w:tcPr>
            <w:tcW w:w="2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(TSR022)</w:t>
            </w: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(TSR033)</w:t>
            </w:r>
          </w:p>
        </w:tc>
      </w:tr>
      <w:tr>
        <w:trPr>
          <w:trHeight w:val="33"/>
        </w:trPr>
        <w:tc>
          <w:tcPr>
            <w:tcW w:w="43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Quarter</w:t>
            </w:r>
          </w:p>
        </w:tc>
        <w:tc>
          <w:tcPr>
            <w:tcW w:w="11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Quarter</w:t>
            </w:r>
          </w:p>
        </w:tc>
        <w:tc>
          <w:tcPr>
            <w:tcW w:w="1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6"/>
              </w:rPr>
              <w:t>Quarter</w:t>
            </w:r>
          </w:p>
        </w:tc>
      </w:tr>
      <w:tr>
        <w:trPr>
          <w:trHeight w:val="210"/>
        </w:trPr>
        <w:tc>
          <w:tcPr>
            <w:tcW w:w="432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Earned</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Earned</w:t>
            </w:r>
          </w:p>
        </w:tc>
        <w:tc>
          <w:tcPr>
            <w:tcW w:w="1140" w:type="dxa"/>
            <w:vAlign w:val="bottom"/>
          </w:tcPr>
          <w:p>
            <w:pPr>
              <w:ind w:left="280"/>
              <w:spacing w:after="0"/>
              <w:rPr>
                <w:sz w:val="20"/>
                <w:szCs w:val="20"/>
                <w:color w:val="auto"/>
              </w:rPr>
            </w:pPr>
            <w:r>
              <w:rPr>
                <w:rFonts w:ascii="Arial" w:cs="Arial" w:eastAsia="Arial" w:hAnsi="Arial"/>
                <w:sz w:val="16"/>
                <w:szCs w:val="16"/>
                <w:b w:val="1"/>
                <w:bCs w:val="1"/>
                <w:color w:val="auto"/>
              </w:rPr>
              <w:t>Amount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Earned</w:t>
            </w:r>
          </w:p>
        </w:tc>
      </w:tr>
      <w:tr>
        <w:trPr>
          <w:trHeight w:val="33"/>
        </w:trPr>
        <w:tc>
          <w:tcPr>
            <w:tcW w:w="4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436"/>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good laboratory</w:t>
            </w:r>
          </w:p>
        </w:tc>
        <w:tc>
          <w:tcPr>
            <w:tcW w:w="1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19"/>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practices (GLPs)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$1.0M</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Q2'15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Q4'15</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$1.0M</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Q3'16</w:t>
            </w:r>
          </w:p>
        </w:tc>
      </w:tr>
      <w:tr>
        <w:trPr>
          <w:trHeight w:val="237"/>
        </w:trPr>
        <w:tc>
          <w:tcPr>
            <w:tcW w:w="4320" w:type="dxa"/>
            <w:vAlign w:val="bottom"/>
          </w:tcPr>
          <w:p>
            <w:pPr>
              <w:ind w:left="40"/>
              <w:spacing w:after="0"/>
              <w:rPr>
                <w:sz w:val="20"/>
                <w:szCs w:val="20"/>
                <w:color w:val="auto"/>
              </w:rPr>
            </w:pPr>
            <w:r>
              <w:rPr>
                <w:rFonts w:ascii="Arial" w:cs="Arial" w:eastAsia="Arial" w:hAnsi="Arial"/>
                <w:sz w:val="16"/>
                <w:szCs w:val="16"/>
                <w:color w:val="auto"/>
              </w:rPr>
              <w:t>IND clearance from the FDA</w:t>
            </w:r>
          </w:p>
        </w:tc>
        <w:tc>
          <w:tcPr>
            <w:tcW w:w="1140" w:type="dxa"/>
            <w:vAlign w:val="bottom"/>
          </w:tcPr>
          <w:p>
            <w:pPr>
              <w:jc w:val="center"/>
              <w:spacing w:after="0"/>
              <w:rPr>
                <w:sz w:val="20"/>
                <w:szCs w:val="20"/>
                <w:color w:val="auto"/>
              </w:rPr>
            </w:pPr>
            <w:r>
              <w:rPr>
                <w:rFonts w:ascii="Arial" w:cs="Arial" w:eastAsia="Arial" w:hAnsi="Arial"/>
                <w:sz w:val="16"/>
                <w:szCs w:val="16"/>
                <w:color w:val="auto"/>
                <w:w w:val="98"/>
              </w:rPr>
              <w:t>$4.0M</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Q1'16</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Q2'16</w:t>
            </w: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$4.0M</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Q2'17</w:t>
            </w:r>
          </w:p>
        </w:tc>
      </w:tr>
      <w:tr>
        <w:trPr>
          <w:trHeight w:val="33"/>
        </w:trPr>
        <w:tc>
          <w:tcPr>
            <w:tcW w:w="4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Phase 2 clinical trial initiation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$3.0M</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Q2'17</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$3.0M</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Q4'17</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4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567"/>
        <w:spacing w:after="0" w:line="342" w:lineRule="auto"/>
        <w:rPr>
          <w:sz w:val="20"/>
          <w:szCs w:val="20"/>
          <w:color w:val="auto"/>
        </w:rPr>
      </w:pPr>
      <w:r>
        <w:rPr>
          <w:rFonts w:ascii="Arial" w:cs="Arial" w:eastAsia="Arial" w:hAnsi="Arial"/>
          <w:sz w:val="16"/>
          <w:szCs w:val="16"/>
          <w:color w:val="auto"/>
        </w:rPr>
        <w:t>Milestones achieved during the discovery period were recognized as revenue pro-rata through December 31, 2016. Milestones achieved subsequent to December 31, 2016 were recognized as revenue in the period earned. Cash is generally received within 30 days of milestone achievement.</w:t>
      </w:r>
    </w:p>
    <w:p>
      <w:pPr>
        <w:spacing w:after="0" w:line="124"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right="60" w:firstLine="567"/>
        <w:spacing w:after="0" w:line="276" w:lineRule="auto"/>
        <w:rPr>
          <w:sz w:val="20"/>
          <w:szCs w:val="20"/>
          <w:color w:val="auto"/>
        </w:rPr>
      </w:pPr>
      <w:r>
        <w:rPr>
          <w:rFonts w:ascii="Arial" w:cs="Arial" w:eastAsia="Arial" w:hAnsi="Arial"/>
          <w:sz w:val="17"/>
          <w:szCs w:val="17"/>
          <w:color w:val="auto"/>
        </w:rPr>
        <w:t>We recognized $10.0 million in revenue under this agreement during the year ended December 31, 2017 related to three milestones earned. Revenue recognized under this agreement aggregated $15.2 million during the year ended December 31, 2016, which includes $9.3 million related to milestones earned, $3.2 million in funding for research and development services and $2.6 million for the amortization of the upfront fee. Revenue recognized under this agreement aggregated $17.6 million during the year ended December 31, 2015, which primarily includes $9.4 million for the amortization of the upfront fee, $6.5 million in funding for research and development services and $1.7 million for milestones earned.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90" w:lineRule="exact"/>
        <w:rPr>
          <w:sz w:val="20"/>
          <w:szCs w:val="20"/>
          <w:color w:val="auto"/>
        </w:rPr>
      </w:pPr>
    </w:p>
    <w:p>
      <w:pPr>
        <w:ind w:right="100" w:firstLine="567"/>
        <w:spacing w:after="0" w:line="259" w:lineRule="auto"/>
        <w:rPr>
          <w:sz w:val="20"/>
          <w:szCs w:val="20"/>
          <w:color w:val="auto"/>
        </w:rPr>
      </w:pPr>
      <w:r>
        <w:rPr>
          <w:rFonts w:ascii="Arial" w:cs="Arial" w:eastAsia="Arial" w:hAnsi="Arial"/>
          <w:sz w:val="18"/>
          <w:szCs w:val="18"/>
          <w:color w:val="auto"/>
        </w:rPr>
        <w:t>In December 2011, we entered into a license and collaboration agreement with Celgene, or the Celgene Agreement,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33" w:lineRule="exact"/>
        <w:rPr>
          <w:sz w:val="20"/>
          <w:szCs w:val="20"/>
          <w:color w:val="auto"/>
        </w:rPr>
      </w:pPr>
    </w:p>
    <w:p>
      <w:pPr>
        <w:jc w:val="both"/>
        <w:ind w:right="240" w:firstLine="567"/>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2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Milestones achieved through December 31, 2017 under the Celgene Agreement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Anti-PD-1</w:t>
            </w:r>
          </w:p>
        </w:tc>
      </w:tr>
      <w:tr>
        <w:trPr>
          <w:trHeight w:val="210"/>
        </w:trPr>
        <w:tc>
          <w:tcPr>
            <w:tcW w:w="916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(CC-90006)</w:t>
            </w:r>
          </w:p>
        </w:tc>
      </w:tr>
      <w:tr>
        <w:trPr>
          <w:trHeight w:val="33"/>
        </w:trPr>
        <w:tc>
          <w:tcPr>
            <w:tcW w:w="9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9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Quarter</w:t>
            </w:r>
          </w:p>
        </w:tc>
      </w:tr>
      <w:tr>
        <w:trPr>
          <w:trHeight w:val="21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Milestone Event</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Amount</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2"/>
              </w:rPr>
              <w:t>Earned</w:t>
            </w:r>
          </w:p>
        </w:tc>
      </w:tr>
      <w:tr>
        <w:trPr>
          <w:trHeight w:val="33"/>
        </w:trPr>
        <w:tc>
          <w:tcPr>
            <w:tcW w:w="9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453"/>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Completion of first in vivo toxicology studies using GLPs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$0.5M</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Q2'16</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Phase 1 clinical trial initiation</w:t>
            </w: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$1.0M</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Q4'16</w:t>
            </w:r>
          </w:p>
        </w:tc>
      </w:tr>
    </w:tbl>
    <w:p>
      <w:pPr>
        <w:spacing w:after="0" w:line="316"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Milestones were recognized as revenue in the period earned. There was no revenue recognized under this agreement during the year ended December 31, 2017. Revenue recognized under this agreement aggregated $1.5 million during the year ended December 31, 2016. Cash is generally received within 30 days of milestone achievement. No revenue was recognized under this agreement during the year ended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280" w:firstLine="567"/>
        <w:spacing w:after="0" w:line="264"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and each bear a fixed rate of interest of 6.97%.</w:t>
      </w:r>
    </w:p>
    <w:p>
      <w:pPr>
        <w:spacing w:after="0" w:line="181"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In connection with the issuance of the Term A Loans, we issued detachable, fully vested warrants to purchase an aggregate of 41,208 shares of Series C Preferred Stock at an exercise price of $4.55 per share to the lenders. The grant-date fair value of the warrants of $0.1 million was recorded as a liability, with a reduction to the carrying value of the Term A Loans, and</w:t>
      </w:r>
    </w:p>
    <w:p>
      <w:pPr>
        <w:sectPr>
          <w:pgSz w:w="11900" w:h="16838" w:orient="portrait"/>
          <w:cols w:equalWidth="0" w:num="1">
            <w:col w:w="11420"/>
          </w:cols>
          <w:pgMar w:left="240" w:top="74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747" w:right="239" w:bottom="1440" w:gutter="0" w:footer="0" w:header="0"/>
          <w:type w:val="continuous"/>
        </w:sectPr>
      </w:pPr>
    </w:p>
    <w:bookmarkStart w:id="92" w:name="page93"/>
    <w:bookmarkEnd w:id="92"/>
    <w:p>
      <w:pPr>
        <w:ind w:right="280"/>
        <w:spacing w:after="0" w:line="264" w:lineRule="auto"/>
        <w:rPr>
          <w:sz w:val="20"/>
          <w:szCs w:val="20"/>
          <w:color w:val="auto"/>
        </w:rPr>
      </w:pPr>
      <w:r>
        <w:rPr>
          <w:rFonts w:ascii="Arial" w:cs="Arial" w:eastAsia="Arial" w:hAnsi="Arial"/>
          <w:sz w:val="18"/>
          <w:szCs w:val="18"/>
          <w:color w:val="auto"/>
        </w:rPr>
        <w:t>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81"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In December 2016, we further amended the Loan Agreement to (i) allow for the Term B Loans and Term C Loans to be drawn on December 30, 2016, (ii) delay principal repayments of all Term Loans until February 1, 2018 and (iii) amend the interest rate for each Term Loan. The Term B Loans and the Term C Loans were drawn on December 30, 2016. As of December 31, 2017, the Term Loans are due in one monthly interest-only payment through January 2018, followed by 24 equal monthly principal and interest payments beginning February 1, 2018, with final maturity in January 2020. Each Loan bears interest equal to the greater of 3-month U.S. LIBOR plus 6.37% or 7.3%. The interest rate was 7.86% as of December 31, 2017.</w:t>
      </w:r>
    </w:p>
    <w:p>
      <w:pPr>
        <w:spacing w:after="0" w:line="192"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In connection with the issuance of the Term B &amp; C Loans, we issued detachable, fully vested warrants to purchase an aggregate of 82,416 shares of Series C Preferred Stock at an exercise price of $4.55 per share to the lenders.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7 below, all of the outstanding warrants to purchase shares of preferred stock automatically converted into warrants to purchase shares of common stock in connection with the IPO and are accounted for as equity from the conversion date forward. All warrants related to Term Loans were exercised during the year ended December 31, 2017.</w:t>
      </w:r>
    </w:p>
    <w:p>
      <w:pPr>
        <w:spacing w:after="0" w:line="192" w:lineRule="exact"/>
        <w:rPr>
          <w:sz w:val="20"/>
          <w:szCs w:val="20"/>
          <w:color w:val="auto"/>
        </w:rPr>
      </w:pPr>
    </w:p>
    <w:p>
      <w:pPr>
        <w:jc w:val="both"/>
        <w:ind w:right="300" w:firstLine="567"/>
        <w:spacing w:after="0" w:line="312" w:lineRule="auto"/>
        <w:rPr>
          <w:sz w:val="20"/>
          <w:szCs w:val="20"/>
          <w:color w:val="auto"/>
        </w:rPr>
      </w:pPr>
      <w:r>
        <w:rPr>
          <w:rFonts w:ascii="Arial" w:cs="Arial" w:eastAsia="Arial" w:hAnsi="Arial"/>
          <w:sz w:val="16"/>
          <w:szCs w:val="16"/>
          <w:color w:val="auto"/>
        </w:rPr>
        <w:t>As of December 31, 2017, the carrying amount of the Term Loans was $14.4 million, which is net of discounts of $0.6 million and of which $6.9 million is classified as current liabilities as of December 31, 2017. The effective interest rate on the Term Loans at December 31, 2017 was 12.25%. As of December 31, 2017, future principal maturities of the Term Loans were $6.9 million, $7.5 million and $0.6 million in 2018, 2019 and 2020, respectively.</w:t>
      </w:r>
    </w:p>
    <w:p>
      <w:pPr>
        <w:spacing w:after="0" w:line="147" w:lineRule="exact"/>
        <w:rPr>
          <w:sz w:val="20"/>
          <w:szCs w:val="20"/>
          <w:color w:val="auto"/>
        </w:rPr>
      </w:pPr>
    </w:p>
    <w:p>
      <w:pPr>
        <w:jc w:val="both"/>
        <w:ind w:right="300" w:firstLine="567"/>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December 31, 2017, we were in compliance with the covenants contained in the Loan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 and Available for Sale Investments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right="160" w:firstLine="567"/>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166"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800" w:right="259" w:bottom="1440" w:gutter="0" w:footer="0" w:header="0"/>
        </w:sectPr>
      </w:pPr>
    </w:p>
    <w:bookmarkStart w:id="93" w:name="page94"/>
    <w:bookmarkEnd w:id="93"/>
    <w:p>
      <w:pPr>
        <w:ind w:left="38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ind w:right="280" w:firstLine="567"/>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6"/>
              </w:rPr>
              <w:t>Fair Value Measurements at End of Period Using:</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Quoted Market</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Prices for</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20" w:type="dxa"/>
            <w:vAlign w:val="bottom"/>
          </w:tcPr>
          <w:p>
            <w:pPr>
              <w:spacing w:after="0"/>
              <w:rPr>
                <w:sz w:val="12"/>
                <w:szCs w:val="12"/>
                <w:color w:val="auto"/>
              </w:rPr>
            </w:pPr>
          </w:p>
        </w:tc>
        <w:tc>
          <w:tcPr>
            <w:tcW w:w="1260" w:type="dxa"/>
            <w:vAlign w:val="bottom"/>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2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26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5160" w:type="dxa"/>
            <w:vAlign w:val="bottom"/>
            <w:tcBorders>
              <w:top w:val="single" w:sz="8" w:color="CFF0FC"/>
            </w:tcBorders>
            <w:gridSpan w:val="3"/>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December 31, 2017</w:t>
            </w:r>
          </w:p>
        </w:tc>
        <w:tc>
          <w:tcPr>
            <w:tcW w:w="34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3440" w:type="dxa"/>
            <w:vAlign w:val="bottom"/>
            <w:tcBorders>
              <w:top w:val="single" w:sz="8" w:color="CFF0FC"/>
            </w:tcBorders>
            <w:shd w:val="clear" w:color="auto" w:fill="CFF0FC"/>
          </w:tcPr>
          <w:p>
            <w:pPr>
              <w:spacing w:after="0"/>
              <w:rPr>
                <w:sz w:val="5"/>
                <w:szCs w:val="5"/>
                <w:color w:val="auto"/>
              </w:rPr>
            </w:pPr>
          </w:p>
        </w:tc>
        <w:tc>
          <w:tcPr>
            <w:tcW w:w="340" w:type="dxa"/>
            <w:vAlign w:val="bottom"/>
            <w:tcBorders>
              <w:top w:val="single" w:sz="8" w:color="CFF0FC"/>
            </w:tcBorders>
            <w:shd w:val="clear" w:color="auto" w:fill="CFF0FC"/>
          </w:tcPr>
          <w:p>
            <w:pPr>
              <w:spacing w:after="0"/>
              <w:rPr>
                <w:sz w:val="5"/>
                <w:szCs w:val="5"/>
                <w:color w:val="auto"/>
              </w:rPr>
            </w:pPr>
          </w:p>
        </w:tc>
        <w:tc>
          <w:tcPr>
            <w:tcW w:w="1160" w:type="dxa"/>
            <w:vAlign w:val="bottom"/>
            <w:tcBorders>
              <w:top w:val="single" w:sz="8" w:color="CFF0FC"/>
            </w:tcBorders>
            <w:shd w:val="clear" w:color="auto" w:fill="CFF0FC"/>
          </w:tcPr>
          <w:p>
            <w:pPr>
              <w:spacing w:after="0"/>
              <w:rPr>
                <w:sz w:val="5"/>
                <w:szCs w:val="5"/>
                <w:color w:val="auto"/>
              </w:rPr>
            </w:pPr>
          </w:p>
        </w:tc>
        <w:tc>
          <w:tcPr>
            <w:tcW w:w="120" w:type="dxa"/>
            <w:vAlign w:val="bottom"/>
            <w:tcBorders>
              <w:top w:val="single" w:sz="8" w:color="CFF0FC"/>
            </w:tcBorders>
            <w:shd w:val="clear" w:color="auto" w:fill="CFF0FC"/>
          </w:tcPr>
          <w:p>
            <w:pPr>
              <w:spacing w:after="0"/>
              <w:rPr>
                <w:sz w:val="5"/>
                <w:szCs w:val="5"/>
                <w:color w:val="auto"/>
              </w:rPr>
            </w:pPr>
          </w:p>
        </w:tc>
        <w:tc>
          <w:tcPr>
            <w:tcW w:w="200" w:type="dxa"/>
            <w:vAlign w:val="bottom"/>
            <w:tcBorders>
              <w:top w:val="single" w:sz="8" w:color="CFF0FC"/>
            </w:tcBorders>
            <w:shd w:val="clear" w:color="auto" w:fill="CFF0FC"/>
          </w:tcPr>
          <w:p>
            <w:pPr>
              <w:spacing w:after="0"/>
              <w:rPr>
                <w:sz w:val="5"/>
                <w:szCs w:val="5"/>
                <w:color w:val="auto"/>
              </w:rPr>
            </w:pPr>
          </w:p>
        </w:tc>
        <w:tc>
          <w:tcPr>
            <w:tcW w:w="12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3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26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41,318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41,318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28,817</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28,817</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79,397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79,397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59,948</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59,948</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340" w:type="dxa"/>
            <w:vAlign w:val="bottom"/>
          </w:tcPr>
          <w:p>
            <w:pPr>
              <w:spacing w:after="0"/>
              <w:rPr>
                <w:sz w:val="24"/>
                <w:szCs w:val="24"/>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111,660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111,660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FF0FC"/>
          </w:tcPr>
          <w:p>
            <w:pPr>
              <w:ind w:left="40"/>
              <w:spacing w:after="0" w:line="202" w:lineRule="exact"/>
              <w:rPr>
                <w:sz w:val="20"/>
                <w:szCs w:val="20"/>
                <w:color w:val="auto"/>
              </w:rPr>
            </w:pPr>
            <w:r>
              <w:rPr>
                <w:rFonts w:ascii="Arial" w:cs="Arial" w:eastAsia="Arial" w:hAnsi="Arial"/>
                <w:sz w:val="18"/>
                <w:szCs w:val="18"/>
                <w:b w:val="1"/>
                <w:bCs w:val="1"/>
                <w:color w:val="auto"/>
              </w:rPr>
              <w:t>At December 31, 2016</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FF0FC"/>
            </w:tcBorders>
            <w:shd w:val="clear" w:color="auto" w:fill="CFF0FC"/>
          </w:tcPr>
          <w:p>
            <w:pPr>
              <w:spacing w:after="0"/>
              <w:rPr>
                <w:sz w:val="4"/>
                <w:szCs w:val="4"/>
                <w:color w:val="auto"/>
              </w:rPr>
            </w:pPr>
          </w:p>
        </w:tc>
        <w:tc>
          <w:tcPr>
            <w:tcW w:w="1680" w:type="dxa"/>
            <w:vAlign w:val="bottom"/>
            <w:tcBorders>
              <w:top w:val="single" w:sz="8" w:color="auto"/>
            </w:tcBorders>
            <w:shd w:val="clear" w:color="auto" w:fill="CFF0FC"/>
          </w:tcPr>
          <w:p>
            <w:pPr>
              <w:spacing w:after="0"/>
              <w:rPr>
                <w:sz w:val="4"/>
                <w:szCs w:val="4"/>
                <w:color w:val="auto"/>
              </w:rPr>
            </w:pPr>
          </w:p>
        </w:tc>
        <w:tc>
          <w:tcPr>
            <w:tcW w:w="344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5160" w:type="dxa"/>
            <w:vAlign w:val="bottom"/>
            <w:gridSpan w:val="3"/>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31,955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160" w:type="dxa"/>
            <w:vAlign w:val="bottom"/>
            <w:gridSpan w:val="3"/>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17,620</w:t>
            </w: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17,620</w:t>
            </w:r>
          </w:p>
        </w:tc>
        <w:tc>
          <w:tcPr>
            <w:tcW w:w="1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Preferred stock warrant liabilities</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3,241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50"/>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methods and assumptions were used to estimate the fair value of our financial instruments for which it is practicable to estimate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567"/>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81" w:lineRule="exact"/>
        <w:rPr>
          <w:sz w:val="20"/>
          <w:szCs w:val="20"/>
          <w:color w:val="auto"/>
        </w:rPr>
      </w:pPr>
    </w:p>
    <w:p>
      <w:pPr>
        <w:jc w:val="both"/>
        <w:ind w:right="200" w:firstLine="567"/>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requires Level 3 inputs.</w:t>
      </w:r>
    </w:p>
    <w:p>
      <w:pPr>
        <w:spacing w:after="0" w:line="147" w:lineRule="exact"/>
        <w:rPr>
          <w:sz w:val="20"/>
          <w:szCs w:val="20"/>
          <w:color w:val="auto"/>
        </w:rPr>
      </w:pPr>
    </w:p>
    <w:p>
      <w:pPr>
        <w:jc w:val="both"/>
        <w:ind w:right="120" w:firstLine="567"/>
        <w:spacing w:after="0" w:line="259" w:lineRule="auto"/>
        <w:rPr>
          <w:sz w:val="20"/>
          <w:szCs w:val="20"/>
          <w:color w:val="auto"/>
        </w:rPr>
      </w:pPr>
      <w:r>
        <w:rPr>
          <w:rFonts w:ascii="Arial" w:cs="Arial" w:eastAsia="Arial" w:hAnsi="Arial"/>
          <w:sz w:val="18"/>
          <w:szCs w:val="18"/>
          <w:color w:val="auto"/>
        </w:rPr>
        <w:t>As discussed in Note 7 below,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subsequent remeasurement using the Black-Scholes option-pricing model at each reporting date.</w:t>
      </w:r>
    </w:p>
    <w:p>
      <w:pPr>
        <w:spacing w:after="0" w:line="187" w:lineRule="exact"/>
        <w:rPr>
          <w:sz w:val="20"/>
          <w:szCs w:val="20"/>
          <w:color w:val="auto"/>
        </w:rPr>
      </w:pPr>
    </w:p>
    <w:p>
      <w:pPr>
        <w:ind w:right="80" w:firstLine="567"/>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00" w:right="239" w:bottom="1440" w:gutter="0" w:footer="0" w:header="0"/>
        </w:sectPr>
      </w:pPr>
    </w:p>
    <w:bookmarkStart w:id="94" w:name="page95"/>
    <w:bookmarkEnd w:id="94"/>
    <w:p>
      <w:pPr>
        <w:ind w:left="58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 and December 31,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7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16.95</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12.67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4.55</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3"/>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13.71</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9.65</w:t>
            </w:r>
          </w:p>
        </w:tc>
      </w:tr>
      <w:tr>
        <w:trPr>
          <w:trHeight w:val="418"/>
        </w:trPr>
        <w:tc>
          <w:tcPr>
            <w:tcW w:w="11420" w:type="dxa"/>
            <w:vAlign w:val="bottom"/>
            <w:gridSpan w:val="9"/>
          </w:tcPr>
          <w:p>
            <w:pPr>
              <w:ind w:left="580"/>
              <w:spacing w:after="0"/>
              <w:rPr>
                <w:sz w:val="20"/>
                <w:szCs w:val="20"/>
                <w:color w:val="auto"/>
              </w:rPr>
            </w:pPr>
            <w:r>
              <w:rPr>
                <w:rFonts w:ascii="Arial" w:cs="Arial" w:eastAsia="Arial" w:hAnsi="Arial"/>
                <w:sz w:val="18"/>
                <w:szCs w:val="18"/>
                <w:color w:val="auto"/>
                <w:w w:val="94"/>
              </w:rPr>
              <w:t>The following table summarizes the activity in liabilities measured at fair value on a recurring basis using significant unobservable inputs (Level 3</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01"/>
        </w:trPr>
        <w:tc>
          <w:tcPr>
            <w:tcW w:w="8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6"/>
          </w:tcPr>
          <w:p>
            <w:pPr>
              <w:jc w:val="right"/>
              <w:ind w:right="1074"/>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8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ind w:right="1014"/>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82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(3,241)</w:t>
            </w: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Issuance of Series C preferred Stock warrants</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(756)</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4,607</w:t>
            </w: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200" w:type="dxa"/>
            <w:vAlign w:val="bottom"/>
          </w:tcPr>
          <w:p>
            <w:pPr>
              <w:ind w:left="280"/>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(3,241)</w:t>
            </w:r>
          </w:p>
        </w:tc>
      </w:tr>
      <w:tr>
        <w:trPr>
          <w:trHeight w:val="27"/>
        </w:trPr>
        <w:tc>
          <w:tcPr>
            <w:tcW w:w="8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fair value of our other financial instruments estimated as of December 31, 2017 and December 31, 2016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2017</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4"/>
                <w:szCs w:val="14"/>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40" w:type="dxa"/>
            <w:vAlign w:val="bottom"/>
          </w:tcPr>
          <w:p>
            <w:pPr>
              <w:spacing w:after="0"/>
              <w:rPr>
                <w:sz w:val="16"/>
                <w:szCs w:val="16"/>
                <w:color w:val="auto"/>
              </w:rPr>
            </w:pPr>
          </w:p>
        </w:tc>
        <w:tc>
          <w:tcPr>
            <w:tcW w:w="10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14,428</w:t>
            </w:r>
          </w:p>
        </w:tc>
        <w:tc>
          <w:tcPr>
            <w:tcW w:w="120" w:type="dxa"/>
            <w:vAlign w:val="bottom"/>
            <w:tcBorders>
              <w:top w:val="single" w:sz="8" w:color="CFF0FC"/>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15,650</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13,809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15,531</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right="180" w:firstLine="609"/>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800" w:right="239" w:bottom="1440" w:gutter="0" w:footer="0" w:header="0"/>
        </w:sectPr>
      </w:pPr>
    </w:p>
    <w:bookmarkStart w:id="95" w:name="page96"/>
    <w:bookmarkEnd w:id="95"/>
    <w:p>
      <w:pPr>
        <w:ind w:left="34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225" w:lineRule="exact"/>
        <w:rPr>
          <w:sz w:val="20"/>
          <w:szCs w:val="20"/>
          <w:color w:val="auto"/>
        </w:rPr>
      </w:pPr>
    </w:p>
    <w:p>
      <w:pPr>
        <w:ind w:right="40" w:firstLine="567"/>
        <w:spacing w:after="0" w:line="279" w:lineRule="auto"/>
        <w:rPr>
          <w:sz w:val="20"/>
          <w:szCs w:val="20"/>
          <w:color w:val="auto"/>
        </w:rPr>
      </w:pPr>
      <w:r>
        <w:rPr>
          <w:rFonts w:ascii="Arial" w:cs="Arial" w:eastAsia="Arial" w:hAnsi="Arial"/>
          <w:sz w:val="17"/>
          <w:szCs w:val="17"/>
          <w:color w:val="auto"/>
        </w:rPr>
        <w:t>In February 2017, we began investing our excess cash in agency securities, debt instruments of financial institutions and corporations, or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December 31, 2017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Unrealized Gains</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60,100</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59,948</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111,823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111,660</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(3)</w:t>
            </w:r>
          </w:p>
        </w:tc>
        <w:tc>
          <w:tcPr>
            <w:tcW w:w="260" w:type="dxa"/>
            <w:vAlign w:val="bottom"/>
            <w:shd w:val="clear" w:color="auto" w:fill="CFF0FC"/>
          </w:tcPr>
          <w:p>
            <w:pPr>
              <w:spacing w:after="0"/>
              <w:rPr>
                <w:sz w:val="23"/>
                <w:szCs w:val="23"/>
                <w:color w:val="auto"/>
              </w:rPr>
            </w:pP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79,508</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3"/>
                <w:szCs w:val="2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79,397</w:t>
            </w:r>
          </w:p>
        </w:tc>
        <w:tc>
          <w:tcPr>
            <w:tcW w:w="0" w:type="dxa"/>
            <w:vAlign w:val="bottom"/>
          </w:tcPr>
          <w:p>
            <w:pPr>
              <w:spacing w:after="0"/>
              <w:rPr>
                <w:sz w:val="1"/>
                <w:szCs w:val="1"/>
                <w:color w:val="auto"/>
              </w:rPr>
            </w:pP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251,431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251,005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-728345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-728345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-728345</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left="460" w:right="120" w:hanging="452"/>
        <w:spacing w:after="0" w:line="216" w:lineRule="auto"/>
        <w:tabs>
          <w:tab w:leader="none" w:pos="4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$27.2 million have maturity dates of less than one year and $32.8 million have a maturity date of between one to two years as of December 31, 2017.</w:t>
      </w:r>
    </w:p>
    <w:p>
      <w:pPr>
        <w:spacing w:after="0" w:line="14" w:lineRule="exact"/>
        <w:rPr>
          <w:rFonts w:ascii="Arial" w:cs="Arial" w:eastAsia="Arial" w:hAnsi="Arial"/>
          <w:sz w:val="25"/>
          <w:szCs w:val="25"/>
          <w:color w:val="auto"/>
          <w:vertAlign w:val="superscript"/>
        </w:rPr>
      </w:pPr>
    </w:p>
    <w:p>
      <w:pPr>
        <w:ind w:left="460" w:right="320" w:hanging="452"/>
        <w:spacing w:after="0" w:line="216" w:lineRule="auto"/>
        <w:tabs>
          <w:tab w:leader="none" w:pos="4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Of our outstanding commercial and corporate obligations, $87.0 million have maturity dates of less than one year and $24.7 million have a maturity date of between one to two years as of December 31, 2017.</w:t>
      </w:r>
    </w:p>
    <w:p>
      <w:pPr>
        <w:spacing w:after="0" w:line="1" w:lineRule="exact"/>
        <w:rPr>
          <w:rFonts w:ascii="Arial" w:cs="Arial" w:eastAsia="Arial" w:hAnsi="Arial"/>
          <w:sz w:val="25"/>
          <w:szCs w:val="25"/>
          <w:color w:val="auto"/>
          <w:vertAlign w:val="superscript"/>
        </w:rPr>
      </w:pPr>
    </w:p>
    <w:p>
      <w:pPr>
        <w:ind w:left="460" w:right="180" w:hanging="452"/>
        <w:spacing w:after="0" w:line="209" w:lineRule="auto"/>
        <w:tabs>
          <w:tab w:leader="none" w:pos="460"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Of our outstanding U.S. Treasury securities $60.9 million have maturity dates of less than one year and $18.4 million have a maturity date of between one to two years as of December 31, 2017.</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40" w:firstLine="567"/>
        <w:spacing w:after="0" w:line="257" w:lineRule="auto"/>
        <w:rPr>
          <w:sz w:val="20"/>
          <w:szCs w:val="20"/>
          <w:color w:val="auto"/>
        </w:rPr>
      </w:pPr>
      <w:r>
        <w:rPr>
          <w:rFonts w:ascii="Arial" w:cs="Arial" w:eastAsia="Arial" w:hAnsi="Arial"/>
          <w:sz w:val="18"/>
          <w:szCs w:val="18"/>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340" w:firstLine="567"/>
        <w:spacing w:after="0" w:line="342" w:lineRule="auto"/>
        <w:rPr>
          <w:sz w:val="20"/>
          <w:szCs w:val="20"/>
          <w:color w:val="auto"/>
        </w:rPr>
      </w:pPr>
      <w:r>
        <w:rPr>
          <w:rFonts w:ascii="Arial" w:cs="Arial" w:eastAsia="Arial" w:hAnsi="Arial"/>
          <w:sz w:val="16"/>
          <w:szCs w:val="16"/>
          <w:color w:val="auto"/>
        </w:rPr>
        <w:t>Of the 500,000,000 shares of common stock authorized, 23,791,392 shares were issued and outstanding as of December 31, 2017. Common stock reserved for future issuance upon the exercise, issuance or conversion of the respective equity instruments at December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123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460" w:type="dxa"/>
            <w:vAlign w:val="bottom"/>
          </w:tcPr>
          <w:p>
            <w:pPr>
              <w:jc w:val="right"/>
              <w:spacing w:after="0"/>
              <w:rPr>
                <w:sz w:val="20"/>
                <w:szCs w:val="20"/>
                <w:color w:val="auto"/>
              </w:rPr>
            </w:pPr>
            <w:r>
              <w:rPr>
                <w:rFonts w:ascii="Arial" w:cs="Arial" w:eastAsia="Arial" w:hAnsi="Arial"/>
                <w:sz w:val="18"/>
                <w:szCs w:val="18"/>
                <w:color w:val="auto"/>
              </w:rPr>
              <w:t>2,425,903</w:t>
            </w:r>
          </w:p>
        </w:tc>
      </w:tr>
      <w:tr>
        <w:trPr>
          <w:trHeight w:val="27"/>
        </w:trPr>
        <w:tc>
          <w:tcPr>
            <w:tcW w:w="99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9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for shares of common stock</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r>
      <w:tr>
        <w:trPr>
          <w:trHeight w:val="243"/>
        </w:trPr>
        <w:tc>
          <w:tcPr>
            <w:tcW w:w="9900" w:type="dxa"/>
            <w:vAlign w:val="bottom"/>
          </w:tcPr>
          <w:p>
            <w:pPr>
              <w:ind w:left="40"/>
              <w:spacing w:after="0"/>
              <w:rPr>
                <w:sz w:val="20"/>
                <w:szCs w:val="20"/>
                <w:color w:val="auto"/>
              </w:rPr>
            </w:pPr>
            <w:r>
              <w:rPr>
                <w:rFonts w:ascii="Arial" w:cs="Arial" w:eastAsia="Arial" w:hAnsi="Arial"/>
                <w:sz w:val="18"/>
                <w:szCs w:val="18"/>
                <w:color w:val="auto"/>
              </w:rPr>
              <w:t>Shares reserved for future award grants</w:t>
            </w:r>
          </w:p>
        </w:tc>
        <w:tc>
          <w:tcPr>
            <w:tcW w:w="1460" w:type="dxa"/>
            <w:vAlign w:val="bottom"/>
          </w:tcPr>
          <w:p>
            <w:pPr>
              <w:jc w:val="right"/>
              <w:spacing w:after="0"/>
              <w:rPr>
                <w:sz w:val="20"/>
                <w:szCs w:val="20"/>
                <w:color w:val="auto"/>
              </w:rPr>
            </w:pPr>
            <w:r>
              <w:rPr>
                <w:rFonts w:ascii="Arial" w:cs="Arial" w:eastAsia="Arial" w:hAnsi="Arial"/>
                <w:sz w:val="18"/>
                <w:szCs w:val="18"/>
                <w:color w:val="auto"/>
              </w:rPr>
              <w:t>1,379,575</w:t>
            </w:r>
          </w:p>
        </w:tc>
      </w:tr>
      <w:tr>
        <w:trPr>
          <w:trHeight w:val="27"/>
        </w:trPr>
        <w:tc>
          <w:tcPr>
            <w:tcW w:w="99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9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3,822,248</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During the year ended December 31, 2017, warrants for the purchase of 477,908 shares of common stock were exercised, of which 359,999 were exercised by a net exercise method. As a result, we issued 398,837 shares of common stock.</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100" w:firstLine="567"/>
        <w:spacing w:after="0" w:line="312" w:lineRule="auto"/>
        <w:rPr>
          <w:sz w:val="20"/>
          <w:szCs w:val="20"/>
          <w:color w:val="auto"/>
        </w:rPr>
      </w:pPr>
      <w:r>
        <w:rPr>
          <w:rFonts w:ascii="Arial" w:cs="Arial" w:eastAsia="Arial" w:hAnsi="Arial"/>
          <w:sz w:val="16"/>
          <w:szCs w:val="16"/>
          <w:color w:val="auto"/>
        </w:rPr>
        <w:t>Certain stock option grants under our 2006 Equity Incentive Plan, or the 2006 Plan, are subject to an early exercise provision. Shares of common stock obtained upon early exercise of unvested options are subject to repurchase by us at the applicable original issue price. During the year ended December 31, 2016, we repurchased 1,457 shares of common stock. No shares were repurchased during the years ended December 31, 2017 or 2015.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800" w:right="239" w:bottom="1440" w:gutter="0" w:footer="0" w:header="0"/>
        </w:sectPr>
      </w:pPr>
    </w:p>
    <w:bookmarkStart w:id="96" w:name="page97"/>
    <w:bookmarkEnd w:id="96"/>
    <w:p>
      <w:pPr>
        <w:ind w:left="220"/>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July 13, 2015, we issued and sold 5,490,973 shares of Series D Convertible Preferred Stock at $7.42 per share for net proceeds of $40.7 million.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80" w:firstLine="567"/>
        <w:spacing w:after="0" w:line="291" w:lineRule="auto"/>
        <w:rPr>
          <w:sz w:val="20"/>
          <w:szCs w:val="20"/>
          <w:color w:val="auto"/>
        </w:rPr>
      </w:pPr>
      <w:r>
        <w:rPr>
          <w:rFonts w:ascii="Arial" w:cs="Arial" w:eastAsia="Arial" w:hAnsi="Arial"/>
          <w:sz w:val="16"/>
          <w:szCs w:val="16"/>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w:t>
      </w:r>
    </w:p>
    <w:p>
      <w:pPr>
        <w:spacing w:after="0" w:line="59" w:lineRule="exact"/>
        <w:rPr>
          <w:sz w:val="20"/>
          <w:szCs w:val="20"/>
          <w:color w:val="auto"/>
        </w:rPr>
      </w:pPr>
    </w:p>
    <w:p>
      <w:pPr>
        <w:ind w:right="400" w:firstLine="567"/>
        <w:spacing w:after="0" w:line="277" w:lineRule="auto"/>
        <w:rPr>
          <w:sz w:val="20"/>
          <w:szCs w:val="20"/>
          <w:color w:val="auto"/>
        </w:rPr>
      </w:pPr>
      <w:r>
        <w:rPr>
          <w:rFonts w:ascii="Arial" w:cs="Arial" w:eastAsia="Arial" w:hAnsi="Arial"/>
          <w:sz w:val="18"/>
          <w:szCs w:val="18"/>
          <w:color w:val="auto"/>
        </w:rPr>
        <w:t>As of December 31, 2017, there were 2,425,903 options outstanding to purchase shares of common stock and 1,379,575 shares of common stock reserved for future stock awards under the 2017 Plan.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80" w:firstLine="567"/>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A total of 218,000 shares of common stock are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0" w:firstLine="567"/>
        <w:spacing w:after="0" w:line="286"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year ended December 31, 2017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300" w:type="dxa"/>
            <w:vAlign w:val="bottom"/>
          </w:tcPr>
          <w:p>
            <w:pPr>
              <w:spacing w:after="0"/>
              <w:rPr>
                <w:sz w:val="14"/>
                <w:szCs w:val="14"/>
                <w:color w:val="auto"/>
              </w:rPr>
            </w:pPr>
          </w:p>
        </w:tc>
        <w:tc>
          <w:tcPr>
            <w:tcW w:w="1300" w:type="dxa"/>
            <w:vAlign w:val="bottom"/>
          </w:tcPr>
          <w:p>
            <w:pPr>
              <w:jc w:val="center"/>
              <w:ind w:right="2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 per</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FF0FC"/>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FF0FC"/>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2017</w:t>
            </w:r>
          </w:p>
        </w:tc>
        <w:tc>
          <w:tcPr>
            <w:tcW w:w="16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1,879,428</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6"/>
              <w:spacing w:after="0"/>
              <w:rPr>
                <w:sz w:val="20"/>
                <w:szCs w:val="20"/>
                <w:color w:val="auto"/>
              </w:rPr>
            </w:pPr>
            <w:r>
              <w:rPr>
                <w:rFonts w:ascii="Arial" w:cs="Arial" w:eastAsia="Arial" w:hAnsi="Arial"/>
                <w:sz w:val="18"/>
                <w:szCs w:val="18"/>
                <w:color w:val="auto"/>
              </w:rPr>
              <w:t>1,099,806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24.44</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(199,191)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(354,140)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Borders>
              <w:bottom w:val="single" w:sz="8" w:color="CFF0FC"/>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140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7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CFF0FC"/>
            </w:tcBorders>
          </w:tcPr>
          <w:p>
            <w:pPr>
              <w:spacing w:after="0"/>
              <w:rPr>
                <w:sz w:val="2"/>
                <w:szCs w:val="2"/>
                <w:color w:val="auto"/>
              </w:rPr>
            </w:pPr>
          </w:p>
        </w:tc>
        <w:tc>
          <w:tcPr>
            <w:tcW w:w="13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December 31, 2017</w:t>
            </w:r>
          </w:p>
        </w:tc>
        <w:tc>
          <w:tcPr>
            <w:tcW w:w="16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2,425,903</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FF0FC"/>
            </w:tcBorders>
            <w:shd w:val="clear" w:color="auto" w:fill="CFF0FC"/>
          </w:tcPr>
          <w:p>
            <w:pPr>
              <w:spacing w:after="0"/>
              <w:rPr>
                <w:sz w:val="22"/>
                <w:szCs w:val="22"/>
                <w:color w:val="auto"/>
              </w:rPr>
            </w:pPr>
          </w:p>
        </w:tc>
        <w:tc>
          <w:tcPr>
            <w:tcW w:w="1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215,142.6</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2017</w:t>
            </w: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80" w:type="dxa"/>
            <w:vAlign w:val="bottom"/>
            <w:vMerge w:val="continue"/>
          </w:tcPr>
          <w:p>
            <w:pPr>
              <w:spacing w:after="0"/>
              <w:rPr>
                <w:sz w:val="21"/>
                <w:szCs w:val="21"/>
                <w:color w:val="auto"/>
              </w:rPr>
            </w:pPr>
          </w:p>
        </w:tc>
        <w:tc>
          <w:tcPr>
            <w:tcW w:w="16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1,131,354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110,292.8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67"/>
        <w:spacing w:after="0" w:line="342" w:lineRule="auto"/>
        <w:rPr>
          <w:sz w:val="20"/>
          <w:szCs w:val="20"/>
          <w:color w:val="auto"/>
        </w:rPr>
      </w:pPr>
      <w:r>
        <w:rPr>
          <w:rFonts w:ascii="Arial" w:cs="Arial" w:eastAsia="Arial" w:hAnsi="Arial"/>
          <w:sz w:val="16"/>
          <w:szCs w:val="16"/>
          <w:color w:val="auto"/>
        </w:rPr>
        <w:t>Total cash received from the exercise of stock options was approximately $1.0 million during the year ended December 31, 2017. As a result of the adoption of ASU 2016-09 and the elimination of a forfeiture rate as discussed in Note 2 above, all options outstanding are considered expected to fully vest.</w:t>
      </w:r>
    </w:p>
    <w:p>
      <w:pPr>
        <w:spacing w:after="0" w:line="124" w:lineRule="exact"/>
        <w:rPr>
          <w:sz w:val="20"/>
          <w:szCs w:val="20"/>
          <w:color w:val="auto"/>
        </w:rPr>
      </w:pPr>
    </w:p>
    <w:p>
      <w:pPr>
        <w:ind w:right="260" w:firstLine="567"/>
        <w:spacing w:after="0" w:line="286" w:lineRule="auto"/>
        <w:rPr>
          <w:sz w:val="20"/>
          <w:szCs w:val="20"/>
          <w:color w:val="auto"/>
        </w:rPr>
      </w:pPr>
      <w:r>
        <w:rPr>
          <w:rFonts w:ascii="Arial" w:cs="Arial" w:eastAsia="Arial" w:hAnsi="Arial"/>
          <w:sz w:val="17"/>
          <w:szCs w:val="17"/>
          <w:color w:val="auto"/>
        </w:rPr>
        <w:t>Certain stock option grants under the 2006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854" w:right="239" w:bottom="1440" w:gutter="0" w:footer="0" w:header="0"/>
        </w:sectPr>
      </w:pPr>
    </w:p>
    <w:bookmarkStart w:id="97" w:name="page98"/>
    <w:bookmarkEnd w:id="97"/>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567"/>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13335</wp:posOffset>
            </wp:positionV>
            <wp:extent cx="26587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50"/>
        </w:trPr>
        <w:tc>
          <w:tcPr>
            <w:tcW w:w="7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3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8"/>
                <w:szCs w:val="18"/>
                <w:color w:val="auto"/>
              </w:rPr>
              <w:t>6.10</w:t>
            </w:r>
          </w:p>
        </w:tc>
      </w:tr>
      <w:tr>
        <w:trPr>
          <w:trHeight w:val="27"/>
        </w:trPr>
        <w:tc>
          <w:tcPr>
            <w:tcW w:w="7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4.48</w:t>
            </w:r>
          </w:p>
        </w:tc>
      </w:tr>
      <w:tr>
        <w:trPr>
          <w:trHeight w:val="27"/>
        </w:trPr>
        <w:tc>
          <w:tcPr>
            <w:tcW w:w="72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 were 1,099,806, 330,622 and 1,040,093 stock options granted during the years ended December 31, 2017, 2016 and 2015, respectively.</w:t>
      </w:r>
    </w:p>
    <w:p>
      <w:pPr>
        <w:spacing w:after="0" w:line="183" w:lineRule="exact"/>
        <w:rPr>
          <w:sz w:val="20"/>
          <w:szCs w:val="20"/>
          <w:color w:val="auto"/>
        </w:rPr>
      </w:pPr>
    </w:p>
    <w:p>
      <w:pPr>
        <w:ind w:right="60" w:firstLine="567"/>
        <w:spacing w:after="0" w:line="255" w:lineRule="auto"/>
        <w:rPr>
          <w:sz w:val="20"/>
          <w:szCs w:val="20"/>
          <w:color w:val="auto"/>
        </w:rPr>
      </w:pPr>
      <w:r>
        <w:rPr>
          <w:rFonts w:ascii="Arial" w:cs="Arial" w:eastAsia="Arial" w:hAnsi="Arial"/>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right="780" w:firstLine="567"/>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282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322</w:t>
            </w:r>
          </w:p>
        </w:tc>
      </w:tr>
      <w:tr>
        <w:trPr>
          <w:trHeight w:val="27"/>
        </w:trPr>
        <w:tc>
          <w:tcPr>
            <w:tcW w:w="674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604</w:t>
            </w:r>
          </w:p>
        </w:tc>
      </w:tr>
      <w:tr>
        <w:trPr>
          <w:trHeight w:val="20"/>
        </w:trPr>
        <w:tc>
          <w:tcPr>
            <w:tcW w:w="67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At December 31, 2017, there was $14.9 million of unrecognized compensation cost related to unvested stock option awards, which is expected to be recognized over a remaining weighted average vesting period of 2.5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100" w:firstLine="567"/>
        <w:spacing w:after="0" w:line="293" w:lineRule="auto"/>
        <w:rPr>
          <w:sz w:val="20"/>
          <w:szCs w:val="20"/>
          <w:color w:val="auto"/>
        </w:rPr>
      </w:pPr>
      <w:r>
        <w:rPr>
          <w:rFonts w:ascii="Arial" w:cs="Arial" w:eastAsia="Arial" w:hAnsi="Arial"/>
          <w:sz w:val="16"/>
          <w:szCs w:val="16"/>
          <w:color w:val="auto"/>
        </w:rPr>
        <w:t>Our Australian subsidiary, which conducts core research and development activities on our behalf, is eligible to receive a refundable tax incentive for qualified research and development activities of 43.5% during fiscal 2017, and 45.0% during fiscal 2016 and 2015. For the years ended December 31, 2017 and 2016, $1.5 million and $7.2 million, respectively, were recorded as a reduction to research and development expenses in the consolidated statements of operations and comprehensive loss. Of the $7.2 million recorded in fiscal 2016, $3.0 million is related to fiscal 2015 upon determination that we would meet eligibility criteria and that collectability was reasonably assured. As of December 31, 2017 our tax incentive receivable from the Australian government was $1.6 million. We received $4.6 million and $3.0 million in cash during the years ended December 31, 2017 and 2016,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121" w:lineRule="exact"/>
        <w:rPr>
          <w:sz w:val="20"/>
          <w:szCs w:val="20"/>
          <w:color w:val="auto"/>
        </w:rPr>
      </w:pPr>
    </w:p>
    <w:p>
      <w:pPr>
        <w:ind w:right="300" w:firstLine="567"/>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2017, 2016 and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908" w:right="239" w:bottom="1440" w:gutter="0" w:footer="0" w:header="0"/>
        </w:sectPr>
      </w:pPr>
    </w:p>
    <w:bookmarkStart w:id="98" w:name="page99"/>
    <w:bookmarkEnd w:id="98"/>
    <w:p>
      <w:pPr>
        <w:ind w:left="300" w:right="8600" w:hanging="292"/>
        <w:spacing w:after="0" w:line="425" w:lineRule="auto"/>
        <w:tabs>
          <w:tab w:leader="none" w:pos="277"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in fiscal 2015. The lease expires in August 2021.</w:t>
      </w:r>
    </w:p>
    <w:p>
      <w:pPr>
        <w:spacing w:after="0" w:line="170" w:lineRule="exact"/>
        <w:rPr>
          <w:sz w:val="20"/>
          <w:szCs w:val="20"/>
          <w:color w:val="auto"/>
        </w:rPr>
      </w:pPr>
    </w:p>
    <w:p>
      <w:pPr>
        <w:ind w:right="420" w:firstLine="567"/>
        <w:spacing w:after="0" w:line="312" w:lineRule="auto"/>
        <w:rPr>
          <w:sz w:val="20"/>
          <w:szCs w:val="20"/>
          <w:color w:val="auto"/>
        </w:rPr>
      </w:pPr>
      <w:r>
        <w:rPr>
          <w:rFonts w:ascii="Arial" w:cs="Arial" w:eastAsia="Arial" w:hAnsi="Arial"/>
          <w:sz w:val="16"/>
          <w:szCs w:val="16"/>
          <w:color w:val="auto"/>
        </w:rPr>
        <w:t>Rent expense was $0.5 million, $0.5 million and $0.4 million during the years ended December 31, 2017, 2016 and 2015, respectively. At December 31, 2017, deferred rent aggregated $0.2 million, which is included in both current and noncurrent liabilities in the accompanying consolidated balance sheets. At December 31, 2017, the future minimum annual obligations under non-cancellable operating lease commitments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ind w:left="40"/>
              <w:spacing w:after="0"/>
              <w:rPr>
                <w:sz w:val="20"/>
                <w:szCs w:val="20"/>
                <w:color w:val="auto"/>
              </w:rPr>
            </w:pPr>
            <w:r>
              <w:rPr>
                <w:rFonts w:ascii="Arial" w:cs="Arial" w:eastAsia="Arial" w:hAnsi="Arial"/>
                <w:sz w:val="14"/>
                <w:szCs w:val="14"/>
                <w:b w:val="1"/>
                <w:bCs w:val="1"/>
                <w:color w:val="auto"/>
              </w:rPr>
              <w:t>Years Ending December 31, (in thousands)</w:t>
            </w:r>
          </w:p>
        </w:tc>
        <w:tc>
          <w:tcPr>
            <w:tcW w:w="4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6"/>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8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2019</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569</w:t>
            </w:r>
          </w:p>
        </w:tc>
      </w:tr>
      <w:tr>
        <w:trPr>
          <w:trHeight w:val="27"/>
        </w:trPr>
        <w:tc>
          <w:tcPr>
            <w:tcW w:w="5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2021</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59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payments required</w:t>
            </w:r>
          </w:p>
        </w:tc>
        <w:tc>
          <w:tcPr>
            <w:tcW w:w="41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2,110</w:t>
            </w:r>
          </w:p>
        </w:tc>
      </w:tr>
      <w:tr>
        <w:trPr>
          <w:trHeight w:val="27"/>
        </w:trPr>
        <w:tc>
          <w:tcPr>
            <w:tcW w:w="59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200" w:firstLine="567"/>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87" w:lineRule="exact"/>
        <w:rPr>
          <w:sz w:val="20"/>
          <w:szCs w:val="20"/>
          <w:color w:val="auto"/>
        </w:rPr>
      </w:pPr>
    </w:p>
    <w:p>
      <w:pPr>
        <w:ind w:right="520" w:firstLine="567"/>
        <w:spacing w:after="0" w:line="342" w:lineRule="auto"/>
        <w:rPr>
          <w:sz w:val="20"/>
          <w:szCs w:val="20"/>
          <w:color w:val="auto"/>
        </w:rPr>
      </w:pPr>
      <w:r>
        <w:rPr>
          <w:rFonts w:ascii="Arial" w:cs="Arial" w:eastAsia="Arial" w:hAnsi="Arial"/>
          <w:sz w:val="16"/>
          <w:szCs w:val="16"/>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24" w:lineRule="exact"/>
        <w:rPr>
          <w:sz w:val="20"/>
          <w:szCs w:val="20"/>
          <w:color w:val="auto"/>
        </w:rPr>
      </w:pPr>
    </w:p>
    <w:p>
      <w:pPr>
        <w:ind w:right="180" w:firstLine="567"/>
        <w:spacing w:after="0" w:line="286" w:lineRule="auto"/>
        <w:rPr>
          <w:sz w:val="20"/>
          <w:szCs w:val="20"/>
          <w:color w:val="auto"/>
        </w:rPr>
      </w:pPr>
      <w:r>
        <w:rPr>
          <w:rFonts w:ascii="Arial" w:cs="Arial" w:eastAsia="Arial" w:hAnsi="Arial"/>
          <w:sz w:val="17"/>
          <w:szCs w:val="17"/>
          <w:color w:val="auto"/>
        </w:rPr>
        <w:t>Total expense incurred under all collaborative licensing agreements for upfront, milestone and royalty payments were $0.5 million, $0.3 million and $0.2 million during the years ended December 31, 2017, 2016 and 2015, respectively. Total cash paid under these agreements was $0.6 million during the year ended December 31, 2017 and $0.2 million during each of the years ended December 31, 2016 and 2015.</w:t>
      </w:r>
    </w:p>
    <w:p>
      <w:pPr>
        <w:spacing w:after="0" w:line="166" w:lineRule="exact"/>
        <w:rPr>
          <w:sz w:val="20"/>
          <w:szCs w:val="20"/>
          <w:color w:val="auto"/>
        </w:rPr>
      </w:pPr>
    </w:p>
    <w:p>
      <w:pPr>
        <w:ind w:right="520" w:firstLine="567"/>
        <w:spacing w:after="0" w:line="264" w:lineRule="auto"/>
        <w:rPr>
          <w:sz w:val="20"/>
          <w:szCs w:val="20"/>
          <w:color w:val="auto"/>
        </w:rPr>
      </w:pPr>
      <w:r>
        <w:rPr>
          <w:rFonts w:ascii="Arial" w:cs="Arial" w:eastAsia="Arial" w:hAnsi="Arial"/>
          <w:sz w:val="18"/>
          <w:szCs w:val="18"/>
          <w:color w:val="auto"/>
        </w:rPr>
        <w:t>Future minimum annual cash obligations under all such license agreements will be $0.2 million in aggregate during 2018, and thereafter. These obligations are payable through ten years from the first commercial sale, if any, or expiration of the last patent to expire, the dates of which are not determinable at this time.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240" w:firstLine="567"/>
        <w:spacing w:after="0" w:line="277" w:lineRule="auto"/>
        <w:rPr>
          <w:sz w:val="20"/>
          <w:szCs w:val="20"/>
          <w:color w:val="auto"/>
        </w:rPr>
      </w:pPr>
      <w:r>
        <w:rPr>
          <w:rFonts w:ascii="Arial" w:cs="Arial" w:eastAsia="Arial" w:hAnsi="Arial"/>
          <w:sz w:val="18"/>
          <w:szCs w:val="18"/>
          <w:color w:val="auto"/>
        </w:rPr>
        <w:t>At December 31, 2017 and 2016, we were contingently liable for a standby letter of credit issued by a commercial bank for $60,000 for security on our lease. A restricted cash account with these amounts was held as cash collateral for the letter of credit.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income/(loss) before income tax provision (benefit) consist of the following: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904"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(27,494)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(30,070)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80"/>
              <w:spacing w:after="0"/>
              <w:rPr>
                <w:sz w:val="20"/>
                <w:szCs w:val="20"/>
                <w:color w:val="auto"/>
              </w:rPr>
            </w:pPr>
            <w:r>
              <w:rPr>
                <w:rFonts w:ascii="Arial" w:cs="Arial" w:eastAsia="Arial" w:hAnsi="Arial"/>
                <w:sz w:val="18"/>
                <w:szCs w:val="18"/>
                <w:color w:val="auto"/>
                <w:w w:val="98"/>
              </w:rPr>
              <w:t>Significant components of our deferred tax assets and liabilities are as follows: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17,408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19,403</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19,295</w:t>
            </w:r>
          </w:p>
        </w:tc>
        <w:tc>
          <w:tcPr>
            <w:tcW w:w="0" w:type="dxa"/>
            <w:vAlign w:val="bottom"/>
          </w:tcPr>
          <w:p>
            <w:pPr>
              <w:spacing w:after="0"/>
              <w:rPr>
                <w:sz w:val="1"/>
                <w:szCs w:val="1"/>
                <w:color w:val="auto"/>
              </w:rPr>
            </w:pP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have recorded a full valuation allowance against our net deferred tax assets due to the uncertainty surrounding the realization of such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right="80" w:firstLine="567"/>
        <w:spacing w:after="0" w:line="257" w:lineRule="auto"/>
        <w:rPr>
          <w:sz w:val="20"/>
          <w:szCs w:val="20"/>
          <w:color w:val="auto"/>
        </w:rPr>
      </w:pPr>
      <w:r>
        <w:rPr>
          <w:rFonts w:ascii="Arial" w:cs="Arial" w:eastAsia="Arial" w:hAnsi="Arial"/>
          <w:sz w:val="18"/>
          <w:szCs w:val="18"/>
          <w:color w:val="auto"/>
        </w:rPr>
        <w:t>At December 31, 2017, we had federal and state net operating loss carryforwards, or NOLs, of $60.1 million and $57.2 million, respectively. The federal and state NOLs will both begin to expire in 2028, unless previously utilized. At December 31, 2017 we had federal and California research tax credit carryforwards of $3.0 million and $2.9 million, respectively. The federal research tax credit carryforward will begin to expire in 2026 and the California state credits carryforward indefinitely. We also have foreign tax losses of $2.6 million, which will carry forward indefinitely, subject to a continuity of ownership test.</w:t>
      </w:r>
    </w:p>
    <w:p>
      <w:pPr>
        <w:spacing w:after="0" w:line="188" w:lineRule="exact"/>
        <w:rPr>
          <w:sz w:val="20"/>
          <w:szCs w:val="20"/>
          <w:color w:val="auto"/>
        </w:rPr>
      </w:pPr>
    </w:p>
    <w:p>
      <w:pPr>
        <w:ind w:right="80" w:firstLine="567"/>
        <w:spacing w:after="0" w:line="268"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2016. We intend to extend the analysis period through December 31, 2017 in the current year, and are expecting an ownership change as a result of our IPO that may limit the utilization of Federal and State NOLs. Our use of federal NOL carryforwards could be limited further by the provisions of Section 382 of the Code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022" w:right="239" w:bottom="1440" w:gutter="0" w:footer="0" w:header="0"/>
        </w:sectPr>
      </w:pPr>
    </w:p>
    <w:bookmarkStart w:id="100" w:name="page101"/>
    <w:bookmarkEnd w:id="100"/>
    <w:p>
      <w:pPr>
        <w:ind w:left="58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income tax expense (benefit)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Equity compensation </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preferred stock warrant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expenditure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 to provision adjustment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Rate differential</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rate adjustment - tax reform</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credits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the 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260" w:right="160" w:hanging="126"/>
        <w:spacing w:after="0" w:line="238" w:lineRule="auto"/>
        <w:tabs>
          <w:tab w:leader="none" w:pos="335" w:val="left"/>
        </w:tabs>
        <w:numPr>
          <w:ilvl w:val="0"/>
          <w:numId w:val="53"/>
        </w:numPr>
        <w:rPr>
          <w:rFonts w:ascii="Arial" w:cs="Arial" w:eastAsia="Arial" w:hAnsi="Arial"/>
          <w:sz w:val="24"/>
          <w:szCs w:val="24"/>
          <w:color w:val="auto"/>
          <w:vertAlign w:val="superscript"/>
        </w:rPr>
      </w:pPr>
      <w:r>
        <w:rPr>
          <w:rFonts w:ascii="Arial" w:cs="Arial" w:eastAsia="Arial" w:hAnsi="Arial"/>
          <w:sz w:val="17"/>
          <w:szCs w:val="17"/>
          <w:color w:val="auto"/>
        </w:rPr>
        <w:t>Includes non-deductible stock-based compensation and, beginning in 2017, excess tax benefits from stock-based compensation. During fiscal 2017, our tax provision includes $0.4 million of excess tax benefits associated with the exercise of non-qualified stock options and $0.7 million associated with the disqualifying dispositions of incentive stock options.</w:t>
      </w:r>
    </w:p>
    <w:p>
      <w:pPr>
        <w:spacing w:after="0" w:line="203" w:lineRule="exact"/>
        <w:rPr>
          <w:sz w:val="20"/>
          <w:szCs w:val="20"/>
          <w:color w:val="auto"/>
        </w:rPr>
      </w:pPr>
    </w:p>
    <w:p>
      <w:pPr>
        <w:ind w:right="40" w:firstLine="567"/>
        <w:spacing w:after="0" w:line="255" w:lineRule="auto"/>
        <w:rPr>
          <w:sz w:val="20"/>
          <w:szCs w:val="20"/>
          <w:color w:val="auto"/>
        </w:rPr>
      </w:pPr>
      <w:r>
        <w:rPr>
          <w:rFonts w:ascii="Arial" w:cs="Arial" w:eastAsia="Arial" w:hAnsi="Arial"/>
          <w:sz w:val="18"/>
          <w:szCs w:val="18"/>
          <w:color w:val="auto"/>
        </w:rPr>
        <w:t>In December 2017, the Tax Cuts and Jobs Act, or the 2017 Act, was enacted, which includes a number of changes to existing U.S. tax laws that impact us, most notably a reduction of the U.S. corporate income tax rate from 35% to 21% for tax years beginning after December 31, 2017. The 2017 Act also provides for a one-time transition tax on certain foreign earnings and the acceleration of depreciation for certain assets placed in service after September 27, 2017 as well as prospective changes beginning in 2018, including additional limitations on: executive compensation; the deductibility of interest; the usage of NOLs against taxable income; the capitalization of research and development expenditures. While the 2017 Act provides for a territorial tax system, beginning in 2018, it includes two new U.S. tax base erosion provision, the global intangible low-taxed income, or GILTI provisions and the base-erosion and anti-abuse tax, or BEAT, provisions.</w:t>
      </w:r>
    </w:p>
    <w:p>
      <w:pPr>
        <w:spacing w:after="0" w:line="189" w:lineRule="exact"/>
        <w:rPr>
          <w:sz w:val="20"/>
          <w:szCs w:val="20"/>
          <w:color w:val="auto"/>
        </w:rPr>
      </w:pPr>
    </w:p>
    <w:p>
      <w:pPr>
        <w:ind w:right="20" w:firstLine="567"/>
        <w:spacing w:after="0" w:line="302" w:lineRule="auto"/>
        <w:rPr>
          <w:sz w:val="20"/>
          <w:szCs w:val="20"/>
          <w:color w:val="auto"/>
        </w:rPr>
      </w:pPr>
      <w:r>
        <w:rPr>
          <w:rFonts w:ascii="Arial" w:cs="Arial" w:eastAsia="Arial" w:hAnsi="Arial"/>
          <w:sz w:val="16"/>
          <w:szCs w:val="16"/>
          <w:color w:val="auto"/>
        </w:rPr>
        <w:t>We measure deferred tax assets and liabilities using enacted tax rates that will apply in the years in which the temporary differences are expected to be recovered or paid. Accordingly, our deferred tax assets and liabilities were remeasured to reflect the reduction in the U.S. corporate income tax rate from 35% to 21% percent, resulting in a $7.6 million increase in tax expense for the year ended December 31, 2017 and a corresponding $7.6 million decrease in net deferred tax assets for the year ended December 31, 2017. The impact was fully offset by a valuation allowance.</w:t>
      </w:r>
    </w:p>
    <w:p>
      <w:pPr>
        <w:spacing w:after="0" w:line="208" w:lineRule="exact"/>
        <w:rPr>
          <w:sz w:val="20"/>
          <w:szCs w:val="20"/>
          <w:color w:val="auto"/>
        </w:rPr>
      </w:pPr>
    </w:p>
    <w:p>
      <w:pPr>
        <w:ind w:right="640" w:firstLine="567"/>
        <w:spacing w:after="0" w:line="279" w:lineRule="auto"/>
        <w:rPr>
          <w:sz w:val="20"/>
          <w:szCs w:val="20"/>
          <w:color w:val="auto"/>
        </w:rPr>
      </w:pPr>
      <w:r>
        <w:rPr>
          <w:rFonts w:ascii="Arial" w:cs="Arial" w:eastAsia="Arial" w:hAnsi="Arial"/>
          <w:sz w:val="17"/>
          <w:szCs w:val="17"/>
          <w:color w:val="auto"/>
        </w:rPr>
        <w:t>The Act will no longer allow deductions for compensation in excess of $1.0 million for certain employees, even if paid as commissions or performance based compensation. It also subjects the principal executive officer, principal financial officer and three other highest paid officers to the limitation and once the individual becomes a covered person, the individual will remain a covered person for all future years. The tax effects of these provisions requires further analysis which is expected to be completed in the second half of 2018.</w:t>
      </w:r>
    </w:p>
    <w:p>
      <w:pPr>
        <w:spacing w:after="0" w:line="225" w:lineRule="exact"/>
        <w:rPr>
          <w:sz w:val="20"/>
          <w:szCs w:val="20"/>
          <w:color w:val="auto"/>
        </w:rPr>
      </w:pPr>
    </w:p>
    <w:p>
      <w:pPr>
        <w:ind w:right="20" w:firstLine="567"/>
        <w:spacing w:after="0" w:line="312" w:lineRule="auto"/>
        <w:rPr>
          <w:sz w:val="20"/>
          <w:szCs w:val="20"/>
          <w:color w:val="auto"/>
        </w:rPr>
      </w:pPr>
      <w:r>
        <w:rPr>
          <w:rFonts w:ascii="Arial" w:cs="Arial" w:eastAsia="Arial" w:hAnsi="Arial"/>
          <w:sz w:val="16"/>
          <w:szCs w:val="16"/>
          <w:color w:val="auto"/>
        </w:rPr>
        <w:t>The 2017 Act provided for a one-time deemed mandatory repatriation of post-1986 undistributed foreign subsidiary earnings and profits through the year ended December 31, 2017. Our foreign subsidiary had an estimated accumulated deficit as of December 31, 2017. We do not expect we will be subject to this tax and therefore have not included any tax impacts related to the mandatory deemed repatriation in our consolidated financial statements.</w:t>
      </w:r>
    </w:p>
    <w:p>
      <w:pPr>
        <w:spacing w:after="0" w:line="201" w:lineRule="exact"/>
        <w:rPr>
          <w:sz w:val="20"/>
          <w:szCs w:val="20"/>
          <w:color w:val="auto"/>
        </w:rPr>
      </w:pPr>
    </w:p>
    <w:p>
      <w:pPr>
        <w:ind w:right="60" w:firstLine="567"/>
        <w:spacing w:after="0" w:line="259" w:lineRule="auto"/>
        <w:rPr>
          <w:sz w:val="20"/>
          <w:szCs w:val="20"/>
          <w:color w:val="auto"/>
        </w:rPr>
      </w:pPr>
      <w:r>
        <w:rPr>
          <w:rFonts w:ascii="Arial" w:cs="Arial" w:eastAsia="Arial" w:hAnsi="Arial"/>
          <w:sz w:val="18"/>
          <w:szCs w:val="18"/>
          <w:color w:val="auto"/>
        </w:rPr>
        <w:t>The GILTI provisions require us to include in our US income tax return foreign subsidiary earnings in excess of an allowable return on the foreign subsidiary's tangible assets. While a Company may elect to account for GILTI tax in the period in which it is incurred, or recognize deferred taxes when basis differences exist that are expected to affect the amount of the GILTI inclusion upon reversal, we do not expect we will be subject to this tax and have not made a policy election as of December 31, 2017.</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800" w:right="239" w:bottom="1440" w:gutter="0" w:footer="0" w:header="0"/>
        </w:sectPr>
      </w:pPr>
    </w:p>
    <w:bookmarkStart w:id="101" w:name="page102"/>
    <w:bookmarkEnd w:id="101"/>
    <w:p>
      <w:pPr>
        <w:ind w:right="660" w:firstLine="567"/>
        <w:spacing w:after="0" w:line="308" w:lineRule="auto"/>
        <w:rPr>
          <w:sz w:val="20"/>
          <w:szCs w:val="20"/>
          <w:color w:val="auto"/>
        </w:rPr>
      </w:pPr>
      <w:r>
        <w:rPr>
          <w:rFonts w:ascii="Arial" w:cs="Arial" w:eastAsia="Arial" w:hAnsi="Arial"/>
          <w:sz w:val="17"/>
          <w:szCs w:val="17"/>
          <w:color w:val="auto"/>
        </w:rPr>
        <w:t>The BEAT provisions in the 2017 Act eliminates the deduction of certain base-erosion payments made to foreign corporations, and imposes a minimum tax if greater than regular tax. We do not expect it will be subject to this tax and do not anticipate any tax impacts of BEAT.</w:t>
      </w:r>
    </w:p>
    <w:p>
      <w:pPr>
        <w:spacing w:after="0" w:line="201" w:lineRule="exact"/>
        <w:rPr>
          <w:sz w:val="20"/>
          <w:szCs w:val="20"/>
          <w:color w:val="auto"/>
        </w:rPr>
      </w:pPr>
    </w:p>
    <w:p>
      <w:pPr>
        <w:ind w:firstLine="567"/>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2017 Act. We have recognized provisional tax impacts related to the revaluation of deferred tax assets and liabilities and included these amounts in our consolidated financial statements for the year ended December 31, 2017. The ultimate impact may differ from these provisional amounts due to additional analysis, changes in interpretations and assumptions we have made, additional regulatory guidance that may be issued, and actions we may take as a result of the 2017 Act. The accounting is expected to be complete when the 2017 U.S. corporate income tax return is filed in fiscal 2018.</w:t>
      </w:r>
    </w:p>
    <w:p>
      <w:pPr>
        <w:spacing w:after="0" w:line="219" w:lineRule="exact"/>
        <w:rPr>
          <w:sz w:val="20"/>
          <w:szCs w:val="20"/>
          <w:color w:val="auto"/>
        </w:rPr>
      </w:pPr>
    </w:p>
    <w:p>
      <w:pPr>
        <w:ind w:right="460" w:firstLine="567"/>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2017 and 2016,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the beginning of the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Decrease related to prior year tax positions</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97</w:t>
            </w:r>
          </w:p>
        </w:tc>
      </w:tr>
      <w:tr>
        <w:trPr>
          <w:trHeight w:val="27"/>
        </w:trPr>
        <w:tc>
          <w:tcPr>
            <w:tcW w:w="7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related to current year tax positions</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409</w:t>
            </w:r>
          </w:p>
        </w:tc>
      </w:tr>
      <w:tr>
        <w:trPr>
          <w:trHeight w:val="27"/>
        </w:trPr>
        <w:tc>
          <w:tcPr>
            <w:tcW w:w="79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67"/>
        <w:spacing w:after="0" w:line="308" w:lineRule="auto"/>
        <w:rPr>
          <w:sz w:val="20"/>
          <w:szCs w:val="20"/>
          <w:color w:val="auto"/>
        </w:rPr>
      </w:pPr>
      <w:r>
        <w:rPr>
          <w:rFonts w:ascii="Arial" w:cs="Arial" w:eastAsia="Arial" w:hAnsi="Arial"/>
          <w:sz w:val="17"/>
          <w:szCs w:val="17"/>
          <w:color w:val="auto"/>
        </w:rPr>
        <w:t>If recognized, these amounts would not affect our effective tax rate, since they would be offset by an equal corresponding adjustment in the deferred tax asset valuation allowance. We do not anticipate there will be a significant change in unrecognized tax benefits within the next 12 months.</w:t>
      </w:r>
    </w:p>
    <w:p>
      <w:pPr>
        <w:spacing w:after="0" w:line="147" w:lineRule="exact"/>
        <w:rPr>
          <w:sz w:val="20"/>
          <w:szCs w:val="20"/>
          <w:color w:val="auto"/>
        </w:rPr>
      </w:pPr>
    </w:p>
    <w:p>
      <w:pPr>
        <w:ind w:right="380" w:firstLine="567"/>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2017, 2016 and 2015, there were no interest or penalties on uncertain tax benefits.</w:t>
      </w:r>
    </w:p>
    <w:p>
      <w:pPr>
        <w:spacing w:after="0" w:line="170" w:lineRule="exact"/>
        <w:rPr>
          <w:sz w:val="20"/>
          <w:szCs w:val="20"/>
          <w:color w:val="auto"/>
        </w:rPr>
      </w:pPr>
    </w:p>
    <w:p>
      <w:pPr>
        <w:ind w:right="720" w:firstLine="567"/>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61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13. Selected Quarterly Financial Data (Unaudited)</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is a summary of our quarterly results for the years ended December 31, 2017 and 2016 (in thousands, except for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820"/>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6"/>
                <w:szCs w:val="6"/>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(28,781)</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(11,435)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(6,861)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(30,070)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80"/>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Quarter</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71"/>
        </w:trPr>
        <w:tc>
          <w:tcPr>
            <w:tcW w:w="5140" w:type="dxa"/>
            <w:vAlign w:val="bottom"/>
            <w:vMerge w:val="restart"/>
          </w:tcPr>
          <w:p>
            <w:pPr>
              <w:ind w:left="4820"/>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6"/>
                <w:szCs w:val="6"/>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First</w:t>
            </w:r>
          </w:p>
        </w:tc>
        <w:tc>
          <w:tcPr>
            <w:tcW w:w="1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Second</w:t>
            </w:r>
          </w:p>
        </w:tc>
        <w:tc>
          <w:tcPr>
            <w:tcW w:w="10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Third</w:t>
            </w:r>
          </w:p>
        </w:tc>
        <w:tc>
          <w:tcPr>
            <w:tcW w:w="10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(4,578)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(loss)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per share,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67"/>
        <w:spacing w:after="0" w:line="291" w:lineRule="auto"/>
        <w:rPr>
          <w:sz w:val="20"/>
          <w:szCs w:val="20"/>
          <w:color w:val="auto"/>
        </w:rPr>
      </w:pPr>
      <w:r>
        <w:rPr>
          <w:rFonts w:ascii="Arial" w:cs="Arial" w:eastAsia="Arial" w:hAnsi="Arial"/>
          <w:sz w:val="16"/>
          <w:szCs w:val="16"/>
          <w:color w:val="auto"/>
        </w:rPr>
        <w:t>As of December 31, 2017, our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Based on this evaluation, our Chief Executive Officer and Chief Financial Officer concluded that, as of December 31, 2017, the design and operation of our disclosure controls and procedures were effective at a reasonable assurance level.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80" w:firstLine="567"/>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Management assessed the effectiveness of our internal control over financial reporting as of December 31, 2017. In making this assessment, management used the criteria set forth by the Committee of Sponsoring Organizations of the Treadway Commission (COSO) in Internal Control—Integrated Framework issued in 2013. Based upon the assessments, management has concluded that as of December 31, 2017 our internal control over financial reporting was effective to provide reasonable assurance regarding the reliability of financial reporting and the preparation of financial statements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right="60" w:firstLine="567"/>
        <w:spacing w:after="0" w:line="257" w:lineRule="auto"/>
        <w:rPr>
          <w:sz w:val="20"/>
          <w:szCs w:val="20"/>
          <w:color w:val="auto"/>
        </w:rPr>
      </w:pPr>
      <w:r>
        <w:rPr>
          <w:rFonts w:ascii="Arial" w:cs="Arial" w:eastAsia="Arial" w:hAnsi="Arial"/>
          <w:sz w:val="18"/>
          <w:szCs w:val="18"/>
          <w:color w:val="auto"/>
        </w:rPr>
        <w:t>This Annual Report on Form 10-K does not include nor was it subject to an attestation report of our registered public accounting firm due to a transition period established by rules of the SEC for issuers that are non-accelerated filers or qualify as an “emerging growth company,” as defined in Section 2(a) of the Securities Act as modified by the JOBS Act. For as long as we remain an “emerging growth company” as defined in the JOBS Act,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904" w:right="2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567"/>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December 31, 2017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ind w:firstLine="567"/>
        <w:spacing w:after="0" w:line="264" w:lineRule="auto"/>
        <w:rPr>
          <w:sz w:val="20"/>
          <w:szCs w:val="20"/>
          <w:color w:val="auto"/>
        </w:rPr>
      </w:pPr>
      <w:r>
        <w:rPr>
          <w:rFonts w:ascii="Arial" w:cs="Arial" w:eastAsia="Arial" w:hAnsi="Arial"/>
          <w:sz w:val="18"/>
          <w:szCs w:val="18"/>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796"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20" w:firstLine="567"/>
        <w:spacing w:after="0" w:line="259" w:lineRule="auto"/>
        <w:rPr>
          <w:sz w:val="20"/>
          <w:szCs w:val="20"/>
          <w:color w:val="auto"/>
        </w:rPr>
      </w:pPr>
      <w:r>
        <w:rPr>
          <w:rFonts w:ascii="Arial" w:cs="Arial" w:eastAsia="Arial" w:hAnsi="Arial"/>
          <w:sz w:val="18"/>
          <w:szCs w:val="18"/>
          <w:color w:val="auto"/>
        </w:rPr>
        <w:t>Information required by this Item is incorporated herein by reference to the sections titled “Executive Officers,” “Election of Class I Directors,” “Corporate Governance Standards and Director Independence” and “Security Ownership of certain Beneficial Owners and Management” in our Definitive Proxy Statement with respect to our 2018 Annual Meeting of Stockholders to be filed with the SEC within 120 days after the end of the fiscal year covered by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00"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“Executive Compensation,” “Election of Class I Directors,” and “Corporate Governance Standards and Director Independence” in our Definitive Proxy Statement with respect to our 2018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8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“Security Ownership of Certain Beneficial Owners and Management” and “Equity Compensation Plan Information” in our Definitive Proxy Statement with respect to our 2018 Annual Meeting of Stockholders to be filed with the SEC within 120 days after the end of the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567"/>
        <w:spacing w:after="0" w:line="286" w:lineRule="auto"/>
        <w:rPr>
          <w:sz w:val="20"/>
          <w:szCs w:val="20"/>
          <w:color w:val="auto"/>
        </w:rPr>
      </w:pPr>
      <w:r>
        <w:rPr>
          <w:rFonts w:ascii="Arial" w:cs="Arial" w:eastAsia="Arial" w:hAnsi="Arial"/>
          <w:sz w:val="17"/>
          <w:szCs w:val="17"/>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2018 Annual Meeting of Stockholders to be filed with the SEC within 120 days after the end of the fiscal year covered by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160" w:firstLine="567"/>
        <w:spacing w:after="0" w:line="264" w:lineRule="auto"/>
        <w:rPr>
          <w:sz w:val="20"/>
          <w:szCs w:val="20"/>
          <w:color w:val="auto"/>
        </w:rPr>
      </w:pPr>
      <w:r>
        <w:rPr>
          <w:rFonts w:ascii="Arial" w:cs="Arial" w:eastAsia="Arial" w:hAnsi="Arial"/>
          <w:sz w:val="18"/>
          <w:szCs w:val="18"/>
          <w:color w:val="auto"/>
        </w:rPr>
        <w:t>Information required by this Item is incorporated herein by reference to the section titled “Ratification of Independent Registered Public Accounting Firm” in our Definitive Proxy Statement with respect to our 2018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Consolidated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Index to Consolidated Financial Statements at Item 8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 Consolidated Financial Statement Schedules</w:t>
      </w:r>
    </w:p>
    <w:p>
      <w:pPr>
        <w:spacing w:after="0" w:line="117" w:lineRule="exact"/>
        <w:rPr>
          <w:sz w:val="20"/>
          <w:szCs w:val="20"/>
          <w:color w:val="auto"/>
        </w:rPr>
      </w:pPr>
    </w:p>
    <w:p>
      <w:pPr>
        <w:ind w:right="620" w:firstLine="1148"/>
        <w:spacing w:after="0" w:line="277" w:lineRule="auto"/>
        <w:rPr>
          <w:sz w:val="20"/>
          <w:szCs w:val="20"/>
          <w:color w:val="auto"/>
        </w:rPr>
      </w:pPr>
      <w:r>
        <w:rPr>
          <w:rFonts w:ascii="Arial" w:cs="Arial" w:eastAsia="Arial" w:hAnsi="Arial"/>
          <w:sz w:val="18"/>
          <w:szCs w:val="18"/>
          <w:color w:val="auto"/>
        </w:rPr>
        <w:t>No consolidated financial statement schedules are provided because the information called for is not required or is shown either in the consolidated financial statements or notes thereto.</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 Exhibits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tcPr>
          <w:p>
            <w:pPr>
              <w:ind w:left="960"/>
              <w:spacing w:after="0"/>
              <w:rPr>
                <w:sz w:val="20"/>
                <w:szCs w:val="20"/>
                <w:color w:val="auto"/>
              </w:rPr>
            </w:pPr>
            <w:r>
              <w:rPr>
                <w:rFonts w:ascii="Arial" w:cs="Arial" w:eastAsia="Arial" w:hAnsi="Arial"/>
                <w:sz w:val="14"/>
                <w:szCs w:val="14"/>
                <w:b w:val="1"/>
                <w:bCs w:val="1"/>
                <w:color w:val="auto"/>
                <w:w w:val="99"/>
              </w:rPr>
              <w:t>Incorporated by reference</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72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jc w:val="right"/>
              <w:ind w:right="482"/>
              <w:spacing w:after="0" w:line="202"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4"/>
          </w:tcPr>
          <w:p>
            <w:pPr>
              <w:spacing w:after="0" w:line="202" w:lineRule="exact"/>
              <w:rPr>
                <w:rFonts w:ascii="Arial" w:cs="Arial" w:eastAsia="Arial" w:hAnsi="Arial"/>
                <w:sz w:val="18"/>
                <w:szCs w:val="18"/>
                <w:color w:val="0000FF"/>
              </w:rPr>
            </w:pPr>
            <w:hyperlink r:id="rId44">
              <w:r>
                <w:rPr>
                  <w:rFonts w:ascii="Arial" w:cs="Arial" w:eastAsia="Arial" w:hAnsi="Arial"/>
                  <w:sz w:val="18"/>
                  <w:szCs w:val="18"/>
                  <w:color w:val="0000FF"/>
                </w:rPr>
                <w:t>Amended and Restated Certificate of Incorporation, as</w:t>
              </w:r>
            </w:hyperlink>
          </w:p>
        </w:tc>
        <w:tc>
          <w:tcPr>
            <w:tcW w:w="7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10Q</w:t>
            </w:r>
          </w:p>
        </w:tc>
        <w:tc>
          <w:tcPr>
            <w:tcW w:w="138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001-37985</w:t>
            </w:r>
          </w:p>
        </w:tc>
        <w:tc>
          <w:tcPr>
            <w:tcW w:w="100" w:type="dxa"/>
            <w:vAlign w:val="bottom"/>
          </w:tcPr>
          <w:p>
            <w:pPr>
              <w:spacing w:after="0"/>
              <w:rPr>
                <w:sz w:val="17"/>
                <w:szCs w:val="17"/>
                <w:color w:val="auto"/>
              </w:rPr>
            </w:pPr>
          </w:p>
        </w:tc>
        <w:tc>
          <w:tcPr>
            <w:tcW w:w="800" w:type="dxa"/>
            <w:vAlign w:val="bottom"/>
          </w:tcPr>
          <w:p>
            <w:pPr>
              <w:jc w:val="right"/>
              <w:ind w:right="199"/>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gridSpan w:val="2"/>
          </w:tcPr>
          <w:p>
            <w:pPr>
              <w:jc w:val="center"/>
              <w:ind w:right="420"/>
              <w:spacing w:after="0" w:line="202" w:lineRule="exact"/>
              <w:rPr>
                <w:sz w:val="20"/>
                <w:szCs w:val="20"/>
                <w:color w:val="auto"/>
              </w:rPr>
            </w:pPr>
            <w:r>
              <w:rPr>
                <w:rFonts w:ascii="Arial" w:cs="Arial" w:eastAsia="Arial" w:hAnsi="Arial"/>
                <w:sz w:val="18"/>
                <w:szCs w:val="18"/>
                <w:color w:val="auto"/>
                <w:w w:val="93"/>
              </w:rPr>
              <w:t>May 12, 2017</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currently in effect.</w:t>
              </w:r>
            </w:hyperlink>
          </w:p>
        </w:tc>
        <w:tc>
          <w:tcPr>
            <w:tcW w:w="2600" w:type="dxa"/>
            <w:vAlign w:val="bottom"/>
            <w:tcBorders>
              <w:top w:val="single" w:sz="8" w:color="0000FF"/>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580"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3.2</w:t>
            </w:r>
          </w:p>
        </w:tc>
        <w:tc>
          <w:tcPr>
            <w:tcW w:w="3680" w:type="dxa"/>
            <w:vAlign w:val="bottom"/>
            <w:gridSpan w:val="5"/>
          </w:tcPr>
          <w:p>
            <w:pPr>
              <w:spacing w:after="0"/>
              <w:rPr>
                <w:rFonts w:ascii="Arial" w:cs="Arial" w:eastAsia="Arial" w:hAnsi="Arial"/>
                <w:sz w:val="18"/>
                <w:szCs w:val="18"/>
                <w:color w:val="0000FF"/>
              </w:rPr>
            </w:pPr>
            <w:hyperlink r:id="rId44">
              <w:r>
                <w:rPr>
                  <w:rFonts w:ascii="Arial" w:cs="Arial" w:eastAsia="Arial" w:hAnsi="Arial"/>
                  <w:sz w:val="18"/>
                  <w:szCs w:val="18"/>
                  <w:color w:val="0000FF"/>
                </w:rPr>
                <w:t>Restated Bylaws, as currently in effect.</w:t>
              </w:r>
            </w:hyperlink>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4.1</w:t>
            </w:r>
          </w:p>
        </w:tc>
        <w:tc>
          <w:tcPr>
            <w:tcW w:w="2620" w:type="dxa"/>
            <w:vAlign w:val="bottom"/>
            <w:tcBorders>
              <w:top w:val="single" w:sz="8" w:color="0000FF"/>
              <w:bottom w:val="single" w:sz="8" w:color="0000FF"/>
            </w:tcBorders>
          </w:tcPr>
          <w:p>
            <w:pPr>
              <w:spacing w:after="0"/>
              <w:rPr>
                <w:rFonts w:ascii="Arial" w:cs="Arial" w:eastAsia="Arial" w:hAnsi="Arial"/>
                <w:sz w:val="18"/>
                <w:szCs w:val="18"/>
                <w:color w:val="0000FF"/>
                <w:w w:val="92"/>
              </w:rPr>
            </w:pPr>
            <w:hyperlink r:id="rId45">
              <w:r>
                <w:rPr>
                  <w:rFonts w:ascii="Arial" w:cs="Arial" w:eastAsia="Arial" w:hAnsi="Arial"/>
                  <w:sz w:val="18"/>
                  <w:szCs w:val="18"/>
                  <w:color w:val="0000FF"/>
                  <w:w w:val="92"/>
                </w:rPr>
                <w:t>Form of Common Stock Certificate.</w:t>
              </w:r>
            </w:hyperlink>
          </w:p>
        </w:tc>
        <w:tc>
          <w:tcPr>
            <w:tcW w:w="200" w:type="dxa"/>
            <w:vAlign w:val="bottom"/>
            <w:tcBorders>
              <w:top w:val="single" w:sz="8" w:color="0000FF"/>
            </w:tcBorders>
          </w:tcPr>
          <w:p>
            <w:pPr>
              <w:spacing w:after="0"/>
              <w:rPr>
                <w:sz w:val="21"/>
                <w:szCs w:val="21"/>
                <w:color w:val="auto"/>
              </w:rPr>
            </w:pPr>
          </w:p>
        </w:tc>
        <w:tc>
          <w:tcPr>
            <w:tcW w:w="860" w:type="dxa"/>
            <w:vAlign w:val="bottom"/>
            <w:gridSpan w:val="3"/>
          </w:tcPr>
          <w:p>
            <w:pPr>
              <w:spacing w:after="0"/>
              <w:rPr>
                <w:sz w:val="21"/>
                <w:szCs w:val="21"/>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4.2</w:t>
            </w:r>
          </w:p>
        </w:tc>
        <w:tc>
          <w:tcPr>
            <w:tcW w:w="3680" w:type="dxa"/>
            <w:vAlign w:val="bottom"/>
            <w:gridSpan w:val="5"/>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Fourth Amended and Restated Investors’ Rights</w:t>
              </w:r>
            </w:hyperlink>
          </w:p>
        </w:tc>
      </w:tr>
      <w:tr>
        <w:trPr>
          <w:trHeight w:val="20"/>
        </w:trPr>
        <w:tc>
          <w:tcPr>
            <w:tcW w:w="920" w:type="dxa"/>
            <w:vAlign w:val="bottom"/>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Agreement, dated July 13, 2015, by and among the</w:t>
              </w:r>
            </w:hyperlink>
          </w:p>
        </w:tc>
      </w:tr>
      <w:tr>
        <w:trPr>
          <w:trHeight w:val="196"/>
        </w:trPr>
        <w:tc>
          <w:tcPr>
            <w:tcW w:w="9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Registrant and certain of its stockholders.</w:t>
              </w:r>
            </w:hyperlink>
          </w:p>
        </w:tc>
        <w:tc>
          <w:tcPr>
            <w:tcW w:w="68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9"/>
              </w:rPr>
              <w:t>December 23, 2015</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333-206849</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1740" w:type="dxa"/>
            <w:vAlign w:val="bottom"/>
          </w:tcPr>
          <w:p>
            <w:pPr>
              <w:jc w:val="center"/>
              <w:ind w:left="230"/>
              <w:spacing w:after="0"/>
              <w:rPr>
                <w:sz w:val="20"/>
                <w:szCs w:val="20"/>
                <w:color w:val="auto"/>
              </w:rPr>
            </w:pPr>
            <w:r>
              <w:rPr>
                <w:rFonts w:ascii="Arial" w:cs="Arial" w:eastAsia="Arial" w:hAnsi="Arial"/>
                <w:sz w:val="18"/>
                <w:szCs w:val="18"/>
                <w:color w:val="auto"/>
                <w:w w:val="87"/>
              </w:rPr>
              <w:t>September 9, 2015</w:t>
            </w:r>
          </w:p>
        </w:tc>
      </w:tr>
    </w:tbl>
    <w:p>
      <w:pPr>
        <w:spacing w:after="0" w:line="455" w:lineRule="exact"/>
        <w:rPr>
          <w:sz w:val="20"/>
          <w:szCs w:val="20"/>
          <w:color w:val="auto"/>
        </w:rPr>
      </w:pPr>
    </w:p>
    <w:p>
      <w:pPr>
        <w:sectPr>
          <w:pgSz w:w="11900" w:h="16838" w:orient="portrait"/>
          <w:cols w:equalWidth="0" w:num="2">
            <w:col w:w="4900" w:space="720"/>
            <w:col w:w="5800"/>
          </w:cols>
          <w:pgMar w:left="240" w:top="580" w:right="23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4420" w:type="dxa"/>
            <w:vAlign w:val="bottom"/>
            <w:gridSpan w:val="19"/>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Indemnity Agreement.</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10.1</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7"/>
              </w:rPr>
              <w:t>September 9, 2015</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4000" w:type="dxa"/>
            <w:vAlign w:val="bottom"/>
            <w:tcBorders>
              <w:bottom w:val="single" w:sz="8" w:color="0000FF"/>
            </w:tcBorders>
            <w:gridSpan w:val="13"/>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Amended and Restated 2006 Equity Incentive Plan and</w:t>
              </w:r>
            </w:hyperlink>
          </w:p>
        </w:tc>
        <w:tc>
          <w:tcPr>
            <w:tcW w:w="420" w:type="dxa"/>
            <w:vAlign w:val="bottom"/>
            <w:gridSpan w:val="6"/>
          </w:tcPr>
          <w:p>
            <w:pPr>
              <w:spacing w:after="0"/>
              <w:rPr>
                <w:sz w:val="21"/>
                <w:szCs w:val="21"/>
                <w:color w:val="auto"/>
              </w:rPr>
            </w:pPr>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10.2</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7"/>
              </w:rPr>
              <w:t>January 17, 2017</w:t>
            </w: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4420" w:type="dxa"/>
            <w:vAlign w:val="bottom"/>
            <w:gridSpan w:val="19"/>
          </w:tcPr>
          <w:p>
            <w:pPr>
              <w:spacing w:after="0"/>
              <w:rPr>
                <w:rFonts w:ascii="Arial" w:cs="Arial" w:eastAsia="Arial" w:hAnsi="Arial"/>
                <w:sz w:val="18"/>
                <w:szCs w:val="18"/>
                <w:color w:val="0000FF"/>
              </w:rPr>
            </w:pPr>
            <w:hyperlink r:id="rId49">
              <w:r>
                <w:rPr>
                  <w:rFonts w:ascii="Arial" w:cs="Arial" w:eastAsia="Arial" w:hAnsi="Arial"/>
                  <w:sz w:val="18"/>
                  <w:szCs w:val="18"/>
                  <w:color w:val="0000FF"/>
                </w:rPr>
                <w:t>2017 Equity Incentive Plan, to become effective on the</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02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date the registration statement is declared effective, and</w:t>
              </w:r>
            </w:hyperlink>
          </w:p>
        </w:tc>
        <w:tc>
          <w:tcPr>
            <w:tcW w:w="40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2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forms of award agreements.</w:t>
              </w:r>
            </w:hyperlink>
          </w:p>
        </w:tc>
        <w:tc>
          <w:tcPr>
            <w:tcW w:w="240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4420" w:type="dxa"/>
            <w:vAlign w:val="bottom"/>
            <w:gridSpan w:val="19"/>
          </w:tcPr>
          <w:p>
            <w:pPr>
              <w:spacing w:after="0"/>
              <w:rPr>
                <w:rFonts w:ascii="Arial" w:cs="Arial" w:eastAsia="Arial" w:hAnsi="Arial"/>
                <w:sz w:val="18"/>
                <w:szCs w:val="18"/>
                <w:color w:val="0000FF"/>
                <w:w w:val="94"/>
              </w:rPr>
            </w:pPr>
            <w:hyperlink r:id="rId50">
              <w:r>
                <w:rPr>
                  <w:rFonts w:ascii="Arial" w:cs="Arial" w:eastAsia="Arial" w:hAnsi="Arial"/>
                  <w:sz w:val="18"/>
                  <w:szCs w:val="18"/>
                  <w:color w:val="0000FF"/>
                  <w:w w:val="94"/>
                </w:rPr>
                <w:t>2017 Employee Stock Purchase Plan, to become effective</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10.4</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7"/>
              </w:rPr>
              <w:t>January 17, 2017</w:t>
            </w: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42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on the date the registration statement is declared effective,</w:t>
              </w:r>
            </w:hyperlink>
          </w:p>
        </w:tc>
        <w:tc>
          <w:tcPr>
            <w:tcW w:w="2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and forms of award agreements.</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4420" w:type="dxa"/>
            <w:vAlign w:val="bottom"/>
            <w:gridSpan w:val="19"/>
          </w:tcPr>
          <w:p>
            <w:pPr>
              <w:spacing w:after="0"/>
              <w:rPr>
                <w:rFonts w:ascii="Arial" w:cs="Arial" w:eastAsia="Arial" w:hAnsi="Arial"/>
                <w:sz w:val="18"/>
                <w:szCs w:val="18"/>
                <w:color w:val="0000FF"/>
                <w:w w:val="97"/>
              </w:rPr>
            </w:pPr>
            <w:hyperlink w:anchor="page109">
              <w:r>
                <w:rPr>
                  <w:rFonts w:ascii="Arial" w:cs="Arial" w:eastAsia="Arial" w:hAnsi="Arial"/>
                  <w:sz w:val="18"/>
                  <w:szCs w:val="18"/>
                  <w:color w:val="0000FF"/>
                  <w:w w:val="97"/>
                </w:rPr>
                <w:t>Employment Agreement, effective as of January 1, 2012,</w:t>
              </w:r>
            </w:hyperlink>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40" w:type="dxa"/>
            <w:vAlign w:val="bottom"/>
          </w:tcPr>
          <w:p>
            <w:pPr>
              <w:ind w:left="2420"/>
              <w:spacing w:after="0"/>
              <w:rPr>
                <w:sz w:val="20"/>
                <w:szCs w:val="20"/>
                <w:color w:val="auto"/>
              </w:rPr>
            </w:pPr>
            <w:r>
              <w:rPr>
                <w:rFonts w:ascii="Arial" w:cs="Arial" w:eastAsia="Arial" w:hAnsi="Arial"/>
                <w:sz w:val="18"/>
                <w:szCs w:val="18"/>
                <w:color w:val="auto"/>
                <w:w w:val="82"/>
              </w:rPr>
              <w:t>X</w:t>
            </w:r>
          </w:p>
        </w:tc>
      </w:tr>
      <w:tr>
        <w:trPr>
          <w:trHeight w:val="196"/>
        </w:trPr>
        <w:tc>
          <w:tcPr>
            <w:tcW w:w="920" w:type="dxa"/>
            <w:vAlign w:val="bottom"/>
          </w:tcPr>
          <w:p>
            <w:pPr>
              <w:spacing w:after="0"/>
              <w:rPr>
                <w:sz w:val="17"/>
                <w:szCs w:val="17"/>
                <w:color w:val="auto"/>
              </w:rPr>
            </w:pPr>
          </w:p>
        </w:tc>
        <w:tc>
          <w:tcPr>
            <w:tcW w:w="37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8"/>
              </w:rPr>
            </w:pPr>
            <w:hyperlink w:anchor="page109">
              <w:r>
                <w:rPr>
                  <w:rFonts w:ascii="Arial" w:cs="Arial" w:eastAsia="Arial" w:hAnsi="Arial"/>
                  <w:sz w:val="18"/>
                  <w:szCs w:val="18"/>
                  <w:color w:val="0000FF"/>
                  <w:w w:val="88"/>
                </w:rPr>
                <w:t>by and between the Registrant and Hamza Suria, as</w:t>
              </w:r>
            </w:hyperlink>
          </w:p>
        </w:tc>
        <w:tc>
          <w:tcPr>
            <w:tcW w:w="440" w:type="dxa"/>
            <w:vAlign w:val="bottom"/>
            <w:tcBorders>
              <w:top w:val="single" w:sz="8" w:color="0000FF"/>
            </w:tcBorders>
            <w:gridSpan w:val="8"/>
          </w:tcPr>
          <w:p>
            <w:pPr>
              <w:spacing w:after="0"/>
              <w:rPr>
                <w:sz w:val="17"/>
                <w:szCs w:val="17"/>
                <w:color w:val="auto"/>
              </w:rPr>
            </w:pPr>
          </w:p>
        </w:tc>
        <w:tc>
          <w:tcPr>
            <w:tcW w:w="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w:anchor="page109">
              <w:r>
                <w:rPr>
                  <w:rFonts w:ascii="Arial" w:cs="Arial" w:eastAsia="Arial" w:hAnsi="Arial"/>
                  <w:sz w:val="18"/>
                  <w:szCs w:val="18"/>
                  <w:color w:val="0000FF"/>
                </w:rPr>
                <w:t>amended.</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4420" w:type="dxa"/>
            <w:vAlign w:val="bottom"/>
            <w:gridSpan w:val="19"/>
          </w:tcPr>
          <w:p>
            <w:pPr>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Employment Agreement, effective as of March 22, 2016,</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10.6</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9"/>
              </w:rPr>
              <w:t>December 28, 2016</w:t>
            </w:r>
          </w:p>
        </w:tc>
      </w:tr>
      <w:tr>
        <w:trPr>
          <w:trHeight w:val="196"/>
        </w:trPr>
        <w:tc>
          <w:tcPr>
            <w:tcW w:w="920" w:type="dxa"/>
            <w:vAlign w:val="bottom"/>
          </w:tcPr>
          <w:p>
            <w:pPr>
              <w:spacing w:after="0"/>
              <w:rPr>
                <w:sz w:val="17"/>
                <w:szCs w:val="17"/>
                <w:color w:val="auto"/>
              </w:rPr>
            </w:pPr>
          </w:p>
        </w:tc>
        <w:tc>
          <w:tcPr>
            <w:tcW w:w="37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by and between the Registrant and Matthew Moyle.</w:t>
              </w:r>
            </w:hyperlink>
          </w:p>
        </w:tc>
        <w:tc>
          <w:tcPr>
            <w:tcW w:w="420" w:type="dxa"/>
            <w:vAlign w:val="bottom"/>
            <w:tcBorders>
              <w:top w:val="single" w:sz="8" w:color="0000FF"/>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4240" w:type="dxa"/>
            <w:vAlign w:val="bottom"/>
            <w:tcBorders>
              <w:bottom w:val="single" w:sz="8" w:color="0000FF"/>
            </w:tcBorders>
            <w:gridSpan w:val="18"/>
          </w:tcPr>
          <w:p>
            <w:pPr>
              <w:spacing w:after="0"/>
              <w:rPr>
                <w:rFonts w:ascii="Arial" w:cs="Arial" w:eastAsia="Arial" w:hAnsi="Arial"/>
                <w:sz w:val="18"/>
                <w:szCs w:val="18"/>
                <w:color w:val="0000FF"/>
                <w:w w:val="91"/>
              </w:rPr>
            </w:pPr>
            <w:hyperlink w:anchor="page123">
              <w:r>
                <w:rPr>
                  <w:rFonts w:ascii="Arial" w:cs="Arial" w:eastAsia="Arial" w:hAnsi="Arial"/>
                  <w:sz w:val="18"/>
                  <w:szCs w:val="18"/>
                  <w:color w:val="0000FF"/>
                  <w:w w:val="91"/>
                </w:rPr>
                <w:t>Employment Agreement, effective as of October 20, 2014,</w:t>
              </w:r>
            </w:hyperlink>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40" w:type="dxa"/>
            <w:vAlign w:val="bottom"/>
          </w:tcPr>
          <w:p>
            <w:pPr>
              <w:ind w:left="2420"/>
              <w:spacing w:after="0"/>
              <w:rPr>
                <w:sz w:val="20"/>
                <w:szCs w:val="20"/>
                <w:color w:val="auto"/>
              </w:rPr>
            </w:pPr>
            <w:r>
              <w:rPr>
                <w:rFonts w:ascii="Arial" w:cs="Arial" w:eastAsia="Arial" w:hAnsi="Arial"/>
                <w:sz w:val="18"/>
                <w:szCs w:val="18"/>
                <w:color w:val="auto"/>
                <w:w w:val="82"/>
              </w:rPr>
              <w:t>X</w:t>
            </w: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by and between the Registrant and Marco Londei, as</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amended.</w:t>
              </w:r>
            </w:hyperlink>
          </w:p>
        </w:tc>
        <w:tc>
          <w:tcPr>
            <w:tcW w:w="62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4420" w:type="dxa"/>
            <w:vAlign w:val="bottom"/>
            <w:gridSpan w:val="19"/>
          </w:tcPr>
          <w:p>
            <w:pPr>
              <w:spacing w:after="0"/>
              <w:rPr>
                <w:rFonts w:ascii="Arial" w:cs="Arial" w:eastAsia="Arial" w:hAnsi="Arial"/>
                <w:sz w:val="18"/>
                <w:szCs w:val="18"/>
                <w:color w:val="0000FF"/>
                <w:w w:val="97"/>
              </w:rPr>
            </w:pPr>
            <w:hyperlink w:anchor="page136">
              <w:r>
                <w:rPr>
                  <w:rFonts w:ascii="Arial" w:cs="Arial" w:eastAsia="Arial" w:hAnsi="Arial"/>
                  <w:sz w:val="18"/>
                  <w:szCs w:val="18"/>
                  <w:color w:val="0000FF"/>
                  <w:w w:val="97"/>
                </w:rPr>
                <w:t>Employment Agreement, effective as of January 9, 2017,</w:t>
              </w:r>
            </w:hyperlink>
          </w:p>
        </w:tc>
        <w:tc>
          <w:tcPr>
            <w:tcW w:w="7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540" w:type="dxa"/>
            <w:vAlign w:val="bottom"/>
          </w:tcPr>
          <w:p>
            <w:pPr>
              <w:ind w:left="2420"/>
              <w:spacing w:after="0"/>
              <w:rPr>
                <w:sz w:val="20"/>
                <w:szCs w:val="20"/>
                <w:color w:val="auto"/>
              </w:rPr>
            </w:pPr>
            <w:r>
              <w:rPr>
                <w:rFonts w:ascii="Arial" w:cs="Arial" w:eastAsia="Arial" w:hAnsi="Arial"/>
                <w:sz w:val="18"/>
                <w:szCs w:val="18"/>
                <w:color w:val="auto"/>
                <w:w w:val="82"/>
              </w:rPr>
              <w:t>X</w:t>
            </w:r>
          </w:p>
        </w:tc>
      </w:tr>
      <w:tr>
        <w:trPr>
          <w:trHeight w:val="196"/>
        </w:trPr>
        <w:tc>
          <w:tcPr>
            <w:tcW w:w="920" w:type="dxa"/>
            <w:vAlign w:val="bottom"/>
          </w:tcPr>
          <w:p>
            <w:pPr>
              <w:spacing w:after="0"/>
              <w:rPr>
                <w:sz w:val="17"/>
                <w:szCs w:val="17"/>
                <w:color w:val="auto"/>
              </w:rPr>
            </w:pPr>
          </w:p>
        </w:tc>
        <w:tc>
          <w:tcPr>
            <w:tcW w:w="4160" w:type="dxa"/>
            <w:vAlign w:val="bottom"/>
            <w:tcBorders>
              <w:top w:val="single" w:sz="8" w:color="0000FF"/>
            </w:tcBorders>
            <w:gridSpan w:val="16"/>
          </w:tcPr>
          <w:p>
            <w:pPr>
              <w:spacing w:after="0" w:line="196" w:lineRule="exact"/>
              <w:rPr>
                <w:rFonts w:ascii="Arial" w:cs="Arial" w:eastAsia="Arial" w:hAnsi="Arial"/>
                <w:sz w:val="18"/>
                <w:szCs w:val="18"/>
                <w:color w:val="0000FF"/>
                <w:w w:val="91"/>
              </w:rPr>
            </w:pPr>
            <w:hyperlink w:anchor="page136">
              <w:r>
                <w:rPr>
                  <w:rFonts w:ascii="Arial" w:cs="Arial" w:eastAsia="Arial" w:hAnsi="Arial"/>
                  <w:sz w:val="18"/>
                  <w:szCs w:val="18"/>
                  <w:color w:val="0000FF"/>
                  <w:w w:val="91"/>
                </w:rPr>
                <w:t>by and between the Registrant and Dominic Piscitelli, as</w:t>
              </w:r>
            </w:hyperlink>
          </w:p>
        </w:tc>
        <w:tc>
          <w:tcPr>
            <w:tcW w:w="26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0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amended.</w:t>
              </w:r>
            </w:hyperlink>
          </w:p>
        </w:tc>
        <w:tc>
          <w:tcPr>
            <w:tcW w:w="3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4420" w:type="dxa"/>
            <w:vAlign w:val="bottom"/>
            <w:gridSpan w:val="19"/>
          </w:tcPr>
          <w:p>
            <w:pPr>
              <w:spacing w:after="0"/>
              <w:rPr>
                <w:rFonts w:ascii="Arial" w:cs="Arial" w:eastAsia="Arial" w:hAnsi="Arial"/>
                <w:sz w:val="18"/>
                <w:szCs w:val="18"/>
                <w:color w:val="0000FF"/>
              </w:rPr>
            </w:pPr>
            <w:hyperlink r:id="rId52">
              <w:r>
                <w:rPr>
                  <w:rFonts w:ascii="Arial" w:cs="Arial" w:eastAsia="Arial" w:hAnsi="Arial"/>
                  <w:sz w:val="18"/>
                  <w:szCs w:val="18"/>
                  <w:color w:val="0000FF"/>
                </w:rPr>
                <w:t>Office Lease, dated April 19, 2011, by and between the</w:t>
              </w:r>
            </w:hyperlink>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9"/>
              </w:rPr>
              <w:t>December 23, 2015</w:t>
            </w:r>
          </w:p>
        </w:tc>
      </w:tr>
      <w:tr>
        <w:trPr>
          <w:trHeight w:val="196"/>
        </w:trPr>
        <w:tc>
          <w:tcPr>
            <w:tcW w:w="920" w:type="dxa"/>
            <w:vAlign w:val="bottom"/>
          </w:tcPr>
          <w:p>
            <w:pPr>
              <w:spacing w:after="0"/>
              <w:rPr>
                <w:sz w:val="17"/>
                <w:szCs w:val="17"/>
                <w:color w:val="auto"/>
              </w:rPr>
            </w:pPr>
          </w:p>
        </w:tc>
        <w:tc>
          <w:tcPr>
            <w:tcW w:w="3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Registrant and Kilroy Realty, L.P., as amended.</w:t>
              </w:r>
            </w:hyperlink>
          </w:p>
        </w:tc>
        <w:tc>
          <w:tcPr>
            <w:tcW w:w="560" w:type="dxa"/>
            <w:vAlign w:val="bottom"/>
            <w:tcBorders>
              <w:top w:val="single" w:sz="8" w:color="0000FF"/>
            </w:tcBorders>
            <w:gridSpan w:val="6"/>
          </w:tcPr>
          <w:p>
            <w:pPr>
              <w:spacing w:after="0"/>
              <w:rPr>
                <w:sz w:val="17"/>
                <w:szCs w:val="17"/>
                <w:color w:val="auto"/>
              </w:rPr>
            </w:pPr>
          </w:p>
        </w:tc>
        <w:tc>
          <w:tcPr>
            <w:tcW w:w="4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3960" w:type="dxa"/>
            <w:vAlign w:val="bottom"/>
            <w:tcBorders>
              <w:bottom w:val="single" w:sz="8" w:color="0000FF"/>
            </w:tcBorders>
            <w:gridSpan w:val="11"/>
          </w:tcPr>
          <w:p>
            <w:pPr>
              <w:spacing w:after="0"/>
              <w:rPr>
                <w:rFonts w:ascii="Arial" w:cs="Arial" w:eastAsia="Arial" w:hAnsi="Arial"/>
                <w:sz w:val="18"/>
                <w:szCs w:val="18"/>
                <w:color w:val="0000FF"/>
                <w:w w:val="91"/>
              </w:rPr>
            </w:pPr>
            <w:hyperlink r:id="rId53">
              <w:r>
                <w:rPr>
                  <w:rFonts w:ascii="Arial" w:cs="Arial" w:eastAsia="Arial" w:hAnsi="Arial"/>
                  <w:sz w:val="18"/>
                  <w:szCs w:val="18"/>
                  <w:color w:val="0000FF"/>
                  <w:w w:val="91"/>
                </w:rPr>
                <w:t>Antibody Generation Agreement, dated December 22,</w:t>
              </w:r>
            </w:hyperlink>
          </w:p>
        </w:tc>
        <w:tc>
          <w:tcPr>
            <w:tcW w:w="460" w:type="dxa"/>
            <w:vAlign w:val="bottom"/>
            <w:gridSpan w:val="8"/>
          </w:tcPr>
          <w:p>
            <w:pPr>
              <w:spacing w:after="0"/>
              <w:rPr>
                <w:sz w:val="21"/>
                <w:szCs w:val="21"/>
                <w:color w:val="auto"/>
              </w:rPr>
            </w:pPr>
          </w:p>
        </w:tc>
        <w:tc>
          <w:tcPr>
            <w:tcW w:w="780" w:type="dxa"/>
            <w:vAlign w:val="bottom"/>
          </w:tcPr>
          <w:p>
            <w:pPr>
              <w:ind w:left="240"/>
              <w:spacing w:after="0"/>
              <w:rPr>
                <w:sz w:val="20"/>
                <w:szCs w:val="20"/>
                <w:color w:val="auto"/>
              </w:rPr>
            </w:pPr>
            <w:r>
              <w:rPr>
                <w:rFonts w:ascii="Arial" w:cs="Arial" w:eastAsia="Arial" w:hAnsi="Arial"/>
                <w:sz w:val="18"/>
                <w:szCs w:val="18"/>
                <w:color w:val="auto"/>
              </w:rPr>
              <w:t>S-1</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333-206849</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10.9</w:t>
            </w:r>
          </w:p>
        </w:tc>
        <w:tc>
          <w:tcPr>
            <w:tcW w:w="2540" w:type="dxa"/>
            <w:vAlign w:val="bottom"/>
          </w:tcPr>
          <w:p>
            <w:pPr>
              <w:jc w:val="center"/>
              <w:ind w:right="430"/>
              <w:spacing w:after="0"/>
              <w:rPr>
                <w:sz w:val="20"/>
                <w:szCs w:val="20"/>
                <w:color w:val="auto"/>
              </w:rPr>
            </w:pPr>
            <w:r>
              <w:rPr>
                <w:rFonts w:ascii="Arial" w:cs="Arial" w:eastAsia="Arial" w:hAnsi="Arial"/>
                <w:sz w:val="18"/>
                <w:szCs w:val="18"/>
                <w:color w:val="auto"/>
                <w:w w:val="89"/>
              </w:rPr>
              <w:t>December 28, 2016</w:t>
            </w:r>
          </w:p>
        </w:tc>
      </w:tr>
      <w:tr>
        <w:trPr>
          <w:trHeight w:val="196"/>
        </w:trPr>
        <w:tc>
          <w:tcPr>
            <w:tcW w:w="920" w:type="dxa"/>
            <w:vAlign w:val="bottom"/>
          </w:tcPr>
          <w:p>
            <w:pPr>
              <w:spacing w:after="0"/>
              <w:rPr>
                <w:sz w:val="17"/>
                <w:szCs w:val="17"/>
                <w:color w:val="auto"/>
              </w:rPr>
            </w:pPr>
          </w:p>
        </w:tc>
        <w:tc>
          <w:tcPr>
            <w:tcW w:w="4420" w:type="dxa"/>
            <w:vAlign w:val="bottom"/>
            <w:gridSpan w:val="1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2011, by and between the Registrant and Celgene</w:t>
              </w:r>
            </w:hyperlink>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Corporation, as modified.</w:t>
              </w:r>
            </w:hyperlink>
          </w:p>
        </w:tc>
        <w:tc>
          <w:tcPr>
            <w:tcW w:w="86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507"/>
        </w:trPr>
        <w:tc>
          <w:tcPr>
            <w:tcW w:w="9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18"/>
                <w:szCs w:val="18"/>
                <w:color w:val="auto"/>
              </w:rPr>
              <w:t>104</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960"/>
              <w:spacing w:after="0"/>
              <w:rPr>
                <w:sz w:val="20"/>
                <w:szCs w:val="20"/>
                <w:color w:val="auto"/>
              </w:rPr>
            </w:pPr>
            <w:r>
              <w:rPr>
                <w:rFonts w:ascii="Arial" w:cs="Arial" w:eastAsia="Arial" w:hAnsi="Arial"/>
                <w:sz w:val="14"/>
                <w:szCs w:val="14"/>
                <w:b w:val="1"/>
                <w:bCs w:val="1"/>
                <w:color w:val="auto"/>
                <w:w w:val="94"/>
              </w:rPr>
              <w:t>Incorporated by reference</w:t>
            </w: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46"/>
        </w:trPr>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80" w:type="dxa"/>
            <w:vAlign w:val="bottom"/>
            <w:gridSpan w:val="17"/>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14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8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6"/>
              </w:rPr>
              <w:t>Filing</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17"/>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820" w:type="dxa"/>
            <w:vAlign w:val="bottom"/>
          </w:tcPr>
          <w:p>
            <w:pPr>
              <w:ind w:left="40"/>
              <w:spacing w:after="0" w:line="202"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line="202"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Collaboration and Exclusive License Agreement, dated</w:t>
              </w:r>
            </w:hyperlink>
          </w:p>
        </w:tc>
        <w:tc>
          <w:tcPr>
            <w:tcW w:w="460" w:type="dxa"/>
            <w:vAlign w:val="bottom"/>
            <w:gridSpan w:val="6"/>
          </w:tcPr>
          <w:p>
            <w:pPr>
              <w:spacing w:after="0"/>
              <w:rPr>
                <w:sz w:val="17"/>
                <w:szCs w:val="17"/>
                <w:color w:val="auto"/>
              </w:rPr>
            </w:pPr>
          </w:p>
        </w:tc>
        <w:tc>
          <w:tcPr>
            <w:tcW w:w="7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line="202" w:lineRule="exact"/>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3"/>
              </w:rPr>
              <w:t>May 10, 2016</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March 10, 2014, by and among the Registrant, TESARO,</w:t>
              </w:r>
            </w:hyperlink>
          </w:p>
        </w:tc>
        <w:tc>
          <w:tcPr>
            <w:tcW w:w="3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 and TESARO Development, Ltd., as amended.</w:t>
              </w:r>
            </w:hyperlink>
          </w:p>
        </w:tc>
        <w:tc>
          <w:tcPr>
            <w:tcW w:w="74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1"/>
          </w:tcPr>
          <w:p>
            <w:pPr>
              <w:spacing w:after="0"/>
              <w:rPr>
                <w:rFonts w:ascii="Arial" w:cs="Arial" w:eastAsia="Arial" w:hAnsi="Arial"/>
                <w:sz w:val="18"/>
                <w:szCs w:val="18"/>
                <w:color w:val="0000FF"/>
              </w:rPr>
            </w:pPr>
            <w:hyperlink r:id="rId55">
              <w:r>
                <w:rPr>
                  <w:rFonts w:ascii="Arial" w:cs="Arial" w:eastAsia="Arial" w:hAnsi="Arial"/>
                  <w:sz w:val="18"/>
                  <w:szCs w:val="18"/>
                  <w:color w:val="0000FF"/>
                </w:rPr>
                <w:t>License Agreement, dated August 30, 2006, by and</w:t>
              </w:r>
            </w:hyperlink>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between the Registrant and Medical Research Council, as</w:t>
              </w:r>
            </w:hyperlink>
          </w:p>
        </w:tc>
        <w:tc>
          <w:tcPr>
            <w:tcW w:w="3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tcBorders>
              <w:bottom w:val="single" w:sz="8" w:color="0000FF"/>
            </w:tcBorders>
            <w:gridSpan w:val="10"/>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Non-Exclusive Research and Commercial License</w:t>
              </w:r>
            </w:hyperlink>
          </w:p>
        </w:tc>
        <w:tc>
          <w:tcPr>
            <w:tcW w:w="760" w:type="dxa"/>
            <w:vAlign w:val="bottom"/>
            <w:gridSpan w:val="11"/>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September 9, 2015</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Agreement, dated May 15, 2009, by and between the</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Registrant and Millipore Corporation.</w:t>
              </w:r>
            </w:hyperlink>
          </w:p>
        </w:tc>
        <w:tc>
          <w:tcPr>
            <w:tcW w:w="1080" w:type="dxa"/>
            <w:vAlign w:val="bottom"/>
            <w:tcBorders>
              <w:top w:val="single" w:sz="8" w:color="0000FF"/>
            </w:tcBorders>
            <w:gridSpan w:val="4"/>
          </w:tcPr>
          <w:p>
            <w:pPr>
              <w:spacing w:after="0"/>
              <w:rPr>
                <w:sz w:val="17"/>
                <w:szCs w:val="17"/>
                <w:color w:val="auto"/>
              </w:rPr>
            </w:pPr>
          </w:p>
        </w:tc>
        <w:tc>
          <w:tcPr>
            <w:tcW w:w="64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60" w:type="dxa"/>
            <w:vAlign w:val="bottom"/>
            <w:tcBorders>
              <w:bottom w:val="single" w:sz="8" w:color="0000FF"/>
            </w:tcBorders>
            <w:gridSpan w:val="18"/>
          </w:tcPr>
          <w:p>
            <w:pPr>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Loan and Security Agreement, dated December 24, 2014,</w:t>
              </w:r>
            </w:hyperlink>
          </w:p>
        </w:tc>
        <w:tc>
          <w:tcPr>
            <w:tcW w:w="300" w:type="dxa"/>
            <w:vAlign w:val="bottom"/>
            <w:gridSpan w:val="3"/>
          </w:tcPr>
          <w:p>
            <w:pPr>
              <w:spacing w:after="0"/>
              <w:rPr>
                <w:sz w:val="21"/>
                <w:szCs w:val="2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February 2, 2016</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by and among the Registrant, Oxford Finance LLC and</w:t>
              </w:r>
            </w:hyperlink>
          </w:p>
        </w:tc>
        <w:tc>
          <w:tcPr>
            <w:tcW w:w="4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Silicon Valley Bank, as amended.</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149">
              <w:r>
                <w:rPr>
                  <w:rFonts w:ascii="Arial" w:cs="Arial" w:eastAsia="Arial" w:hAnsi="Arial"/>
                  <w:sz w:val="18"/>
                  <w:szCs w:val="18"/>
                  <w:color w:val="0000FF"/>
                  <w:w w:val="89"/>
                </w:rPr>
                <w:t>Subsidiaries of the Registrant.</w:t>
              </w:r>
            </w:hyperlink>
          </w:p>
        </w:tc>
        <w:tc>
          <w:tcPr>
            <w:tcW w:w="240" w:type="dxa"/>
            <w:vAlign w:val="bottom"/>
            <w:tcBorders>
              <w:top w:val="single" w:sz="8" w:color="0000FF"/>
            </w:tcBorders>
            <w:gridSpan w:val="3"/>
          </w:tcPr>
          <w:p>
            <w:pPr>
              <w:spacing w:after="0"/>
              <w:rPr>
                <w:sz w:val="21"/>
                <w:szCs w:val="21"/>
                <w:color w:val="auto"/>
              </w:rPr>
            </w:pPr>
          </w:p>
        </w:tc>
        <w:tc>
          <w:tcPr>
            <w:tcW w:w="2040" w:type="dxa"/>
            <w:vAlign w:val="bottom"/>
            <w:gridSpan w:val="14"/>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4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150">
              <w:r>
                <w:rPr>
                  <w:rFonts w:ascii="Arial" w:cs="Arial" w:eastAsia="Arial" w:hAnsi="Arial"/>
                  <w:sz w:val="18"/>
                  <w:szCs w:val="18"/>
                  <w:color w:val="0000FF"/>
                  <w:w w:val="90"/>
                </w:rPr>
                <w:t>Consent of KPMG LLP, an independent registered public</w:t>
              </w:r>
            </w:hyperlink>
          </w:p>
        </w:tc>
        <w:tc>
          <w:tcPr>
            <w:tcW w:w="320" w:type="dxa"/>
            <w:vAlign w:val="bottom"/>
            <w:gridSpan w:val="4"/>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w:anchor="page150">
              <w:r>
                <w:rPr>
                  <w:rFonts w:ascii="Arial" w:cs="Arial" w:eastAsia="Arial" w:hAnsi="Arial"/>
                  <w:sz w:val="18"/>
                  <w:szCs w:val="18"/>
                  <w:color w:val="0000FF"/>
                  <w:w w:val="92"/>
                </w:rPr>
                <w:t>accounting firm.</w:t>
              </w:r>
            </w:hyperlink>
          </w:p>
        </w:tc>
        <w:tc>
          <w:tcPr>
            <w:tcW w:w="3260" w:type="dxa"/>
            <w:vAlign w:val="bottom"/>
            <w:gridSpan w:val="19"/>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1"/>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Power of Attorney</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2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151">
              <w:r>
                <w:rPr>
                  <w:rFonts w:ascii="Arial" w:cs="Arial" w:eastAsia="Arial" w:hAnsi="Arial"/>
                  <w:sz w:val="18"/>
                  <w:szCs w:val="18"/>
                  <w:color w:val="0000FF"/>
                  <w:w w:val="92"/>
                </w:rPr>
                <w:t>Certification of Principal Executive Officer, pursuant to</w:t>
              </w:r>
            </w:hyperlink>
          </w:p>
        </w:tc>
        <w:tc>
          <w:tcPr>
            <w:tcW w:w="440" w:type="dxa"/>
            <w:vAlign w:val="bottom"/>
            <w:gridSpan w:val="5"/>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w w:val="96"/>
              </w:rPr>
            </w:pPr>
            <w:hyperlink w:anchor="page151">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51">
              <w:r>
                <w:rPr>
                  <w:rFonts w:ascii="Arial" w:cs="Arial" w:eastAsia="Arial" w:hAnsi="Arial"/>
                  <w:sz w:val="18"/>
                  <w:szCs w:val="18"/>
                  <w:color w:val="0000FF"/>
                </w:rPr>
                <w:t>302 of the Sarbanes-Oxley Act of 2002.</w:t>
              </w:r>
            </w:hyperlink>
          </w:p>
        </w:tc>
        <w:tc>
          <w:tcPr>
            <w:tcW w:w="3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tcBorders>
              <w:bottom w:val="single" w:sz="8" w:color="0000FF"/>
            </w:tcBorders>
            <w:gridSpan w:val="14"/>
          </w:tcPr>
          <w:p>
            <w:pP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Certification of Principal Financial Officer, pursuant to</w:t>
              </w:r>
            </w:hyperlink>
          </w:p>
        </w:tc>
        <w:tc>
          <w:tcPr>
            <w:tcW w:w="48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w w:val="96"/>
              </w:rPr>
            </w:pPr>
            <w:hyperlink w:anchor="page152">
              <w:r>
                <w:rPr>
                  <w:rFonts w:ascii="Arial" w:cs="Arial" w:eastAsia="Arial" w:hAnsi="Arial"/>
                  <w:sz w:val="18"/>
                  <w:szCs w:val="18"/>
                  <w:color w:val="0000FF"/>
                  <w:w w:val="96"/>
                </w:rPr>
                <w:t>Rule 13a-14(a)/15d-14(a), as adopted pursuant to Section</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w:anchor="page152">
              <w:r>
                <w:rPr>
                  <w:rFonts w:ascii="Arial" w:cs="Arial" w:eastAsia="Arial" w:hAnsi="Arial"/>
                  <w:sz w:val="18"/>
                  <w:szCs w:val="18"/>
                  <w:color w:val="0000FF"/>
                </w:rPr>
                <w:t>302 of the Sarbanes-Oxley Act of 2002.</w:t>
              </w:r>
            </w:hyperlink>
          </w:p>
        </w:tc>
        <w:tc>
          <w:tcPr>
            <w:tcW w:w="3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153">
              <w:r>
                <w:rPr>
                  <w:rFonts w:ascii="Arial" w:cs="Arial" w:eastAsia="Arial" w:hAnsi="Arial"/>
                  <w:sz w:val="18"/>
                  <w:szCs w:val="18"/>
                  <w:color w:val="0000FF"/>
                  <w:w w:val="92"/>
                </w:rPr>
                <w:t>Certification of Chief Executive Officer, pursuant to 18</w:t>
              </w:r>
            </w:hyperlink>
          </w:p>
        </w:tc>
        <w:tc>
          <w:tcPr>
            <w:tcW w:w="460" w:type="dxa"/>
            <w:vAlign w:val="bottom"/>
            <w:gridSpan w:val="6"/>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w w:val="93"/>
              </w:rPr>
            </w:pPr>
            <w:hyperlink w:anchor="page153">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w:anchor="page153">
              <w:r>
                <w:rPr>
                  <w:rFonts w:ascii="Arial" w:cs="Arial" w:eastAsia="Arial" w:hAnsi="Arial"/>
                  <w:sz w:val="18"/>
                  <w:szCs w:val="18"/>
                  <w:color w:val="0000FF"/>
                  <w:w w:val="91"/>
                </w:rPr>
                <w:t>the Sarbanes-Oxley Act of 2002.</w:t>
              </w:r>
            </w:hyperlink>
          </w:p>
        </w:tc>
        <w:tc>
          <w:tcPr>
            <w:tcW w:w="1880" w:type="dxa"/>
            <w:vAlign w:val="bottom"/>
            <w:tcBorders>
              <w:top w:val="single" w:sz="8" w:color="0000FF"/>
            </w:tcBorders>
            <w:gridSpan w:val="13"/>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60" w:type="dxa"/>
            <w:vAlign w:val="bottom"/>
            <w:gridSpan w:val="21"/>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Certification of Chief Financial Officer, pursuant to 18</w:t>
              </w:r>
            </w:hyperlink>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shd w:val="clear" w:color="auto" w:fill="0000FF"/>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1"/>
          </w:tcPr>
          <w:p>
            <w:pPr>
              <w:spacing w:after="0" w:line="196" w:lineRule="exact"/>
              <w:rPr>
                <w:rFonts w:ascii="Arial" w:cs="Arial" w:eastAsia="Arial" w:hAnsi="Arial"/>
                <w:sz w:val="18"/>
                <w:szCs w:val="18"/>
                <w:color w:val="0000FF"/>
                <w:w w:val="93"/>
              </w:rPr>
            </w:pPr>
            <w:hyperlink w:anchor="page154">
              <w:r>
                <w:rPr>
                  <w:rFonts w:ascii="Arial" w:cs="Arial" w:eastAsia="Arial" w:hAnsi="Arial"/>
                  <w:sz w:val="18"/>
                  <w:szCs w:val="18"/>
                  <w:color w:val="0000FF"/>
                  <w:w w:val="93"/>
                </w:rPr>
                <w:t>U.S.C. Section 1350, as adopted pursuant to Section 906 of</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w:anchor="page154">
              <w:r>
                <w:rPr>
                  <w:rFonts w:ascii="Arial" w:cs="Arial" w:eastAsia="Arial" w:hAnsi="Arial"/>
                  <w:sz w:val="18"/>
                  <w:szCs w:val="18"/>
                  <w:color w:val="0000FF"/>
                  <w:w w:val="90"/>
                </w:rPr>
                <w:t>the Sarbanes-Oxley Act of 2002.</w:t>
              </w:r>
            </w:hyperlink>
          </w:p>
        </w:tc>
        <w:tc>
          <w:tcPr>
            <w:tcW w:w="1900" w:type="dxa"/>
            <w:vAlign w:val="bottom"/>
            <w:tcBorders>
              <w:top w:val="single" w:sz="8" w:color="0000FF"/>
            </w:tcBorders>
            <w:gridSpan w:val="14"/>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3"/>
                <w:szCs w:val="23"/>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Report Instance Document</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101.SCH</w:t>
            </w:r>
          </w:p>
        </w:tc>
        <w:tc>
          <w:tcPr>
            <w:tcW w:w="20" w:type="dxa"/>
            <w:vAlign w:val="bottom"/>
          </w:tcPr>
          <w:p>
            <w:pPr>
              <w:spacing w:after="0"/>
              <w:rPr>
                <w:sz w:val="24"/>
                <w:szCs w:val="24"/>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Taxonomy Extension Schema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101.CAL</w:t>
            </w:r>
          </w:p>
        </w:tc>
        <w:tc>
          <w:tcPr>
            <w:tcW w:w="20" w:type="dxa"/>
            <w:vAlign w:val="bottom"/>
          </w:tcPr>
          <w:p>
            <w:pPr>
              <w:spacing w:after="0"/>
              <w:rPr>
                <w:sz w:val="24"/>
                <w:szCs w:val="24"/>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Taxonomy Calculation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24"/>
                <w:szCs w:val="24"/>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Taxonomy Label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Presentation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101.DEF</w:t>
            </w:r>
          </w:p>
        </w:tc>
        <w:tc>
          <w:tcPr>
            <w:tcW w:w="20" w:type="dxa"/>
            <w:vAlign w:val="bottom"/>
          </w:tcPr>
          <w:p>
            <w:pPr>
              <w:spacing w:after="0"/>
              <w:rPr>
                <w:sz w:val="24"/>
                <w:szCs w:val="24"/>
                <w:color w:val="auto"/>
              </w:rPr>
            </w:pPr>
          </w:p>
        </w:tc>
        <w:tc>
          <w:tcPr>
            <w:tcW w:w="4460" w:type="dxa"/>
            <w:vAlign w:val="bottom"/>
            <w:gridSpan w:val="21"/>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Executive compensation plan or agreement.</w:t>
      </w:r>
    </w:p>
    <w:p>
      <w:pPr>
        <w:spacing w:after="0" w:line="23" w:lineRule="exact"/>
        <w:rPr>
          <w:sz w:val="20"/>
          <w:szCs w:val="20"/>
          <w:color w:val="auto"/>
        </w:rPr>
      </w:pPr>
    </w:p>
    <w:p>
      <w:pPr>
        <w:ind w:left="660" w:right="60" w:hanging="652"/>
        <w:spacing w:after="0" w:line="250"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sz w:val="20"/>
          <w:szCs w:val="20"/>
          <w:color w:val="auto"/>
        </w:rPr>
      </w:pPr>
    </w:p>
    <w:p>
      <w:pPr>
        <w:ind w:left="660" w:right="720" w:hanging="652"/>
        <w:spacing w:after="0" w:line="261"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6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1"/>
          <w:szCs w:val="21"/>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67"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ANAPTYSBIO, INC.</w:t>
      </w:r>
    </w:p>
    <w:p>
      <w:pPr>
        <w:spacing w:after="0" w:line="337" w:lineRule="exact"/>
        <w:rPr>
          <w:sz w:val="20"/>
          <w:szCs w:val="20"/>
          <w:color w:val="auto"/>
        </w:rPr>
      </w:pPr>
    </w:p>
    <w:p>
      <w:pPr>
        <w:ind w:left="64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person whose individual signature appears below hereby authorizes and appoints Hamza Suria and Dominic G. Piscitelli,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40" w:type="dxa"/>
            <w:vAlign w:val="bottom"/>
          </w:tcPr>
          <w:p>
            <w:pPr>
              <w:spacing w:after="0"/>
              <w:rPr>
                <w:sz w:val="16"/>
                <w:szCs w:val="16"/>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8"/>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Hamza Suria</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President, Chief Executive Officer and Director</w:t>
            </w:r>
          </w:p>
        </w:tc>
        <w:tc>
          <w:tcPr>
            <w:tcW w:w="2060" w:type="dxa"/>
            <w:vAlign w:val="bottom"/>
          </w:tcPr>
          <w:p>
            <w:pPr>
              <w:spacing w:after="0"/>
              <w:rPr>
                <w:sz w:val="24"/>
                <w:szCs w:val="24"/>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340" w:type="dxa"/>
            <w:vAlign w:val="bottom"/>
          </w:tcPr>
          <w:p>
            <w:pPr>
              <w:spacing w:after="0"/>
              <w:rPr>
                <w:sz w:val="20"/>
                <w:szCs w:val="20"/>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(Principal Executive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5"/>
              </w:rPr>
              <w:t>/s/ Dominic G. Piscitelli</w:t>
            </w:r>
          </w:p>
        </w:tc>
        <w:tc>
          <w:tcPr>
            <w:tcW w:w="340" w:type="dxa"/>
            <w:vAlign w:val="bottom"/>
          </w:tcPr>
          <w:p>
            <w:pPr>
              <w:spacing w:after="0"/>
              <w:rPr>
                <w:sz w:val="24"/>
                <w:szCs w:val="24"/>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Chief Financial Officer</w:t>
            </w:r>
          </w:p>
        </w:tc>
        <w:tc>
          <w:tcPr>
            <w:tcW w:w="2060" w:type="dxa"/>
            <w:vAlign w:val="bottom"/>
          </w:tcPr>
          <w:p>
            <w:pPr>
              <w:spacing w:after="0"/>
              <w:rPr>
                <w:sz w:val="24"/>
                <w:szCs w:val="24"/>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340" w:type="dxa"/>
            <w:vAlign w:val="bottom"/>
          </w:tcPr>
          <w:p>
            <w:pPr>
              <w:spacing w:after="0"/>
              <w:rPr>
                <w:sz w:val="20"/>
                <w:szCs w:val="20"/>
                <w:color w:val="auto"/>
              </w:rPr>
            </w:pPr>
          </w:p>
        </w:tc>
        <w:tc>
          <w:tcPr>
            <w:tcW w:w="4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(Principal Accounting and Financial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473"/>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Carol G. Gallagher</w:t>
            </w:r>
          </w:p>
        </w:tc>
        <w:tc>
          <w:tcPr>
            <w:tcW w:w="340" w:type="dxa"/>
            <w:vAlign w:val="bottom"/>
          </w:tcPr>
          <w:p>
            <w:pPr>
              <w:spacing w:after="0"/>
              <w:rPr>
                <w:sz w:val="24"/>
                <w:szCs w:val="24"/>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1"/>
              </w:rPr>
              <w:t>Carol G. Gallagher, Pharm.D.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Nicholas B. Lydon</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Nicholas B. Lydon, Ph.D., FRS</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 Hollings Renton</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0"/>
              </w:rPr>
              <w:t>/s/ John Schmid</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 James A. Schoeneck</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7"/>
              </w:rPr>
              <w:t>James A. Schoeneck</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88"/>
              </w:rPr>
              <w:t>/s/ James N. Topper</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70"/>
        </w:trPr>
        <w:tc>
          <w:tcPr>
            <w:tcW w:w="4240" w:type="dxa"/>
            <w:vAlign w:val="bottom"/>
          </w:tcPr>
          <w:p>
            <w:pPr>
              <w:jc w:val="center"/>
              <w:spacing w:after="0"/>
              <w:rPr>
                <w:sz w:val="20"/>
                <w:szCs w:val="20"/>
                <w:color w:val="auto"/>
              </w:rPr>
            </w:pPr>
            <w:r>
              <w:rPr>
                <w:rFonts w:ascii="Arial" w:cs="Arial" w:eastAsia="Arial" w:hAnsi="Arial"/>
                <w:sz w:val="18"/>
                <w:szCs w:val="18"/>
                <w:color w:val="auto"/>
                <w:w w:val="91"/>
              </w:rPr>
              <w:t>/s/ J. Anthony Ware</w:t>
            </w:r>
          </w:p>
        </w:tc>
        <w:tc>
          <w:tcPr>
            <w:tcW w:w="340" w:type="dxa"/>
            <w:vAlign w:val="bottom"/>
          </w:tcPr>
          <w:p>
            <w:pPr>
              <w:spacing w:after="0"/>
              <w:rPr>
                <w:sz w:val="23"/>
                <w:szCs w:val="23"/>
                <w:color w:val="auto"/>
              </w:rPr>
            </w:pPr>
          </w:p>
        </w:tc>
        <w:tc>
          <w:tcPr>
            <w:tcW w:w="478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March 5, 2018</w:t>
            </w:r>
          </w:p>
        </w:tc>
      </w:tr>
      <w:tr>
        <w:trPr>
          <w:trHeight w:val="27"/>
        </w:trPr>
        <w:tc>
          <w:tcPr>
            <w:tcW w:w="4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J. Anthony Ware, M.D.</w:t>
            </w: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86"/>
        </w:trPr>
        <w:tc>
          <w:tcPr>
            <w:tcW w:w="4240" w:type="dxa"/>
            <w:vAlign w:val="bottom"/>
          </w:tcPr>
          <w:p>
            <w:pPr>
              <w:spacing w:after="0"/>
              <w:rPr>
                <w:sz w:val="24"/>
                <w:szCs w:val="24"/>
                <w:color w:val="auto"/>
              </w:rPr>
            </w:pPr>
          </w:p>
        </w:tc>
        <w:tc>
          <w:tcPr>
            <w:tcW w:w="4780" w:type="dxa"/>
            <w:vAlign w:val="bottom"/>
            <w:gridSpan w:val="2"/>
          </w:tcPr>
          <w:p>
            <w:pPr>
              <w:jc w:val="right"/>
              <w:ind w:right="3091"/>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EMPLOYMENT AGREEMENT</w:t>
      </w:r>
    </w:p>
    <w:p>
      <w:pPr>
        <w:spacing w:after="0" w:line="194" w:lineRule="exact"/>
        <w:rPr>
          <w:sz w:val="20"/>
          <w:szCs w:val="20"/>
          <w:color w:val="auto"/>
        </w:rPr>
      </w:pPr>
    </w:p>
    <w:p>
      <w:pPr>
        <w:ind w:right="80" w:firstLine="648"/>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effective as of January 26, 2018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xml:space="preserve">”) by and among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Hamza Suria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The Company and Executive are hereinafter collectively referred to as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and individually referred to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This Employment Agreement amends and restates any prior employment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The Company desires to continue to employ Executive and Executive is willing to continue to accept such employment by Company, on the terms and subject to the conditions set forth in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84" w:lineRule="exact"/>
        <w:rPr>
          <w:sz w:val="20"/>
          <w:szCs w:val="20"/>
          <w:color w:val="auto"/>
        </w:rPr>
      </w:pPr>
    </w:p>
    <w:p>
      <w:pPr>
        <w:ind w:left="1460" w:hanging="804"/>
        <w:spacing w:after="0"/>
        <w:tabs>
          <w:tab w:leader="none" w:pos="1460" w:val="left"/>
        </w:tabs>
        <w:numPr>
          <w:ilvl w:val="0"/>
          <w:numId w:val="57"/>
        </w:numPr>
        <w:rPr>
          <w:rFonts w:ascii="Arial" w:cs="Arial" w:eastAsia="Arial" w:hAnsi="Arial"/>
          <w:sz w:val="20"/>
          <w:szCs w:val="20"/>
          <w:b w:val="1"/>
          <w:bCs w:val="1"/>
          <w:color w:val="010000"/>
        </w:rPr>
      </w:pPr>
      <w:r>
        <w:rPr>
          <w:rFonts w:ascii="Arial" w:cs="Arial" w:eastAsia="Arial" w:hAnsi="Arial"/>
          <w:sz w:val="20"/>
          <w:szCs w:val="20"/>
          <w:b w:val="1"/>
          <w:bCs w:val="1"/>
          <w:color w:val="auto"/>
        </w:rPr>
        <w:t>EMPLOYMENT.</w:t>
      </w:r>
    </w:p>
    <w:p>
      <w:pPr>
        <w:spacing w:after="0" w:line="238" w:lineRule="exact"/>
        <w:rPr>
          <w:sz w:val="20"/>
          <w:szCs w:val="20"/>
          <w:color w:val="auto"/>
        </w:rPr>
      </w:pPr>
    </w:p>
    <w:p>
      <w:pPr>
        <w:ind w:right="60" w:firstLine="1297"/>
        <w:spacing w:after="0" w:line="273"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19"/>
          <w:szCs w:val="19"/>
          <w:b w:val="1"/>
          <w:bCs w:val="1"/>
          <w:color w:val="000000"/>
        </w:rPr>
        <w:t>Title</w:t>
      </w:r>
      <w:r>
        <w:rPr>
          <w:rFonts w:ascii="Arial" w:cs="Arial" w:eastAsia="Arial" w:hAnsi="Arial"/>
          <w:sz w:val="19"/>
          <w:szCs w:val="19"/>
          <w:color w:val="000000"/>
        </w:rPr>
        <w:t>. Effective as of the Effective Date, Executive’s position shall be Chief Executive Officer and President of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Company, subject to the terms and conditions set forth in this Agreement. Executive shall also serve as a member of the Company’s Board of Directors (the “</w:t>
      </w:r>
      <w:r>
        <w:rPr>
          <w:rFonts w:ascii="Arial" w:cs="Arial" w:eastAsia="Arial" w:hAnsi="Arial"/>
          <w:sz w:val="19"/>
          <w:szCs w:val="19"/>
          <w:b w:val="1"/>
          <w:bCs w:val="1"/>
          <w:i w:val="1"/>
          <w:iCs w:val="1"/>
          <w:color w:val="000000"/>
        </w:rPr>
        <w:t>Board</w:t>
      </w:r>
      <w:r>
        <w:rPr>
          <w:rFonts w:ascii="Arial" w:cs="Arial" w:eastAsia="Arial" w:hAnsi="Arial"/>
          <w:sz w:val="19"/>
          <w:szCs w:val="19"/>
          <w:color w:val="000000"/>
        </w:rPr>
        <w:t>”) for so long as he continues to serve as Chief Executive Officer. At such time as Executive’s service as Chief Executive Officer terminates, he agrees to immediately resign as a member of the Board.</w:t>
      </w:r>
    </w:p>
    <w:p>
      <w:pPr>
        <w:spacing w:after="0" w:line="183" w:lineRule="exact"/>
        <w:rPr>
          <w:sz w:val="20"/>
          <w:szCs w:val="20"/>
          <w:color w:val="auto"/>
        </w:rPr>
      </w:pPr>
    </w:p>
    <w:p>
      <w:pPr>
        <w:ind w:right="180" w:firstLine="1297"/>
        <w:spacing w:after="0" w:line="263" w:lineRule="auto"/>
        <w:rPr>
          <w:sz w:val="20"/>
          <w:szCs w:val="20"/>
          <w:color w:val="auto"/>
        </w:rPr>
      </w:pPr>
      <w:r>
        <w:rPr>
          <w:rFonts w:ascii="Arial" w:cs="Arial" w:eastAsia="Arial" w:hAnsi="Arial"/>
          <w:sz w:val="22"/>
          <w:szCs w:val="22"/>
          <w:b w:val="1"/>
          <w:bCs w:val="1"/>
          <w:color w:val="010000"/>
        </w:rPr>
        <w:t xml:space="preserve">1.2 </w:t>
      </w:r>
      <w:r>
        <w:rPr>
          <w:rFonts w:ascii="Arial" w:cs="Arial" w:eastAsia="Arial" w:hAnsi="Arial"/>
          <w:sz w:val="19"/>
          <w:szCs w:val="19"/>
          <w:b w:val="1"/>
          <w:bCs w:val="1"/>
          <w:color w:val="000000"/>
        </w:rPr>
        <w:t>Term</w:t>
      </w:r>
      <w:r>
        <w:rPr>
          <w:rFonts w:ascii="Arial" w:cs="Arial" w:eastAsia="Arial" w:hAnsi="Arial"/>
          <w:sz w:val="19"/>
          <w:szCs w:val="19"/>
          <w:color w:val="000000"/>
        </w:rPr>
        <w:t>. The term of this Agreement shall begin on the Effective Date and shall continue until it is terminated pursuant to</w:t>
      </w:r>
      <w:r>
        <w:rPr>
          <w:rFonts w:ascii="Arial" w:cs="Arial" w:eastAsia="Arial" w:hAnsi="Arial"/>
          <w:sz w:val="22"/>
          <w:szCs w:val="22"/>
          <w:b w:val="1"/>
          <w:bCs w:val="1"/>
          <w:color w:val="010000"/>
        </w:rPr>
        <w:t xml:space="preserve"> </w:t>
      </w:r>
      <w:r>
        <w:rPr>
          <w:rFonts w:ascii="Arial" w:cs="Arial" w:eastAsia="Arial" w:hAnsi="Arial"/>
          <w:sz w:val="19"/>
          <w:szCs w:val="19"/>
          <w:color w:val="000000"/>
        </w:rPr>
        <w:t>Section 4 herein (the “</w:t>
      </w:r>
      <w:r>
        <w:rPr>
          <w:rFonts w:ascii="Arial" w:cs="Arial" w:eastAsia="Arial" w:hAnsi="Arial"/>
          <w:sz w:val="19"/>
          <w:szCs w:val="19"/>
          <w:b w:val="1"/>
          <w:bCs w:val="1"/>
          <w:i w:val="1"/>
          <w:iCs w:val="1"/>
          <w:color w:val="000000"/>
        </w:rPr>
        <w:t>Term</w:t>
      </w:r>
      <w:r>
        <w:rPr>
          <w:rFonts w:ascii="Arial" w:cs="Arial" w:eastAsia="Arial" w:hAnsi="Arial"/>
          <w:sz w:val="19"/>
          <w:szCs w:val="19"/>
          <w:color w:val="000000"/>
        </w:rPr>
        <w:t>”).</w:t>
      </w:r>
    </w:p>
    <w:p>
      <w:pPr>
        <w:spacing w:after="0" w:line="188" w:lineRule="exact"/>
        <w:rPr>
          <w:sz w:val="20"/>
          <w:szCs w:val="20"/>
          <w:color w:val="auto"/>
        </w:rPr>
      </w:pPr>
    </w:p>
    <w:p>
      <w:pPr>
        <w:ind w:right="100" w:firstLine="1297"/>
        <w:spacing w:after="0" w:line="272" w:lineRule="auto"/>
        <w:rPr>
          <w:sz w:val="20"/>
          <w:szCs w:val="20"/>
          <w:color w:val="auto"/>
        </w:rPr>
      </w:pPr>
      <w:r>
        <w:rPr>
          <w:rFonts w:ascii="Arial" w:cs="Arial" w:eastAsia="Arial" w:hAnsi="Arial"/>
          <w:sz w:val="22"/>
          <w:szCs w:val="22"/>
          <w:b w:val="1"/>
          <w:bCs w:val="1"/>
          <w:color w:val="010000"/>
        </w:rPr>
        <w:t xml:space="preserve">1.3 </w:t>
      </w:r>
      <w:r>
        <w:rPr>
          <w:rFonts w:ascii="Arial" w:cs="Arial" w:eastAsia="Arial" w:hAnsi="Arial"/>
          <w:sz w:val="19"/>
          <w:szCs w:val="19"/>
          <w:b w:val="1"/>
          <w:bCs w:val="1"/>
          <w:color w:val="000000"/>
        </w:rPr>
        <w:t>Duties</w:t>
      </w:r>
      <w:r>
        <w:rPr>
          <w:rFonts w:ascii="Arial" w:cs="Arial" w:eastAsia="Arial" w:hAnsi="Arial"/>
          <w:sz w:val="19"/>
          <w:szCs w:val="19"/>
          <w:color w:val="000000"/>
        </w:rPr>
        <w:t>. Executive shall do and perform all services, acts or things necessary or advisable to manage and conduct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business of the Company and that are normally associated with the position of Chief Executive Officer and President. Executive shall report to the Board.</w:t>
      </w:r>
    </w:p>
    <w:p>
      <w:pPr>
        <w:spacing w:after="0" w:line="178" w:lineRule="exact"/>
        <w:rPr>
          <w:sz w:val="20"/>
          <w:szCs w:val="20"/>
          <w:color w:val="auto"/>
        </w:rPr>
      </w:pPr>
    </w:p>
    <w:p>
      <w:pPr>
        <w:ind w:right="40" w:firstLine="1297"/>
        <w:spacing w:after="0" w:line="273" w:lineRule="auto"/>
        <w:rPr>
          <w:sz w:val="20"/>
          <w:szCs w:val="20"/>
          <w:color w:val="auto"/>
        </w:rPr>
      </w:pPr>
      <w:r>
        <w:rPr>
          <w:rFonts w:ascii="Arial" w:cs="Arial" w:eastAsia="Arial" w:hAnsi="Arial"/>
          <w:sz w:val="22"/>
          <w:szCs w:val="22"/>
          <w:b w:val="1"/>
          <w:bCs w:val="1"/>
          <w:color w:val="010000"/>
        </w:rPr>
        <w:t xml:space="preserve">1.4 </w:t>
      </w:r>
      <w:r>
        <w:rPr>
          <w:rFonts w:ascii="Arial" w:cs="Arial" w:eastAsia="Arial" w:hAnsi="Arial"/>
          <w:sz w:val="19"/>
          <w:szCs w:val="19"/>
          <w:b w:val="1"/>
          <w:bCs w:val="1"/>
          <w:color w:val="000000"/>
        </w:rPr>
        <w:t>Policies and Practices</w:t>
      </w:r>
      <w:r>
        <w:rPr>
          <w:rFonts w:ascii="Arial" w:cs="Arial" w:eastAsia="Arial" w:hAnsi="Arial"/>
          <w:sz w:val="19"/>
          <w:szCs w:val="19"/>
          <w:color w:val="000000"/>
        </w:rPr>
        <w:t>. The employment relationship between the Parties shall be governed by this Agreement and by</w:t>
      </w:r>
      <w:r>
        <w:rPr>
          <w:rFonts w:ascii="Arial" w:cs="Arial" w:eastAsia="Arial" w:hAnsi="Arial"/>
          <w:sz w:val="22"/>
          <w:szCs w:val="22"/>
          <w:b w:val="1"/>
          <w:bCs w:val="1"/>
          <w:color w:val="010000"/>
        </w:rPr>
        <w:t xml:space="preserve"> </w:t>
      </w:r>
      <w:r>
        <w:rPr>
          <w:rFonts w:ascii="Arial" w:cs="Arial" w:eastAsia="Arial" w:hAnsi="Arial"/>
          <w:sz w:val="19"/>
          <w:szCs w:val="19"/>
          <w:color w:val="000000"/>
        </w:rPr>
        <w:t>the policies and 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83" w:lineRule="exact"/>
        <w:rPr>
          <w:sz w:val="20"/>
          <w:szCs w:val="20"/>
          <w:color w:val="auto"/>
        </w:rPr>
      </w:pPr>
    </w:p>
    <w:p>
      <w:pPr>
        <w:ind w:firstLine="1297"/>
        <w:spacing w:after="0" w:line="310" w:lineRule="auto"/>
        <w:rPr>
          <w:sz w:val="20"/>
          <w:szCs w:val="20"/>
          <w:color w:val="auto"/>
        </w:rPr>
      </w:pPr>
      <w:r>
        <w:rPr>
          <w:rFonts w:ascii="Arial" w:cs="Arial" w:eastAsia="Arial" w:hAnsi="Arial"/>
          <w:sz w:val="21"/>
          <w:szCs w:val="21"/>
          <w:b w:val="1"/>
          <w:bCs w:val="1"/>
          <w:color w:val="010000"/>
        </w:rPr>
        <w:t xml:space="preserve">1.5 </w:t>
      </w:r>
      <w:r>
        <w:rPr>
          <w:rFonts w:ascii="Arial" w:cs="Arial" w:eastAsia="Arial" w:hAnsi="Arial"/>
          <w:sz w:val="18"/>
          <w:szCs w:val="18"/>
          <w:b w:val="1"/>
          <w:bCs w:val="1"/>
          <w:color w:val="000000"/>
        </w:rPr>
        <w:t>Location</w:t>
      </w:r>
      <w:r>
        <w:rPr>
          <w:rFonts w:ascii="Arial" w:cs="Arial" w:eastAsia="Arial" w:hAnsi="Arial"/>
          <w:sz w:val="18"/>
          <w:szCs w:val="18"/>
          <w:color w:val="000000"/>
        </w:rPr>
        <w:t>. Unless the Parties otherwise agree in writing, during the Term Executive shall perform the services Executive</w:t>
      </w:r>
      <w:r>
        <w:rPr>
          <w:rFonts w:ascii="Arial" w:cs="Arial" w:eastAsia="Arial" w:hAnsi="Arial"/>
          <w:sz w:val="21"/>
          <w:szCs w:val="21"/>
          <w:b w:val="1"/>
          <w:bCs w:val="1"/>
          <w:color w:val="010000"/>
        </w:rPr>
        <w:t xml:space="preserve"> </w:t>
      </w:r>
      <w:r>
        <w:rPr>
          <w:rFonts w:ascii="Arial" w:cs="Arial" w:eastAsia="Arial" w:hAnsi="Arial"/>
          <w:sz w:val="18"/>
          <w:szCs w:val="18"/>
          <w:color w:val="000000"/>
        </w:rPr>
        <w:t xml:space="preserve">is required to perform pursuant to this Agreement at the Company’s offices in San Diego, California, </w:t>
      </w:r>
      <w:r>
        <w:rPr>
          <w:rFonts w:ascii="Arial" w:cs="Arial" w:eastAsia="Arial" w:hAnsi="Arial"/>
          <w:sz w:val="18"/>
          <w:szCs w:val="18"/>
          <w:i w:val="1"/>
          <w:iCs w:val="1"/>
          <w:color w:val="000000"/>
        </w:rPr>
        <w:t>provided</w:t>
      </w:r>
      <w:r>
        <w:rPr>
          <w:rFonts w:ascii="Arial" w:cs="Arial" w:eastAsia="Arial" w:hAnsi="Arial"/>
          <w:sz w:val="18"/>
          <w:szCs w:val="18"/>
          <w:color w:val="000000"/>
        </w:rPr>
        <w:t xml:space="preserve">, </w:t>
      </w:r>
      <w:r>
        <w:rPr>
          <w:rFonts w:ascii="Arial" w:cs="Arial" w:eastAsia="Arial" w:hAnsi="Arial"/>
          <w:sz w:val="18"/>
          <w:szCs w:val="18"/>
          <w:i w:val="1"/>
          <w:iCs w:val="1"/>
          <w:color w:val="000000"/>
        </w:rPr>
        <w:t>however</w:t>
      </w:r>
      <w:r>
        <w:rPr>
          <w:rFonts w:ascii="Arial" w:cs="Arial" w:eastAsia="Arial" w:hAnsi="Arial"/>
          <w:sz w:val="18"/>
          <w:szCs w:val="18"/>
          <w:color w:val="000000"/>
        </w:rPr>
        <w:t>, that the Company may from time to time require Executive to travel temporarily to other locations in connection with the Company’s business.</w:t>
      </w:r>
    </w:p>
    <w:p>
      <w:pPr>
        <w:sectPr>
          <w:pgSz w:w="11900" w:h="16838" w:orient="portrait"/>
          <w:cols w:equalWidth="0" w:num="1">
            <w:col w:w="11400"/>
          </w:cols>
          <w:pgMar w:left="240" w:top="832" w:right="259" w:bottom="1440" w:gutter="0" w:footer="0" w:header="0"/>
        </w:sectPr>
      </w:pPr>
    </w:p>
    <w:bookmarkStart w:id="109" w:name="page110"/>
    <w:bookmarkEnd w:id="109"/>
    <w:p>
      <w:pPr>
        <w:ind w:left="1000" w:hanging="344"/>
        <w:spacing w:after="0"/>
        <w:tabs>
          <w:tab w:leader="none" w:pos="1000" w:val="left"/>
        </w:tabs>
        <w:numPr>
          <w:ilvl w:val="0"/>
          <w:numId w:val="58"/>
        </w:numPr>
        <w:rPr>
          <w:rFonts w:ascii="Arial" w:cs="Arial" w:eastAsia="Arial" w:hAnsi="Arial"/>
          <w:sz w:val="22"/>
          <w:szCs w:val="22"/>
          <w:b w:val="1"/>
          <w:bCs w:val="1"/>
          <w:color w:val="010000"/>
        </w:rPr>
      </w:pPr>
      <w:r>
        <w:rPr>
          <w:rFonts w:ascii="Arial" w:cs="Arial" w:eastAsia="Arial" w:hAnsi="Arial"/>
          <w:sz w:val="20"/>
          <w:szCs w:val="20"/>
          <w:b w:val="1"/>
          <w:bCs w:val="1"/>
          <w:color w:val="auto"/>
        </w:rPr>
        <w:t>LOYALTY; NONCOMPETITION; NONSOLICITATION.</w:t>
      </w:r>
    </w:p>
    <w:p>
      <w:pPr>
        <w:spacing w:after="0" w:line="215" w:lineRule="exact"/>
        <w:rPr>
          <w:sz w:val="20"/>
          <w:szCs w:val="20"/>
          <w:color w:val="auto"/>
        </w:rPr>
      </w:pPr>
    </w:p>
    <w:p>
      <w:pPr>
        <w:ind w:right="160" w:firstLine="1297"/>
        <w:spacing w:after="0" w:line="263"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19"/>
          <w:szCs w:val="19"/>
          <w:b w:val="1"/>
          <w:bCs w:val="1"/>
          <w:color w:val="000000"/>
        </w:rPr>
        <w:t>Loyalty</w:t>
      </w:r>
      <w:r>
        <w:rPr>
          <w:rFonts w:ascii="Arial" w:cs="Arial" w:eastAsia="Arial" w:hAnsi="Arial"/>
          <w:sz w:val="19"/>
          <w:szCs w:val="19"/>
          <w:color w:val="000000"/>
        </w:rPr>
        <w:t>. During Executive’s employment with the Company, Executive shall devote Executive’s full business energies,</w:t>
      </w:r>
      <w:r>
        <w:rPr>
          <w:rFonts w:ascii="Arial" w:cs="Arial" w:eastAsia="Arial" w:hAnsi="Arial"/>
          <w:sz w:val="22"/>
          <w:szCs w:val="22"/>
          <w:b w:val="1"/>
          <w:bCs w:val="1"/>
          <w:color w:val="010000"/>
        </w:rPr>
        <w:t xml:space="preserve"> </w:t>
      </w:r>
      <w:r>
        <w:rPr>
          <w:rFonts w:ascii="Arial" w:cs="Arial" w:eastAsia="Arial" w:hAnsi="Arial"/>
          <w:sz w:val="19"/>
          <w:szCs w:val="19"/>
          <w:color w:val="000000"/>
        </w:rPr>
        <w:t>interest, abilities and productive time to the proper and efficient performance of Executive’s duties under this Agreement.</w:t>
      </w:r>
    </w:p>
    <w:p>
      <w:pPr>
        <w:spacing w:after="0" w:line="188" w:lineRule="exact"/>
        <w:rPr>
          <w:sz w:val="20"/>
          <w:szCs w:val="20"/>
          <w:color w:val="auto"/>
        </w:rPr>
      </w:pPr>
    </w:p>
    <w:p>
      <w:pPr>
        <w:ind w:right="100" w:firstLine="1297"/>
        <w:spacing w:after="0" w:line="295" w:lineRule="auto"/>
        <w:rPr>
          <w:sz w:val="20"/>
          <w:szCs w:val="20"/>
          <w:color w:val="auto"/>
        </w:rPr>
      </w:pPr>
      <w:r>
        <w:rPr>
          <w:rFonts w:ascii="Arial" w:cs="Arial" w:eastAsia="Arial" w:hAnsi="Arial"/>
          <w:sz w:val="21"/>
          <w:szCs w:val="21"/>
          <w:b w:val="1"/>
          <w:bCs w:val="1"/>
          <w:color w:val="010000"/>
        </w:rPr>
        <w:t xml:space="preserve">2.2 </w:t>
      </w:r>
      <w:r>
        <w:rPr>
          <w:rFonts w:ascii="Arial" w:cs="Arial" w:eastAsia="Arial" w:hAnsi="Arial"/>
          <w:sz w:val="18"/>
          <w:szCs w:val="18"/>
          <w:b w:val="1"/>
          <w:bCs w:val="1"/>
          <w:color w:val="000000"/>
        </w:rPr>
        <w:t>Agreement not to participate in Company’s Competitors</w:t>
      </w:r>
      <w:r>
        <w:rPr>
          <w:rFonts w:ascii="Arial" w:cs="Arial" w:eastAsia="Arial" w:hAnsi="Arial"/>
          <w:sz w:val="18"/>
          <w:szCs w:val="18"/>
          <w:color w:val="000000"/>
        </w:rPr>
        <w:t>. During Executive’s employment with the Company,</w:t>
      </w:r>
      <w:r>
        <w:rPr>
          <w:rFonts w:ascii="Arial" w:cs="Arial" w:eastAsia="Arial" w:hAnsi="Arial"/>
          <w:sz w:val="21"/>
          <w:szCs w:val="21"/>
          <w:b w:val="1"/>
          <w:bCs w:val="1"/>
          <w:color w:val="010000"/>
        </w:rPr>
        <w:t xml:space="preserve"> </w:t>
      </w:r>
      <w:r>
        <w:rPr>
          <w:rFonts w:ascii="Arial" w:cs="Arial" w:eastAsia="Arial" w:hAnsi="Arial"/>
          <w:sz w:val="18"/>
          <w:szCs w:val="18"/>
          <w:color w:val="000000"/>
        </w:rPr>
        <w:t>Executive agrees not to acquire, assume or participate in, directly or indirectly, any position, investment or interest known by Executive to be adverse or antagonistic to the Company, its business, or prospects, financial or otherwise, or in any company, person, or entity that is, directly or indirectly, in competition with the business of the Company or any of its Affiliates (as defined below). Ownership by Executive, in professionally managed funds over which Executive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8"/>
          <w:szCs w:val="18"/>
          <w:b w:val="1"/>
          <w:bCs w:val="1"/>
          <w:i w:val="1"/>
          <w:iCs w:val="1"/>
          <w:color w:val="000000"/>
        </w:rPr>
        <w:t>Affiliate</w:t>
      </w:r>
      <w:r>
        <w:rPr>
          <w:rFonts w:ascii="Arial" w:cs="Arial" w:eastAsia="Arial" w:hAnsi="Arial"/>
          <w:sz w:val="18"/>
          <w:szCs w:val="18"/>
          <w:color w:val="000000"/>
        </w:rPr>
        <w:t>,” means, with respect to any specific entity, any other entity that, directly or indirectly, through one or more intermediaries, controls, is controlled by or is under common control with such specified entity.</w:t>
      </w:r>
    </w:p>
    <w:p>
      <w:pPr>
        <w:spacing w:after="0" w:line="164" w:lineRule="exact"/>
        <w:rPr>
          <w:sz w:val="20"/>
          <w:szCs w:val="20"/>
          <w:color w:val="auto"/>
        </w:rPr>
      </w:pPr>
    </w:p>
    <w:p>
      <w:pPr>
        <w:ind w:firstLine="1297"/>
        <w:spacing w:after="0" w:line="277" w:lineRule="auto"/>
        <w:rPr>
          <w:sz w:val="20"/>
          <w:szCs w:val="20"/>
          <w:color w:val="auto"/>
        </w:rPr>
      </w:pPr>
      <w:r>
        <w:rPr>
          <w:rFonts w:ascii="Arial" w:cs="Arial" w:eastAsia="Arial" w:hAnsi="Arial"/>
          <w:sz w:val="22"/>
          <w:szCs w:val="22"/>
          <w:b w:val="1"/>
          <w:bCs w:val="1"/>
          <w:color w:val="010000"/>
        </w:rPr>
        <w:t xml:space="preserve">2.3 </w:t>
      </w:r>
      <w:r>
        <w:rPr>
          <w:rFonts w:ascii="Arial" w:cs="Arial" w:eastAsia="Arial" w:hAnsi="Arial"/>
          <w:sz w:val="19"/>
          <w:szCs w:val="19"/>
          <w:b w:val="1"/>
          <w:bCs w:val="1"/>
          <w:color w:val="000000"/>
        </w:rPr>
        <w:t>Covenant not to Compete</w:t>
      </w:r>
      <w:r>
        <w:rPr>
          <w:rFonts w:ascii="Arial" w:cs="Arial" w:eastAsia="Arial" w:hAnsi="Arial"/>
          <w:sz w:val="19"/>
          <w:szCs w:val="19"/>
          <w:color w:val="000000"/>
        </w:rPr>
        <w:t>. During Executive’s employment with the Company, (the “</w:t>
      </w:r>
      <w:r>
        <w:rPr>
          <w:rFonts w:ascii="Arial" w:cs="Arial" w:eastAsia="Arial" w:hAnsi="Arial"/>
          <w:sz w:val="19"/>
          <w:szCs w:val="19"/>
          <w:b w:val="1"/>
          <w:bCs w:val="1"/>
          <w:i w:val="1"/>
          <w:iCs w:val="1"/>
          <w:color w:val="000000"/>
        </w:rPr>
        <w:t>Non-Compete Period</w:t>
      </w:r>
      <w:r>
        <w:rPr>
          <w:rFonts w:ascii="Arial" w:cs="Arial" w:eastAsia="Arial" w:hAnsi="Arial"/>
          <w:sz w:val="19"/>
          <w:szCs w:val="19"/>
          <w:color w:val="000000"/>
        </w:rPr>
        <w:t>”), Executive</w:t>
      </w:r>
      <w:r>
        <w:rPr>
          <w:rFonts w:ascii="Arial" w:cs="Arial" w:eastAsia="Arial" w:hAnsi="Arial"/>
          <w:sz w:val="22"/>
          <w:szCs w:val="22"/>
          <w:b w:val="1"/>
          <w:bCs w:val="1"/>
          <w:color w:val="010000"/>
        </w:rPr>
        <w:t xml:space="preserve"> </w:t>
      </w:r>
      <w:r>
        <w:rPr>
          <w:rFonts w:ascii="Arial" w:cs="Arial" w:eastAsia="Arial" w:hAnsi="Arial"/>
          <w:sz w:val="19"/>
          <w:szCs w:val="19"/>
          <w:color w:val="000000"/>
        </w:rPr>
        <w:t>shall not engage in competition with 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Board. Executive shall be entitled to request written consent of the Board with respect to potential advisory and/or director opportunities presented to Executive by a third party, which Executive believes in good faith will not interfere or compete with the on-going business of the Company, during the Non-Compete Period.</w:t>
      </w:r>
    </w:p>
    <w:p>
      <w:pPr>
        <w:spacing w:after="0" w:line="199" w:lineRule="exact"/>
        <w:rPr>
          <w:sz w:val="20"/>
          <w:szCs w:val="20"/>
          <w:color w:val="auto"/>
        </w:rPr>
      </w:pPr>
    </w:p>
    <w:p>
      <w:pPr>
        <w:ind w:left="1000" w:hanging="344"/>
        <w:spacing w:after="0"/>
        <w:tabs>
          <w:tab w:leader="none" w:pos="1000" w:val="left"/>
        </w:tabs>
        <w:numPr>
          <w:ilvl w:val="0"/>
          <w:numId w:val="59"/>
        </w:numPr>
        <w:rPr>
          <w:rFonts w:ascii="Arial" w:cs="Arial" w:eastAsia="Arial" w:hAnsi="Arial"/>
          <w:sz w:val="22"/>
          <w:szCs w:val="22"/>
          <w:b w:val="1"/>
          <w:bCs w:val="1"/>
          <w:color w:val="010000"/>
        </w:rPr>
      </w:pPr>
      <w:r>
        <w:rPr>
          <w:rFonts w:ascii="Arial" w:cs="Arial" w:eastAsia="Arial" w:hAnsi="Arial"/>
          <w:sz w:val="20"/>
          <w:szCs w:val="20"/>
          <w:b w:val="1"/>
          <w:bCs w:val="1"/>
          <w:color w:val="auto"/>
        </w:rPr>
        <w:t>COMPENSATION OF EXECUTIVE.</w:t>
      </w:r>
    </w:p>
    <w:p>
      <w:pPr>
        <w:spacing w:after="0" w:line="215" w:lineRule="exact"/>
        <w:rPr>
          <w:sz w:val="20"/>
          <w:szCs w:val="20"/>
          <w:color w:val="auto"/>
        </w:rPr>
      </w:pPr>
    </w:p>
    <w:p>
      <w:pPr>
        <w:ind w:firstLine="1297"/>
        <w:spacing w:after="0" w:line="292" w:lineRule="auto"/>
        <w:rPr>
          <w:sz w:val="20"/>
          <w:szCs w:val="20"/>
          <w:color w:val="auto"/>
        </w:rPr>
      </w:pPr>
      <w:r>
        <w:rPr>
          <w:rFonts w:ascii="Arial" w:cs="Arial" w:eastAsia="Arial" w:hAnsi="Arial"/>
          <w:sz w:val="21"/>
          <w:szCs w:val="21"/>
          <w:b w:val="1"/>
          <w:bCs w:val="1"/>
          <w:color w:val="010000"/>
        </w:rPr>
        <w:t xml:space="preserve">3.1 </w:t>
      </w:r>
      <w:r>
        <w:rPr>
          <w:rFonts w:ascii="Arial" w:cs="Arial" w:eastAsia="Arial" w:hAnsi="Arial"/>
          <w:sz w:val="18"/>
          <w:szCs w:val="18"/>
          <w:b w:val="1"/>
          <w:bCs w:val="1"/>
          <w:color w:val="000000"/>
        </w:rPr>
        <w:t>Base Salary</w:t>
      </w:r>
      <w:r>
        <w:rPr>
          <w:rFonts w:ascii="Arial" w:cs="Arial" w:eastAsia="Arial" w:hAnsi="Arial"/>
          <w:sz w:val="18"/>
          <w:szCs w:val="18"/>
          <w:color w:val="000000"/>
        </w:rPr>
        <w:t>. The Company shall pay Executive a base salary at the annualized rate of $547,000 (the “</w:t>
      </w:r>
      <w:r>
        <w:rPr>
          <w:rFonts w:ascii="Arial" w:cs="Arial" w:eastAsia="Arial" w:hAnsi="Arial"/>
          <w:sz w:val="18"/>
          <w:szCs w:val="18"/>
          <w:b w:val="1"/>
          <w:bCs w:val="1"/>
          <w:i w:val="1"/>
          <w:iCs w:val="1"/>
          <w:color w:val="000000"/>
        </w:rPr>
        <w:t>Base Salary</w:t>
      </w:r>
      <w:r>
        <w:rPr>
          <w:rFonts w:ascii="Arial" w:cs="Arial" w:eastAsia="Arial" w:hAnsi="Arial"/>
          <w:sz w:val="18"/>
          <w:szCs w:val="18"/>
          <w:color w:val="000000"/>
        </w:rPr>
        <w:t>”), less</w:t>
      </w:r>
      <w:r>
        <w:rPr>
          <w:rFonts w:ascii="Arial" w:cs="Arial" w:eastAsia="Arial" w:hAnsi="Arial"/>
          <w:sz w:val="21"/>
          <w:szCs w:val="21"/>
          <w:b w:val="1"/>
          <w:bCs w:val="1"/>
          <w:color w:val="010000"/>
        </w:rPr>
        <w:t xml:space="preserve"> </w:t>
      </w:r>
      <w:r>
        <w:rPr>
          <w:rFonts w:ascii="Arial" w:cs="Arial" w:eastAsia="Arial" w:hAnsi="Arial"/>
          <w:sz w:val="18"/>
          <w:szCs w:val="18"/>
          <w:color w:val="000000"/>
        </w:rPr>
        <w:t>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60" w:lineRule="exact"/>
        <w:rPr>
          <w:sz w:val="20"/>
          <w:szCs w:val="20"/>
          <w:color w:val="auto"/>
        </w:rPr>
      </w:pPr>
    </w:p>
    <w:p>
      <w:pPr>
        <w:ind w:right="20" w:firstLine="1297"/>
        <w:spacing w:after="0" w:line="277" w:lineRule="auto"/>
        <w:rPr>
          <w:sz w:val="20"/>
          <w:szCs w:val="20"/>
          <w:color w:val="auto"/>
        </w:rPr>
      </w:pPr>
      <w:r>
        <w:rPr>
          <w:rFonts w:ascii="Arial" w:cs="Arial" w:eastAsia="Arial" w:hAnsi="Arial"/>
          <w:sz w:val="22"/>
          <w:szCs w:val="22"/>
          <w:b w:val="1"/>
          <w:bCs w:val="1"/>
          <w:color w:val="010000"/>
        </w:rPr>
        <w:t xml:space="preserve">3.2 </w:t>
      </w:r>
      <w:r>
        <w:rPr>
          <w:rFonts w:ascii="Arial" w:cs="Arial" w:eastAsia="Arial" w:hAnsi="Arial"/>
          <w:sz w:val="19"/>
          <w:szCs w:val="19"/>
          <w:b w:val="1"/>
          <w:bCs w:val="1"/>
          <w:color w:val="000000"/>
        </w:rPr>
        <w:t>Discretionary Bonus</w:t>
      </w:r>
      <w:r>
        <w:rPr>
          <w:rFonts w:ascii="Arial" w:cs="Arial" w:eastAsia="Arial" w:hAnsi="Arial"/>
          <w:sz w:val="19"/>
          <w:szCs w:val="19"/>
          <w:color w:val="000000"/>
        </w:rPr>
        <w:t>. At the sole discretion of the Board, promptly following each calendar year of employment</w:t>
      </w:r>
      <w:r>
        <w:rPr>
          <w:rFonts w:ascii="Arial" w:cs="Arial" w:eastAsia="Arial" w:hAnsi="Arial"/>
          <w:sz w:val="22"/>
          <w:szCs w:val="22"/>
          <w:b w:val="1"/>
          <w:bCs w:val="1"/>
          <w:color w:val="010000"/>
        </w:rPr>
        <w:t xml:space="preserve"> </w:t>
      </w:r>
      <w:r>
        <w:rPr>
          <w:rFonts w:ascii="Arial" w:cs="Arial" w:eastAsia="Arial" w:hAnsi="Arial"/>
          <w:sz w:val="19"/>
          <w:szCs w:val="19"/>
          <w:color w:val="000000"/>
        </w:rPr>
        <w:t>Executive shall be eligible to receive a discretionary cash bonus of up to 55% of Executive’s then-current base salary (the “</w:t>
      </w:r>
      <w:r>
        <w:rPr>
          <w:rFonts w:ascii="Arial" w:cs="Arial" w:eastAsia="Arial" w:hAnsi="Arial"/>
          <w:sz w:val="19"/>
          <w:szCs w:val="19"/>
          <w:b w:val="1"/>
          <w:bCs w:val="1"/>
          <w:i w:val="1"/>
          <w:iCs w:val="1"/>
          <w:color w:val="000000"/>
        </w:rPr>
        <w:t>Bonus</w:t>
      </w:r>
      <w:r>
        <w:rPr>
          <w:rFonts w:ascii="Arial" w:cs="Arial" w:eastAsia="Arial" w:hAnsi="Arial"/>
          <w:sz w:val="19"/>
          <w:szCs w:val="19"/>
          <w:color w:val="000000"/>
        </w:rPr>
        <w:t>”), based on Executive’s achievement relative to certain performance goals (“</w:t>
      </w:r>
      <w:r>
        <w:rPr>
          <w:rFonts w:ascii="Arial" w:cs="Arial" w:eastAsia="Arial" w:hAnsi="Arial"/>
          <w:sz w:val="19"/>
          <w:szCs w:val="19"/>
          <w:b w:val="1"/>
          <w:bCs w:val="1"/>
          <w:i w:val="1"/>
          <w:iCs w:val="1"/>
          <w:color w:val="000000"/>
        </w:rPr>
        <w:t>Performance Goals</w:t>
      </w:r>
      <w:r>
        <w:rPr>
          <w:rFonts w:ascii="Arial" w:cs="Arial" w:eastAsia="Arial" w:hAnsi="Arial"/>
          <w:sz w:val="19"/>
          <w:szCs w:val="19"/>
          <w:color w:val="000000"/>
        </w:rPr>
        <w:t>”) to be established by the Board in a manner reasonably consistent with the Company’s priorities. The determination of whether Executive has met the Performance Goals for any given year, and if so, the amount of any Bonus that will be paid for such year (if any), shall be determined by the Board in its sole and absolute discretion. In order to be eligible to earn or receive any Bonus, Executive must remain employed by the Company through and including the date of payment of such Bonus.</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643" w:right="259" w:bottom="1440" w:gutter="0" w:footer="0" w:header="0"/>
        </w:sectPr>
      </w:pPr>
    </w:p>
    <w:bookmarkStart w:id="110" w:name="page111"/>
    <w:bookmarkEnd w:id="110"/>
    <w:p>
      <w:pPr>
        <w:ind w:right="120" w:firstLine="1297"/>
        <w:spacing w:after="0" w:line="272" w:lineRule="auto"/>
        <w:rPr>
          <w:sz w:val="20"/>
          <w:szCs w:val="20"/>
          <w:color w:val="auto"/>
        </w:rPr>
      </w:pPr>
      <w:r>
        <w:rPr>
          <w:rFonts w:ascii="Arial" w:cs="Arial" w:eastAsia="Arial" w:hAnsi="Arial"/>
          <w:sz w:val="22"/>
          <w:szCs w:val="22"/>
          <w:b w:val="1"/>
          <w:bCs w:val="1"/>
          <w:color w:val="010000"/>
        </w:rPr>
        <w:t xml:space="preserve">3.3 </w:t>
      </w:r>
      <w:r>
        <w:rPr>
          <w:rFonts w:ascii="Arial" w:cs="Arial" w:eastAsia="Arial" w:hAnsi="Arial"/>
          <w:sz w:val="19"/>
          <w:szCs w:val="19"/>
          <w:b w:val="1"/>
          <w:bCs w:val="1"/>
          <w:color w:val="000000"/>
        </w:rPr>
        <w:t>Stock Option</w:t>
      </w:r>
      <w:r>
        <w:rPr>
          <w:rFonts w:ascii="Arial" w:cs="Arial" w:eastAsia="Arial" w:hAnsi="Arial"/>
          <w:sz w:val="19"/>
          <w:szCs w:val="19"/>
          <w:color w:val="000000"/>
        </w:rPr>
        <w:t>. Executive has been granted options to purchase shares of the Company’s Common Stock and will</w:t>
      </w:r>
      <w:r>
        <w:rPr>
          <w:rFonts w:ascii="Arial" w:cs="Arial" w:eastAsia="Arial" w:hAnsi="Arial"/>
          <w:sz w:val="22"/>
          <w:szCs w:val="22"/>
          <w:b w:val="1"/>
          <w:bCs w:val="1"/>
          <w:color w:val="010000"/>
        </w:rPr>
        <w:t xml:space="preserve"> </w:t>
      </w:r>
      <w:r>
        <w:rPr>
          <w:rFonts w:ascii="Arial" w:cs="Arial" w:eastAsia="Arial" w:hAnsi="Arial"/>
          <w:sz w:val="19"/>
          <w:szCs w:val="19"/>
          <w:color w:val="000000"/>
        </w:rPr>
        <w:t>continue to be eligible for additional equity awards pursuant to the terms of the Company’s 2017 Equity Incentive Plan, as amended from time to time (the “</w:t>
      </w:r>
      <w:r>
        <w:rPr>
          <w:rFonts w:ascii="Arial" w:cs="Arial" w:eastAsia="Arial" w:hAnsi="Arial"/>
          <w:sz w:val="19"/>
          <w:szCs w:val="19"/>
          <w:b w:val="1"/>
          <w:bCs w:val="1"/>
          <w:i w:val="1"/>
          <w:iCs w:val="1"/>
          <w:color w:val="000000"/>
        </w:rPr>
        <w:t>Plan</w:t>
      </w:r>
      <w:r>
        <w:rPr>
          <w:rFonts w:ascii="Arial" w:cs="Arial" w:eastAsia="Arial" w:hAnsi="Arial"/>
          <w:sz w:val="19"/>
          <w:szCs w:val="19"/>
          <w:color w:val="000000"/>
        </w:rPr>
        <w:t>”).</w:t>
      </w:r>
    </w:p>
    <w:p>
      <w:pPr>
        <w:spacing w:after="0" w:line="178" w:lineRule="exact"/>
        <w:rPr>
          <w:sz w:val="20"/>
          <w:szCs w:val="20"/>
          <w:color w:val="auto"/>
        </w:rPr>
      </w:pPr>
    </w:p>
    <w:p>
      <w:pPr>
        <w:ind w:right="160" w:firstLine="1297"/>
        <w:spacing w:after="0" w:line="275" w:lineRule="auto"/>
        <w:rPr>
          <w:sz w:val="20"/>
          <w:szCs w:val="20"/>
          <w:color w:val="auto"/>
        </w:rPr>
      </w:pPr>
      <w:r>
        <w:rPr>
          <w:rFonts w:ascii="Arial" w:cs="Arial" w:eastAsia="Arial" w:hAnsi="Arial"/>
          <w:sz w:val="22"/>
          <w:szCs w:val="22"/>
          <w:b w:val="1"/>
          <w:bCs w:val="1"/>
          <w:color w:val="010000"/>
        </w:rPr>
        <w:t xml:space="preserve">3.4 </w:t>
      </w:r>
      <w:r>
        <w:rPr>
          <w:rFonts w:ascii="Arial" w:cs="Arial" w:eastAsia="Arial" w:hAnsi="Arial"/>
          <w:sz w:val="19"/>
          <w:szCs w:val="19"/>
          <w:b w:val="1"/>
          <w:bCs w:val="1"/>
          <w:color w:val="000000"/>
        </w:rPr>
        <w:t>Expense Reimbursements</w:t>
      </w:r>
      <w:r>
        <w:rPr>
          <w:rFonts w:ascii="Arial" w:cs="Arial" w:eastAsia="Arial" w:hAnsi="Arial"/>
          <w:sz w:val="19"/>
          <w:szCs w:val="19"/>
          <w:color w:val="000000"/>
        </w:rPr>
        <w:t>. The Company will reimburse Executive for all reasonable business expenses Executive</w:t>
      </w:r>
      <w:r>
        <w:rPr>
          <w:rFonts w:ascii="Arial" w:cs="Arial" w:eastAsia="Arial" w:hAnsi="Arial"/>
          <w:sz w:val="22"/>
          <w:szCs w:val="22"/>
          <w:b w:val="1"/>
          <w:bCs w:val="1"/>
          <w:color w:val="010000"/>
        </w:rPr>
        <w:t xml:space="preserve"> </w:t>
      </w:r>
      <w:r>
        <w:rPr>
          <w:rFonts w:ascii="Arial" w:cs="Arial" w:eastAsia="Arial" w:hAnsi="Arial"/>
          <w:sz w:val="19"/>
          <w:szCs w:val="19"/>
          <w:color w:val="000000"/>
        </w:rPr>
        <w:t>incurs in conducting his duties hereunder, pursuant to the Company’s usual expense reimbursement policies; provided that Executive supplies the appropriate substantiation for such expenses no later than the end of the calendar month following the month in which such expenses were incurred by Executive. Executive shall keep the Chairman of the Board (or equivalent) appraised of business expenses reimbursed by the Company to the Executive.</w:t>
      </w:r>
    </w:p>
    <w:p>
      <w:pPr>
        <w:spacing w:after="0" w:line="182"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b w:val="1"/>
          <w:bCs w:val="1"/>
          <w:color w:val="010000"/>
        </w:rPr>
        <w:t xml:space="preserve">3.5 </w:t>
      </w:r>
      <w:r>
        <w:rPr>
          <w:rFonts w:ascii="Arial" w:cs="Arial" w:eastAsia="Arial" w:hAnsi="Arial"/>
          <w:sz w:val="19"/>
          <w:szCs w:val="19"/>
          <w:b w:val="1"/>
          <w:bCs w:val="1"/>
          <w:color w:val="000000"/>
        </w:rPr>
        <w:t>Changes to Compensation</w:t>
      </w:r>
      <w:r>
        <w:rPr>
          <w:rFonts w:ascii="Arial" w:cs="Arial" w:eastAsia="Arial" w:hAnsi="Arial"/>
          <w:sz w:val="19"/>
          <w:szCs w:val="19"/>
          <w:color w:val="000000"/>
        </w:rPr>
        <w:t>. Executive’s compensation will be reviewed annually and may be changed from time to time</w:t>
      </w:r>
      <w:r>
        <w:rPr>
          <w:rFonts w:ascii="Arial" w:cs="Arial" w:eastAsia="Arial" w:hAnsi="Arial"/>
          <w:sz w:val="22"/>
          <w:szCs w:val="22"/>
          <w:b w:val="1"/>
          <w:bCs w:val="1"/>
          <w:color w:val="010000"/>
        </w:rPr>
        <w:t xml:space="preserve"> </w:t>
      </w:r>
      <w:r>
        <w:rPr>
          <w:rFonts w:ascii="Arial" w:cs="Arial" w:eastAsia="Arial" w:hAnsi="Arial"/>
          <w:sz w:val="19"/>
          <w:szCs w:val="19"/>
          <w:color w:val="000000"/>
        </w:rPr>
        <w:t>in the Company’s sole discretion.</w:t>
      </w:r>
    </w:p>
    <w:p>
      <w:pPr>
        <w:spacing w:after="0" w:line="188" w:lineRule="exact"/>
        <w:rPr>
          <w:sz w:val="20"/>
          <w:szCs w:val="20"/>
          <w:color w:val="auto"/>
        </w:rPr>
      </w:pPr>
    </w:p>
    <w:p>
      <w:pPr>
        <w:ind w:right="420" w:firstLine="1297"/>
        <w:spacing w:after="0" w:line="263" w:lineRule="auto"/>
        <w:rPr>
          <w:sz w:val="20"/>
          <w:szCs w:val="20"/>
          <w:color w:val="auto"/>
        </w:rPr>
      </w:pPr>
      <w:r>
        <w:rPr>
          <w:rFonts w:ascii="Arial" w:cs="Arial" w:eastAsia="Arial" w:hAnsi="Arial"/>
          <w:sz w:val="22"/>
          <w:szCs w:val="22"/>
          <w:b w:val="1"/>
          <w:bCs w:val="1"/>
          <w:color w:val="010000"/>
        </w:rPr>
        <w:t xml:space="preserve">3.6 </w:t>
      </w:r>
      <w:r>
        <w:rPr>
          <w:rFonts w:ascii="Arial" w:cs="Arial" w:eastAsia="Arial" w:hAnsi="Arial"/>
          <w:sz w:val="19"/>
          <w:szCs w:val="19"/>
          <w:b w:val="1"/>
          <w:bCs w:val="1"/>
          <w:color w:val="000000"/>
        </w:rPr>
        <w:t>Employment Taxes</w:t>
      </w:r>
      <w:r>
        <w:rPr>
          <w:rFonts w:ascii="Arial" w:cs="Arial" w:eastAsia="Arial" w:hAnsi="Arial"/>
          <w:sz w:val="19"/>
          <w:szCs w:val="19"/>
          <w:color w:val="000000"/>
        </w:rPr>
        <w:t>. All of Executive’s compensation shall be subject to customary withholding taxes and any other</w:t>
      </w:r>
      <w:r>
        <w:rPr>
          <w:rFonts w:ascii="Arial" w:cs="Arial" w:eastAsia="Arial" w:hAnsi="Arial"/>
          <w:sz w:val="22"/>
          <w:szCs w:val="22"/>
          <w:b w:val="1"/>
          <w:bCs w:val="1"/>
          <w:color w:val="010000"/>
        </w:rPr>
        <w:t xml:space="preserve"> </w:t>
      </w:r>
      <w:r>
        <w:rPr>
          <w:rFonts w:ascii="Arial" w:cs="Arial" w:eastAsia="Arial" w:hAnsi="Arial"/>
          <w:sz w:val="19"/>
          <w:szCs w:val="19"/>
          <w:color w:val="000000"/>
        </w:rPr>
        <w:t>employment taxes as are commonly required to be collected or withheld by the Company.</w:t>
      </w:r>
    </w:p>
    <w:p>
      <w:pPr>
        <w:spacing w:after="0" w:line="188" w:lineRule="exact"/>
        <w:rPr>
          <w:sz w:val="20"/>
          <w:szCs w:val="20"/>
          <w:color w:val="auto"/>
        </w:rPr>
      </w:pPr>
    </w:p>
    <w:p>
      <w:pPr>
        <w:ind w:firstLine="1297"/>
        <w:spacing w:after="0" w:line="272" w:lineRule="auto"/>
        <w:rPr>
          <w:sz w:val="20"/>
          <w:szCs w:val="20"/>
          <w:color w:val="auto"/>
        </w:rPr>
      </w:pPr>
      <w:r>
        <w:rPr>
          <w:rFonts w:ascii="Arial" w:cs="Arial" w:eastAsia="Arial" w:hAnsi="Arial"/>
          <w:sz w:val="22"/>
          <w:szCs w:val="22"/>
          <w:b w:val="1"/>
          <w:bCs w:val="1"/>
          <w:color w:val="010000"/>
        </w:rPr>
        <w:t xml:space="preserve">3.7 </w:t>
      </w:r>
      <w:r>
        <w:rPr>
          <w:rFonts w:ascii="Arial" w:cs="Arial" w:eastAsia="Arial" w:hAnsi="Arial"/>
          <w:sz w:val="19"/>
          <w:szCs w:val="19"/>
          <w:b w:val="1"/>
          <w:bCs w:val="1"/>
          <w:color w:val="000000"/>
        </w:rPr>
        <w:t>Benefits</w:t>
      </w:r>
      <w:r>
        <w:rPr>
          <w:rFonts w:ascii="Arial" w:cs="Arial" w:eastAsia="Arial" w:hAnsi="Arial"/>
          <w:sz w:val="19"/>
          <w:szCs w:val="19"/>
          <w:color w:val="000000"/>
        </w:rPr>
        <w:t>. Executive shall, in accordance with Company policy and the terms of the applicable plan documents, be eligible</w:t>
      </w:r>
      <w:r>
        <w:rPr>
          <w:rFonts w:ascii="Arial" w:cs="Arial" w:eastAsia="Arial" w:hAnsi="Arial"/>
          <w:sz w:val="22"/>
          <w:szCs w:val="22"/>
          <w:b w:val="1"/>
          <w:bCs w:val="1"/>
          <w:color w:val="010000"/>
        </w:rPr>
        <w:t xml:space="preserve"> </w:t>
      </w:r>
      <w:r>
        <w:rPr>
          <w:rFonts w:ascii="Arial" w:cs="Arial" w:eastAsia="Arial" w:hAnsi="Arial"/>
          <w:sz w:val="19"/>
          <w:szCs w:val="19"/>
          <w:color w:val="000000"/>
        </w:rPr>
        <w:t>to participate in benefits under any benefit plan or arrangement that may be in effect from time to time and made available to the Company’s senior management employees.</w:t>
      </w:r>
    </w:p>
    <w:p>
      <w:pPr>
        <w:spacing w:after="0" w:line="178" w:lineRule="exact"/>
        <w:rPr>
          <w:sz w:val="20"/>
          <w:szCs w:val="20"/>
          <w:color w:val="auto"/>
        </w:rPr>
      </w:pPr>
    </w:p>
    <w:p>
      <w:pPr>
        <w:ind w:right="440" w:firstLine="1297"/>
        <w:spacing w:after="0" w:line="263" w:lineRule="auto"/>
        <w:rPr>
          <w:sz w:val="20"/>
          <w:szCs w:val="20"/>
          <w:color w:val="auto"/>
        </w:rPr>
      </w:pPr>
      <w:r>
        <w:rPr>
          <w:rFonts w:ascii="Arial" w:cs="Arial" w:eastAsia="Arial" w:hAnsi="Arial"/>
          <w:sz w:val="22"/>
          <w:szCs w:val="22"/>
          <w:b w:val="1"/>
          <w:bCs w:val="1"/>
          <w:color w:val="010000"/>
        </w:rPr>
        <w:t xml:space="preserve">3.8 </w:t>
      </w:r>
      <w:r>
        <w:rPr>
          <w:rFonts w:ascii="Arial" w:cs="Arial" w:eastAsia="Arial" w:hAnsi="Arial"/>
          <w:sz w:val="19"/>
          <w:szCs w:val="19"/>
          <w:b w:val="1"/>
          <w:bCs w:val="1"/>
          <w:color w:val="000000"/>
        </w:rPr>
        <w:t>Holidays and Vacation</w:t>
      </w:r>
      <w:r>
        <w:rPr>
          <w:rFonts w:ascii="Arial" w:cs="Arial" w:eastAsia="Arial" w:hAnsi="Arial"/>
          <w:sz w:val="19"/>
          <w:szCs w:val="19"/>
          <w:color w:val="000000"/>
        </w:rPr>
        <w:t>. Executive shall be eligible for paid holiday and vacation time in accordance with Company</w:t>
      </w:r>
      <w:r>
        <w:rPr>
          <w:rFonts w:ascii="Arial" w:cs="Arial" w:eastAsia="Arial" w:hAnsi="Arial"/>
          <w:sz w:val="22"/>
          <w:szCs w:val="22"/>
          <w:b w:val="1"/>
          <w:bCs w:val="1"/>
          <w:color w:val="010000"/>
        </w:rPr>
        <w:t xml:space="preserve"> </w:t>
      </w:r>
      <w:r>
        <w:rPr>
          <w:rFonts w:ascii="Arial" w:cs="Arial" w:eastAsia="Arial" w:hAnsi="Arial"/>
          <w:sz w:val="19"/>
          <w:szCs w:val="19"/>
          <w:color w:val="000000"/>
        </w:rPr>
        <w:t>policy as in effect from time to time.</w:t>
      </w:r>
    </w:p>
    <w:p>
      <w:pPr>
        <w:spacing w:after="0" w:line="206" w:lineRule="exact"/>
        <w:rPr>
          <w:sz w:val="20"/>
          <w:szCs w:val="20"/>
          <w:color w:val="auto"/>
        </w:rPr>
      </w:pPr>
    </w:p>
    <w:p>
      <w:pPr>
        <w:ind w:left="1000" w:hanging="344"/>
        <w:spacing w:after="0"/>
        <w:tabs>
          <w:tab w:leader="none" w:pos="1000" w:val="left"/>
        </w:tabs>
        <w:numPr>
          <w:ilvl w:val="0"/>
          <w:numId w:val="60"/>
        </w:numPr>
        <w:rPr>
          <w:rFonts w:ascii="Arial" w:cs="Arial" w:eastAsia="Arial" w:hAnsi="Arial"/>
          <w:sz w:val="22"/>
          <w:szCs w:val="22"/>
          <w:b w:val="1"/>
          <w:bCs w:val="1"/>
          <w:color w:val="010000"/>
        </w:rPr>
      </w:pPr>
      <w:r>
        <w:rPr>
          <w:rFonts w:ascii="Arial" w:cs="Arial" w:eastAsia="Arial" w:hAnsi="Arial"/>
          <w:sz w:val="20"/>
          <w:szCs w:val="20"/>
          <w:b w:val="1"/>
          <w:bCs w:val="1"/>
          <w:color w:val="auto"/>
        </w:rPr>
        <w:t>TERMINATION.</w:t>
      </w:r>
    </w:p>
    <w:p>
      <w:pPr>
        <w:spacing w:after="0" w:line="215"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4.1</w:t>
      </w:r>
      <w:r>
        <w:rPr>
          <w:sz w:val="20"/>
          <w:szCs w:val="20"/>
          <w:color w:val="auto"/>
        </w:rPr>
        <w:tab/>
      </w:r>
      <w:r>
        <w:rPr>
          <w:rFonts w:ascii="Arial" w:cs="Arial" w:eastAsia="Arial" w:hAnsi="Arial"/>
          <w:sz w:val="18"/>
          <w:szCs w:val="18"/>
          <w:b w:val="1"/>
          <w:bCs w:val="1"/>
          <w:color w:val="auto"/>
        </w:rPr>
        <w:t>Termination by the Company</w:t>
      </w:r>
      <w:r>
        <w:rPr>
          <w:rFonts w:ascii="Arial" w:cs="Arial" w:eastAsia="Arial" w:hAnsi="Arial"/>
          <w:sz w:val="18"/>
          <w:szCs w:val="18"/>
          <w:color w:val="auto"/>
        </w:rPr>
        <w:t>. Executive’s employment with the Company is at will and may be terminated by the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Company at any time and for any reason, or for no reason, including, but not limited to, under the following conditions:</w:t>
      </w:r>
    </w:p>
    <w:p>
      <w:pPr>
        <w:spacing w:after="0" w:line="232" w:lineRule="exact"/>
        <w:rPr>
          <w:sz w:val="20"/>
          <w:szCs w:val="20"/>
          <w:color w:val="auto"/>
        </w:rPr>
      </w:pPr>
    </w:p>
    <w:p>
      <w:pPr>
        <w:jc w:val="both"/>
        <w:ind w:right="140" w:firstLine="1945"/>
        <w:spacing w:after="0" w:line="272" w:lineRule="auto"/>
        <w:rPr>
          <w:sz w:val="20"/>
          <w:szCs w:val="20"/>
          <w:color w:val="auto"/>
        </w:rPr>
      </w:pPr>
      <w:r>
        <w:rPr>
          <w:rFonts w:ascii="Arial" w:cs="Arial" w:eastAsia="Arial" w:hAnsi="Arial"/>
          <w:sz w:val="22"/>
          <w:szCs w:val="22"/>
          <w:b w:val="1"/>
          <w:bCs w:val="1"/>
          <w:color w:val="010000"/>
        </w:rPr>
        <w:t xml:space="preserve">4.1.1 </w:t>
      </w:r>
      <w:r>
        <w:rPr>
          <w:rFonts w:ascii="Arial" w:cs="Arial" w:eastAsia="Arial" w:hAnsi="Arial"/>
          <w:sz w:val="19"/>
          <w:szCs w:val="19"/>
          <w:b w:val="1"/>
          <w:bCs w:val="1"/>
          <w:color w:val="000000"/>
        </w:rPr>
        <w:t>Termination by the Company for Cause</w:t>
      </w:r>
      <w:r>
        <w:rPr>
          <w:rFonts w:ascii="Arial" w:cs="Arial" w:eastAsia="Arial" w:hAnsi="Arial"/>
          <w:sz w:val="19"/>
          <w:szCs w:val="19"/>
          <w:color w:val="000000"/>
        </w:rPr>
        <w:t>. The Company may terminate Executive’s employment under this</w:t>
      </w:r>
      <w:r>
        <w:rPr>
          <w:rFonts w:ascii="Arial" w:cs="Arial" w:eastAsia="Arial" w:hAnsi="Arial"/>
          <w:sz w:val="22"/>
          <w:szCs w:val="22"/>
          <w:b w:val="1"/>
          <w:bCs w:val="1"/>
          <w:color w:val="010000"/>
        </w:rPr>
        <w:t xml:space="preserve"> </w:t>
      </w:r>
      <w:r>
        <w:rPr>
          <w:rFonts w:ascii="Arial" w:cs="Arial" w:eastAsia="Arial" w:hAnsi="Arial"/>
          <w:sz w:val="19"/>
          <w:szCs w:val="19"/>
          <w:color w:val="000000"/>
        </w:rPr>
        <w:t>Agreement for “</w:t>
      </w:r>
      <w:r>
        <w:rPr>
          <w:rFonts w:ascii="Arial" w:cs="Arial" w:eastAsia="Arial" w:hAnsi="Arial"/>
          <w:sz w:val="19"/>
          <w:szCs w:val="19"/>
          <w:b w:val="1"/>
          <w:bCs w:val="1"/>
          <w:i w:val="1"/>
          <w:iCs w:val="1"/>
          <w:color w:val="000000"/>
        </w:rPr>
        <w:t>Cause</w:t>
      </w:r>
      <w:r>
        <w:rPr>
          <w:rFonts w:ascii="Arial" w:cs="Arial" w:eastAsia="Arial" w:hAnsi="Arial"/>
          <w:sz w:val="19"/>
          <w:szCs w:val="19"/>
          <w:color w:val="000000"/>
        </w:rPr>
        <w:t>” (as defined below) by delivery of written notice to Executive. Any notice of termination given pursuant to this section shall effect termination as of the date of the notice, or as of such other date specified in the notice.</w:t>
      </w:r>
    </w:p>
    <w:p>
      <w:pPr>
        <w:spacing w:after="0" w:line="178" w:lineRule="exact"/>
        <w:rPr>
          <w:sz w:val="20"/>
          <w:szCs w:val="20"/>
          <w:color w:val="auto"/>
        </w:rPr>
      </w:pPr>
    </w:p>
    <w:p>
      <w:pPr>
        <w:jc w:val="both"/>
        <w:ind w:right="180" w:firstLine="1945"/>
        <w:spacing w:after="0" w:line="272" w:lineRule="auto"/>
        <w:rPr>
          <w:sz w:val="20"/>
          <w:szCs w:val="20"/>
          <w:color w:val="auto"/>
        </w:rPr>
      </w:pPr>
      <w:r>
        <w:rPr>
          <w:rFonts w:ascii="Arial" w:cs="Arial" w:eastAsia="Arial" w:hAnsi="Arial"/>
          <w:sz w:val="22"/>
          <w:szCs w:val="22"/>
          <w:b w:val="1"/>
          <w:bCs w:val="1"/>
          <w:color w:val="010000"/>
        </w:rPr>
        <w:t xml:space="preserve">4.1.2 </w:t>
      </w:r>
      <w:r>
        <w:rPr>
          <w:rFonts w:ascii="Arial" w:cs="Arial" w:eastAsia="Arial" w:hAnsi="Arial"/>
          <w:sz w:val="19"/>
          <w:szCs w:val="19"/>
          <w:b w:val="1"/>
          <w:bCs w:val="1"/>
          <w:color w:val="000000"/>
        </w:rPr>
        <w:t>Termination by the Company without Cause</w:t>
      </w:r>
      <w:r>
        <w:rPr>
          <w:rFonts w:ascii="Arial" w:cs="Arial" w:eastAsia="Arial" w:hAnsi="Arial"/>
          <w:sz w:val="19"/>
          <w:szCs w:val="19"/>
          <w:color w:val="000000"/>
        </w:rPr>
        <w:t>. The Company may terminate Executive’s employment under</w:t>
      </w:r>
      <w:r>
        <w:rPr>
          <w:rFonts w:ascii="Arial" w:cs="Arial" w:eastAsia="Arial" w:hAnsi="Arial"/>
          <w:sz w:val="22"/>
          <w:szCs w:val="22"/>
          <w:b w:val="1"/>
          <w:bCs w:val="1"/>
          <w:color w:val="010000"/>
        </w:rPr>
        <w:t xml:space="preserve"> </w:t>
      </w:r>
      <w:r>
        <w:rPr>
          <w:rFonts w:ascii="Arial" w:cs="Arial" w:eastAsia="Arial" w:hAnsi="Arial"/>
          <w:sz w:val="19"/>
          <w:szCs w:val="19"/>
          <w:color w:val="000000"/>
        </w:rPr>
        <w:t>this Agreement without Cause at any time and for any reason, or for no reason. Such termination shall be effective on the date Executive is so informed, or as otherwise specified by the Company.</w:t>
      </w:r>
    </w:p>
    <w:p>
      <w:pPr>
        <w:spacing w:after="0" w:line="178" w:lineRule="exact"/>
        <w:rPr>
          <w:sz w:val="20"/>
          <w:szCs w:val="20"/>
          <w:color w:val="auto"/>
        </w:rPr>
      </w:pPr>
    </w:p>
    <w:p>
      <w:pPr>
        <w:ind w:right="80" w:firstLine="1297"/>
        <w:spacing w:after="0" w:line="263" w:lineRule="auto"/>
        <w:rPr>
          <w:sz w:val="20"/>
          <w:szCs w:val="20"/>
          <w:color w:val="auto"/>
        </w:rPr>
      </w:pPr>
      <w:r>
        <w:rPr>
          <w:rFonts w:ascii="Arial" w:cs="Arial" w:eastAsia="Arial" w:hAnsi="Arial"/>
          <w:sz w:val="22"/>
          <w:szCs w:val="22"/>
          <w:b w:val="1"/>
          <w:bCs w:val="1"/>
          <w:color w:val="010000"/>
        </w:rPr>
        <w:t xml:space="preserve">4.2 </w:t>
      </w:r>
      <w:r>
        <w:rPr>
          <w:rFonts w:ascii="Arial" w:cs="Arial" w:eastAsia="Arial" w:hAnsi="Arial"/>
          <w:sz w:val="19"/>
          <w:szCs w:val="19"/>
          <w:b w:val="1"/>
          <w:bCs w:val="1"/>
          <w:color w:val="000000"/>
        </w:rPr>
        <w:t>Termination by Executive</w:t>
      </w:r>
      <w:r>
        <w:rPr>
          <w:rFonts w:ascii="Arial" w:cs="Arial" w:eastAsia="Arial" w:hAnsi="Arial"/>
          <w:sz w:val="19"/>
          <w:szCs w:val="19"/>
          <w:color w:val="000000"/>
        </w:rPr>
        <w:t>. Executive may terminate his employment with the Company at any time and for any reason,</w:t>
      </w:r>
      <w:r>
        <w:rPr>
          <w:rFonts w:ascii="Arial" w:cs="Arial" w:eastAsia="Arial" w:hAnsi="Arial"/>
          <w:sz w:val="22"/>
          <w:szCs w:val="22"/>
          <w:b w:val="1"/>
          <w:bCs w:val="1"/>
          <w:color w:val="010000"/>
        </w:rPr>
        <w:t xml:space="preserve"> </w:t>
      </w:r>
      <w:r>
        <w:rPr>
          <w:rFonts w:ascii="Arial" w:cs="Arial" w:eastAsia="Arial" w:hAnsi="Arial"/>
          <w:sz w:val="19"/>
          <w:szCs w:val="19"/>
          <w:color w:val="000000"/>
        </w:rPr>
        <w:t>or for no reason, upon thirty (30) days written notice to the Company.</w:t>
      </w:r>
    </w:p>
    <w:p>
      <w:pPr>
        <w:spacing w:after="0" w:line="18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19"/>
          <w:szCs w:val="19"/>
          <w:b w:val="1"/>
          <w:bCs w:val="1"/>
          <w:color w:val="000000"/>
        </w:rPr>
        <w:t>Termination for Death or Disability</w:t>
      </w:r>
      <w:r>
        <w:rPr>
          <w:rFonts w:ascii="Arial" w:cs="Arial" w:eastAsia="Arial" w:hAnsi="Arial"/>
          <w:sz w:val="19"/>
          <w:szCs w:val="19"/>
          <w:color w:val="000000"/>
        </w:rPr>
        <w:t>. Executive’s employment with the Company shall automatically terminate effective</w:t>
      </w:r>
      <w:r>
        <w:rPr>
          <w:rFonts w:ascii="Arial" w:cs="Arial" w:eastAsia="Arial" w:hAnsi="Arial"/>
          <w:sz w:val="22"/>
          <w:szCs w:val="22"/>
          <w:b w:val="1"/>
          <w:bCs w:val="1"/>
          <w:color w:val="010000"/>
        </w:rPr>
        <w:t xml:space="preserve"> </w:t>
      </w:r>
      <w:r>
        <w:rPr>
          <w:rFonts w:ascii="Arial" w:cs="Arial" w:eastAsia="Arial" w:hAnsi="Arial"/>
          <w:sz w:val="19"/>
          <w:szCs w:val="19"/>
          <w:color w:val="000000"/>
        </w:rPr>
        <w:t>upon the date of Executive’s death or Disability (as defined in the Plan).</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11" w:name="page112"/>
    <w:bookmarkEnd w:id="111"/>
    <w:p>
      <w:pPr>
        <w:ind w:right="20" w:firstLine="1297"/>
        <w:spacing w:after="0" w:line="272" w:lineRule="auto"/>
        <w:rPr>
          <w:sz w:val="20"/>
          <w:szCs w:val="20"/>
          <w:color w:val="auto"/>
        </w:rPr>
      </w:pPr>
      <w:r>
        <w:rPr>
          <w:rFonts w:ascii="Arial" w:cs="Arial" w:eastAsia="Arial" w:hAnsi="Arial"/>
          <w:sz w:val="22"/>
          <w:szCs w:val="22"/>
          <w:b w:val="1"/>
          <w:bCs w:val="1"/>
          <w:color w:val="010000"/>
        </w:rPr>
        <w:t xml:space="preserve">4.4 </w:t>
      </w:r>
      <w:r>
        <w:rPr>
          <w:rFonts w:ascii="Arial" w:cs="Arial" w:eastAsia="Arial" w:hAnsi="Arial"/>
          <w:sz w:val="19"/>
          <w:szCs w:val="19"/>
          <w:b w:val="1"/>
          <w:bCs w:val="1"/>
          <w:color w:val="000000"/>
        </w:rPr>
        <w:t>Termination by Mutual Agreement of the Parties</w:t>
      </w:r>
      <w:r>
        <w:rPr>
          <w:rFonts w:ascii="Arial" w:cs="Arial" w:eastAsia="Arial" w:hAnsi="Arial"/>
          <w:sz w:val="19"/>
          <w:szCs w:val="19"/>
          <w:color w:val="000000"/>
        </w:rPr>
        <w:t>. Executive’s employment with the Company may be terminated at</w:t>
      </w:r>
      <w:r>
        <w:rPr>
          <w:rFonts w:ascii="Arial" w:cs="Arial" w:eastAsia="Arial" w:hAnsi="Arial"/>
          <w:sz w:val="22"/>
          <w:szCs w:val="22"/>
          <w:b w:val="1"/>
          <w:bCs w:val="1"/>
          <w:color w:val="010000"/>
        </w:rPr>
        <w:t xml:space="preserve"> </w:t>
      </w:r>
      <w:r>
        <w:rPr>
          <w:rFonts w:ascii="Arial" w:cs="Arial" w:eastAsia="Arial" w:hAnsi="Arial"/>
          <w:sz w:val="19"/>
          <w:szCs w:val="19"/>
          <w:color w:val="000000"/>
        </w:rPr>
        <w:t>any time upon a mutual agreement in writing of the Parties. Any such termination of employment shall have the consequences specified in such agreement.</w:t>
      </w:r>
    </w:p>
    <w:p>
      <w:pPr>
        <w:spacing w:after="0" w:line="17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4.5</w:t>
      </w:r>
      <w:r>
        <w:rPr>
          <w:sz w:val="20"/>
          <w:szCs w:val="20"/>
          <w:color w:val="auto"/>
        </w:rPr>
        <w:tab/>
      </w:r>
      <w:r>
        <w:rPr>
          <w:rFonts w:ascii="Arial" w:cs="Arial" w:eastAsia="Arial" w:hAnsi="Arial"/>
          <w:sz w:val="16"/>
          <w:szCs w:val="16"/>
          <w:b w:val="1"/>
          <w:bCs w:val="1"/>
          <w:color w:val="auto"/>
        </w:rPr>
        <w:t>Compensation upon Termination</w:t>
      </w:r>
      <w:r>
        <w:rPr>
          <w:rFonts w:ascii="Arial" w:cs="Arial" w:eastAsia="Arial" w:hAnsi="Arial"/>
          <w:sz w:val="16"/>
          <w:szCs w:val="16"/>
          <w:color w:val="auto"/>
        </w:rPr>
        <w:t>.</w:t>
      </w:r>
    </w:p>
    <w:p>
      <w:pPr>
        <w:spacing w:after="0" w:line="233" w:lineRule="exact"/>
        <w:rPr>
          <w:sz w:val="20"/>
          <w:szCs w:val="20"/>
          <w:color w:val="auto"/>
        </w:rPr>
      </w:pPr>
    </w:p>
    <w:p>
      <w:pPr>
        <w:ind w:firstLine="1945"/>
        <w:spacing w:after="0" w:line="291" w:lineRule="auto"/>
        <w:rPr>
          <w:sz w:val="20"/>
          <w:szCs w:val="20"/>
          <w:color w:val="auto"/>
        </w:rPr>
      </w:pPr>
      <w:r>
        <w:rPr>
          <w:rFonts w:ascii="Arial" w:cs="Arial" w:eastAsia="Arial" w:hAnsi="Arial"/>
          <w:sz w:val="21"/>
          <w:szCs w:val="21"/>
          <w:b w:val="1"/>
          <w:bCs w:val="1"/>
          <w:color w:val="010000"/>
        </w:rPr>
        <w:t xml:space="preserve">4.5.1 </w:t>
      </w:r>
      <w:r>
        <w:rPr>
          <w:rFonts w:ascii="Arial" w:cs="Arial" w:eastAsia="Arial" w:hAnsi="Arial"/>
          <w:sz w:val="18"/>
          <w:szCs w:val="18"/>
          <w:b w:val="1"/>
          <w:bCs w:val="1"/>
          <w:color w:val="000000"/>
        </w:rPr>
        <w:t>Death or Disability</w:t>
      </w:r>
      <w:r>
        <w:rPr>
          <w:rFonts w:ascii="Arial" w:cs="Arial" w:eastAsia="Arial" w:hAnsi="Arial"/>
          <w:sz w:val="18"/>
          <w:szCs w:val="18"/>
          <w:color w:val="000000"/>
        </w:rPr>
        <w:t>. If Executive’s employment is terminated by Death or Disability, the Company shall pay to</w:t>
      </w:r>
      <w:r>
        <w:rPr>
          <w:rFonts w:ascii="Arial" w:cs="Arial" w:eastAsia="Arial" w:hAnsi="Arial"/>
          <w:sz w:val="21"/>
          <w:szCs w:val="21"/>
          <w:b w:val="1"/>
          <w:bCs w:val="1"/>
          <w:color w:val="010000"/>
        </w:rPr>
        <w:t xml:space="preserve"> </w:t>
      </w:r>
      <w:r>
        <w:rPr>
          <w:rFonts w:ascii="Arial" w:cs="Arial" w:eastAsia="Arial" w:hAnsi="Arial"/>
          <w:sz w:val="18"/>
          <w:szCs w:val="18"/>
          <w:color w:val="000000"/>
        </w:rPr>
        <w:t>Executive, or to Executive’s heirs, Executive’s accrued and unpaid base salary and accrued and unused vacation benefits earned through the date of termination at the rate in effect at the time of termination, less standard deductions and withholdings. The Company shall thereafter have no further obligations to Executive and/or Executive’s heirs under this Agreement, except as otherwise provided by law.</w:t>
      </w:r>
    </w:p>
    <w:p>
      <w:pPr>
        <w:spacing w:after="0" w:line="168" w:lineRule="exact"/>
        <w:rPr>
          <w:sz w:val="20"/>
          <w:szCs w:val="20"/>
          <w:color w:val="auto"/>
        </w:rPr>
      </w:pPr>
    </w:p>
    <w:p>
      <w:pPr>
        <w:ind w:right="20" w:firstLine="1945"/>
        <w:spacing w:after="0" w:line="273" w:lineRule="auto"/>
        <w:rPr>
          <w:sz w:val="20"/>
          <w:szCs w:val="20"/>
          <w:color w:val="auto"/>
        </w:rPr>
      </w:pPr>
      <w:r>
        <w:rPr>
          <w:rFonts w:ascii="Arial" w:cs="Arial" w:eastAsia="Arial" w:hAnsi="Arial"/>
          <w:sz w:val="22"/>
          <w:szCs w:val="22"/>
          <w:b w:val="1"/>
          <w:bCs w:val="1"/>
          <w:color w:val="010000"/>
        </w:rPr>
        <w:t xml:space="preserve">4.5.2 </w:t>
      </w:r>
      <w:r>
        <w:rPr>
          <w:rFonts w:ascii="Arial" w:cs="Arial" w:eastAsia="Arial" w:hAnsi="Arial"/>
          <w:sz w:val="19"/>
          <w:szCs w:val="19"/>
          <w:b w:val="1"/>
          <w:bCs w:val="1"/>
          <w:color w:val="000000"/>
        </w:rPr>
        <w:t>Termination for Cause</w:t>
      </w:r>
      <w:r>
        <w:rPr>
          <w:rFonts w:ascii="Arial" w:cs="Arial" w:eastAsia="Arial" w:hAnsi="Arial"/>
          <w:sz w:val="19"/>
          <w:szCs w:val="19"/>
          <w:color w:val="000000"/>
        </w:rPr>
        <w:t>. If the Company terminates Executive’s employment for Cause, and then the Company</w:t>
      </w:r>
      <w:r>
        <w:rPr>
          <w:rFonts w:ascii="Arial" w:cs="Arial" w:eastAsia="Arial" w:hAnsi="Arial"/>
          <w:sz w:val="22"/>
          <w:szCs w:val="22"/>
          <w:b w:val="1"/>
          <w:bCs w:val="1"/>
          <w:color w:val="010000"/>
        </w:rPr>
        <w:t xml:space="preserve"> </w:t>
      </w:r>
      <w:r>
        <w:rPr>
          <w:rFonts w:ascii="Arial" w:cs="Arial" w:eastAsia="Arial" w:hAnsi="Arial"/>
          <w:sz w:val="19"/>
          <w:szCs w:val="19"/>
          <w:color w:val="000000"/>
        </w:rPr>
        <w:t>shall pay Executive’s accrued and unpaid base salary and accrued and unused vacation benefits earned through the date of termination, at the rate in effect at the time of termination, less standard deductions and withholdings. The Company shall thereafter have no further obligations to Executive under this Agreement, except as otherwise provided by law.</w:t>
      </w:r>
    </w:p>
    <w:p>
      <w:pPr>
        <w:spacing w:after="0" w:line="183" w:lineRule="exact"/>
        <w:rPr>
          <w:sz w:val="20"/>
          <w:szCs w:val="20"/>
          <w:color w:val="auto"/>
        </w:rPr>
      </w:pPr>
    </w:p>
    <w:p>
      <w:pPr>
        <w:ind w:firstLine="1945"/>
        <w:spacing w:after="0" w:line="296" w:lineRule="auto"/>
        <w:rPr>
          <w:sz w:val="20"/>
          <w:szCs w:val="20"/>
          <w:color w:val="auto"/>
        </w:rPr>
      </w:pPr>
      <w:r>
        <w:rPr>
          <w:rFonts w:ascii="Arial" w:cs="Arial" w:eastAsia="Arial" w:hAnsi="Arial"/>
          <w:sz w:val="21"/>
          <w:szCs w:val="21"/>
          <w:b w:val="1"/>
          <w:bCs w:val="1"/>
          <w:color w:val="010000"/>
        </w:rPr>
        <w:t xml:space="preserve">4.5.3 </w:t>
      </w:r>
      <w:r>
        <w:rPr>
          <w:rFonts w:ascii="Arial" w:cs="Arial" w:eastAsia="Arial" w:hAnsi="Arial"/>
          <w:sz w:val="18"/>
          <w:szCs w:val="18"/>
          <w:b w:val="1"/>
          <w:bCs w:val="1"/>
          <w:color w:val="000000"/>
        </w:rPr>
        <w:t>Termination by Company without Cause or by Executive for Good Reason Not In Connection with a</w:t>
      </w:r>
      <w:r>
        <w:rPr>
          <w:rFonts w:ascii="Arial" w:cs="Arial" w:eastAsia="Arial" w:hAnsi="Arial"/>
          <w:sz w:val="21"/>
          <w:szCs w:val="21"/>
          <w:b w:val="1"/>
          <w:bCs w:val="1"/>
          <w:color w:val="010000"/>
        </w:rPr>
        <w:t xml:space="preserve"> </w:t>
      </w:r>
      <w:r>
        <w:rPr>
          <w:rFonts w:ascii="Arial" w:cs="Arial" w:eastAsia="Arial" w:hAnsi="Arial"/>
          <w:sz w:val="18"/>
          <w:szCs w:val="18"/>
          <w:b w:val="1"/>
          <w:bCs w:val="1"/>
          <w:color w:val="000000"/>
        </w:rPr>
        <w:t>Change in Control</w:t>
      </w:r>
      <w:r>
        <w:rPr>
          <w:rFonts w:ascii="Arial" w:cs="Arial" w:eastAsia="Arial" w:hAnsi="Arial"/>
          <w:sz w:val="18"/>
          <w:szCs w:val="18"/>
          <w:color w:val="000000"/>
        </w:rPr>
        <w:t>. If the Company terminates Executive’s employment without Cause or if Executive resigns his employment for “</w:t>
      </w:r>
      <w:r>
        <w:rPr>
          <w:rFonts w:ascii="Arial" w:cs="Arial" w:eastAsia="Arial" w:hAnsi="Arial"/>
          <w:sz w:val="18"/>
          <w:szCs w:val="18"/>
          <w:b w:val="1"/>
          <w:bCs w:val="1"/>
          <w:i w:val="1"/>
          <w:iCs w:val="1"/>
          <w:color w:val="000000"/>
        </w:rPr>
        <w:t>Good</w:t>
      </w:r>
      <w:r>
        <w:rPr>
          <w:rFonts w:ascii="Arial" w:cs="Arial" w:eastAsia="Arial" w:hAnsi="Arial"/>
          <w:sz w:val="18"/>
          <w:szCs w:val="18"/>
          <w:b w:val="1"/>
          <w:bCs w:val="1"/>
          <w:color w:val="000000"/>
        </w:rPr>
        <w:t xml:space="preserve"> </w:t>
      </w:r>
      <w:r>
        <w:rPr>
          <w:rFonts w:ascii="Arial" w:cs="Arial" w:eastAsia="Arial" w:hAnsi="Arial"/>
          <w:sz w:val="18"/>
          <w:szCs w:val="18"/>
          <w:b w:val="1"/>
          <w:bCs w:val="1"/>
          <w:i w:val="1"/>
          <w:iCs w:val="1"/>
          <w:color w:val="000000"/>
        </w:rPr>
        <w:t>Reason</w:t>
      </w:r>
      <w:r>
        <w:rPr>
          <w:rFonts w:ascii="Arial" w:cs="Arial" w:eastAsia="Arial" w:hAnsi="Arial"/>
          <w:sz w:val="18"/>
          <w:szCs w:val="18"/>
          <w:color w:val="000000"/>
        </w:rPr>
        <w:t>” (as defined below), in either case at any time other than upon the occurrence of, or within the 13 months immediately following, the</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effective date of a “</w:t>
      </w:r>
      <w:r>
        <w:rPr>
          <w:rFonts w:ascii="Arial" w:cs="Arial" w:eastAsia="Arial" w:hAnsi="Arial"/>
          <w:sz w:val="18"/>
          <w:szCs w:val="18"/>
          <w:b w:val="1"/>
          <w:bCs w:val="1"/>
          <w:i w:val="1"/>
          <w:iCs w:val="1"/>
          <w:color w:val="000000"/>
        </w:rPr>
        <w:t>Change in Control</w:t>
      </w:r>
      <w:r>
        <w:rPr>
          <w:rFonts w:ascii="Arial" w:cs="Arial" w:eastAsia="Arial" w:hAnsi="Arial"/>
          <w:sz w:val="18"/>
          <w:szCs w:val="18"/>
          <w:color w:val="000000"/>
        </w:rPr>
        <w:t xml:space="preserve">” (as defined below), the Company shall pay Executive’s accrued and unpaid base salary and accrued and unused vacation benefits earned through the date of termination, at the rate in effect at the time of termination, less standard deductions and withholdings. In addition, if Executive furnishes to the Company an executed waiver and release of claims in the form attached hereto as </w:t>
      </w:r>
      <w:r>
        <w:rPr>
          <w:rFonts w:ascii="Arial" w:cs="Arial" w:eastAsia="Arial" w:hAnsi="Arial"/>
          <w:sz w:val="18"/>
          <w:szCs w:val="18"/>
          <w:b w:val="1"/>
          <w:bCs w:val="1"/>
          <w:color w:val="000000"/>
        </w:rPr>
        <w:t xml:space="preserve">Exhibit A </w:t>
      </w:r>
      <w:r>
        <w:rPr>
          <w:rFonts w:ascii="Arial" w:cs="Arial" w:eastAsia="Arial" w:hAnsi="Arial"/>
          <w:sz w:val="18"/>
          <w:szCs w:val="18"/>
          <w:color w:val="000000"/>
        </w:rPr>
        <w:t>(or in such other form as may be specified by the Company) (the “</w:t>
      </w:r>
      <w:r>
        <w:rPr>
          <w:rFonts w:ascii="Arial" w:cs="Arial" w:eastAsia="Arial" w:hAnsi="Arial"/>
          <w:sz w:val="18"/>
          <w:szCs w:val="18"/>
          <w:b w:val="1"/>
          <w:bCs w:val="1"/>
          <w:i w:val="1"/>
          <w:iCs w:val="1"/>
          <w:color w:val="000000"/>
        </w:rPr>
        <w:t>Release</w:t>
      </w:r>
      <w:r>
        <w:rPr>
          <w:rFonts w:ascii="Arial" w:cs="Arial" w:eastAsia="Arial" w:hAnsi="Arial"/>
          <w:sz w:val="18"/>
          <w:szCs w:val="18"/>
          <w:color w:val="000000"/>
        </w:rPr>
        <w:t>”) within the time period specified therein, but in no event</w:t>
      </w:r>
      <w:r>
        <w:rPr>
          <w:rFonts w:ascii="Arial" w:cs="Arial" w:eastAsia="Arial" w:hAnsi="Arial"/>
          <w:sz w:val="18"/>
          <w:szCs w:val="18"/>
          <w:b w:val="1"/>
          <w:bCs w:val="1"/>
          <w:color w:val="000000"/>
        </w:rPr>
        <w:t xml:space="preserve"> </w:t>
      </w:r>
      <w:r>
        <w:rPr>
          <w:rFonts w:ascii="Arial" w:cs="Arial" w:eastAsia="Arial" w:hAnsi="Arial"/>
          <w:sz w:val="18"/>
          <w:szCs w:val="18"/>
          <w:color w:val="000000"/>
        </w:rPr>
        <w:t>later than 45 days following Executive’s termination, and if Executive allows such Release to become effective in accordance with its terms, then (i) Executive shall be entitled to severance in the form of continuation of his base salary, at the base salary rate equal to the greater of the rate in effect at the time of termination or the rate immediately prior to the event giving rise to Good Reason (the “</w:t>
      </w:r>
      <w:r>
        <w:rPr>
          <w:rFonts w:ascii="Arial" w:cs="Arial" w:eastAsia="Arial" w:hAnsi="Arial"/>
          <w:sz w:val="18"/>
          <w:szCs w:val="18"/>
          <w:b w:val="1"/>
          <w:bCs w:val="1"/>
          <w:i w:val="1"/>
          <w:iCs w:val="1"/>
          <w:color w:val="000000"/>
        </w:rPr>
        <w:t>Severance Payments</w:t>
      </w:r>
      <w:r>
        <w:rPr>
          <w:rFonts w:ascii="Arial" w:cs="Arial" w:eastAsia="Arial" w:hAnsi="Arial"/>
          <w:sz w:val="18"/>
          <w:szCs w:val="18"/>
          <w:color w:val="000000"/>
        </w:rPr>
        <w:t>”), for a period of 12 months following the termination date (the “</w:t>
      </w:r>
      <w:r>
        <w:rPr>
          <w:rFonts w:ascii="Arial" w:cs="Arial" w:eastAsia="Arial" w:hAnsi="Arial"/>
          <w:sz w:val="18"/>
          <w:szCs w:val="18"/>
          <w:b w:val="1"/>
          <w:bCs w:val="1"/>
          <w:i w:val="1"/>
          <w:iCs w:val="1"/>
          <w:color w:val="000000"/>
        </w:rPr>
        <w:t>Severance Period</w:t>
      </w:r>
      <w:r>
        <w:rPr>
          <w:rFonts w:ascii="Arial" w:cs="Arial" w:eastAsia="Arial" w:hAnsi="Arial"/>
          <w:sz w:val="18"/>
          <w:szCs w:val="18"/>
          <w:color w:val="000000"/>
        </w:rPr>
        <w:t>” ), and (ii) the Company will pay directly to the insurance provider the premium for COBRA continuation coverage for Executive and Executive’s family during the Severance Period or until he obtains new employment, whichever comes first (the “</w:t>
      </w:r>
      <w:r>
        <w:rPr>
          <w:rFonts w:ascii="Arial" w:cs="Arial" w:eastAsia="Arial" w:hAnsi="Arial"/>
          <w:sz w:val="18"/>
          <w:szCs w:val="18"/>
          <w:b w:val="1"/>
          <w:bCs w:val="1"/>
          <w:i w:val="1"/>
          <w:iCs w:val="1"/>
          <w:color w:val="000000"/>
        </w:rPr>
        <w:t>COBRA Coverage</w:t>
      </w:r>
      <w:r>
        <w:rPr>
          <w:rFonts w:ascii="Arial" w:cs="Arial" w:eastAsia="Arial" w:hAnsi="Arial"/>
          <w:sz w:val="18"/>
          <w:szCs w:val="18"/>
          <w:color w:val="000000"/>
        </w:rPr>
        <w:t>”);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Executive, in lieu thereof, taxable, continued installment payments equal to the COBRA premium, payable on the last day of a given month, for 12 months (measured from the termination date), which payments will be made regardless of whether Executive elects COBRA continuation coverage (the “</w:t>
      </w:r>
      <w:r>
        <w:rPr>
          <w:rFonts w:ascii="Arial" w:cs="Arial" w:eastAsia="Arial" w:hAnsi="Arial"/>
          <w:sz w:val="18"/>
          <w:szCs w:val="18"/>
          <w:b w:val="1"/>
          <w:bCs w:val="1"/>
          <w:i w:val="1"/>
          <w:iCs w:val="1"/>
          <w:color w:val="000000"/>
        </w:rPr>
        <w:t>COBRA Bonus</w:t>
      </w:r>
      <w:r>
        <w:rPr>
          <w:rFonts w:ascii="Arial" w:cs="Arial" w:eastAsia="Arial" w:hAnsi="Arial"/>
          <w:sz w:val="18"/>
          <w:szCs w:val="18"/>
          <w:color w:val="000000"/>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w:t>
      </w:r>
      <w:r>
        <w:rPr>
          <w:rFonts w:ascii="Arial" w:cs="Arial" w:eastAsia="Arial" w:hAnsi="Arial"/>
          <w:sz w:val="18"/>
          <w:szCs w:val="18"/>
          <w:i w:val="1"/>
          <w:iCs w:val="1"/>
          <w:color w:val="000000"/>
        </w:rPr>
        <w:t>provided, however</w:t>
      </w:r>
      <w:r>
        <w:rPr>
          <w:rFonts w:ascii="Arial" w:cs="Arial" w:eastAsia="Arial" w:hAnsi="Arial"/>
          <w:sz w:val="18"/>
          <w:szCs w:val="18"/>
          <w:color w:val="000000"/>
        </w:rPr>
        <w:t xml:space="preserve">, that any Severance Payments otherwise scheduled to be made prior to the effective date of the Release shall accrue and be paid in the first payroll period that follows such effective date, </w:t>
      </w:r>
      <w:r>
        <w:rPr>
          <w:rFonts w:ascii="Arial" w:cs="Arial" w:eastAsia="Arial" w:hAnsi="Arial"/>
          <w:sz w:val="18"/>
          <w:szCs w:val="18"/>
          <w:i w:val="1"/>
          <w:iCs w:val="1"/>
          <w:color w:val="000000"/>
        </w:rPr>
        <w:t>provided, further</w:t>
      </w:r>
      <w:r>
        <w:rPr>
          <w:rFonts w:ascii="Arial" w:cs="Arial" w:eastAsia="Arial" w:hAnsi="Arial"/>
          <w:sz w:val="18"/>
          <w:szCs w:val="18"/>
          <w:color w:val="000000"/>
        </w:rPr>
        <w:t>, that if the 45 day period to execute the Release spans two calendar years, no Severance Payments will be made until the</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12" w:name="page113"/>
    <w:bookmarkEnd w:id="112"/>
    <w:p>
      <w:pPr>
        <w:ind w:right="100"/>
        <w:spacing w:after="0" w:line="260" w:lineRule="auto"/>
        <w:rPr>
          <w:sz w:val="20"/>
          <w:szCs w:val="20"/>
          <w:color w:val="auto"/>
        </w:rPr>
      </w:pPr>
      <w:r>
        <w:rPr>
          <w:rFonts w:ascii="Arial" w:cs="Arial" w:eastAsia="Arial" w:hAnsi="Arial"/>
          <w:sz w:val="20"/>
          <w:szCs w:val="20"/>
          <w:color w:val="auto"/>
        </w:rPr>
        <w:t>later calendar year. The Company shall thereafter have no further obligations to Executive under this Agreement, except as otherwise provided by law.</w:t>
      </w:r>
    </w:p>
    <w:p>
      <w:pPr>
        <w:spacing w:after="0" w:line="180" w:lineRule="exact"/>
        <w:rPr>
          <w:sz w:val="20"/>
          <w:szCs w:val="20"/>
          <w:color w:val="auto"/>
        </w:rPr>
      </w:pPr>
    </w:p>
    <w:p>
      <w:pPr>
        <w:ind w:firstLine="1945"/>
        <w:spacing w:after="0" w:line="294" w:lineRule="auto"/>
        <w:rPr>
          <w:sz w:val="20"/>
          <w:szCs w:val="20"/>
          <w:color w:val="auto"/>
        </w:rPr>
      </w:pPr>
      <w:r>
        <w:rPr>
          <w:rFonts w:ascii="Arial" w:cs="Arial" w:eastAsia="Arial" w:hAnsi="Arial"/>
          <w:sz w:val="21"/>
          <w:szCs w:val="21"/>
          <w:b w:val="1"/>
          <w:bCs w:val="1"/>
          <w:color w:val="010000"/>
        </w:rPr>
        <w:t xml:space="preserve">4.5.4 </w:t>
      </w:r>
      <w:r>
        <w:rPr>
          <w:rFonts w:ascii="Arial" w:cs="Arial" w:eastAsia="Arial" w:hAnsi="Arial"/>
          <w:sz w:val="18"/>
          <w:szCs w:val="18"/>
          <w:b w:val="1"/>
          <w:bCs w:val="1"/>
          <w:color w:val="000000"/>
        </w:rPr>
        <w:t>Termination by Company without Cause or by Executive for Good Reason In Connection with a Change</w:t>
      </w:r>
      <w:r>
        <w:rPr>
          <w:rFonts w:ascii="Arial" w:cs="Arial" w:eastAsia="Arial" w:hAnsi="Arial"/>
          <w:sz w:val="21"/>
          <w:szCs w:val="21"/>
          <w:b w:val="1"/>
          <w:bCs w:val="1"/>
          <w:color w:val="010000"/>
        </w:rPr>
        <w:t xml:space="preserve"> </w:t>
      </w:r>
      <w:r>
        <w:rPr>
          <w:rFonts w:ascii="Arial" w:cs="Arial" w:eastAsia="Arial" w:hAnsi="Arial"/>
          <w:sz w:val="18"/>
          <w:szCs w:val="18"/>
          <w:b w:val="1"/>
          <w:bCs w:val="1"/>
          <w:color w:val="000000"/>
        </w:rPr>
        <w:t>in Control</w:t>
      </w:r>
      <w:r>
        <w:rPr>
          <w:rFonts w:ascii="Arial" w:cs="Arial" w:eastAsia="Arial" w:hAnsi="Arial"/>
          <w:sz w:val="18"/>
          <w:szCs w:val="18"/>
          <w:color w:val="000000"/>
        </w:rPr>
        <w:t>. If the Company terminates Executive’s employment without Cause or if Executive resigns his employment for Good Reason, in</w:t>
      </w:r>
      <w:r>
        <w:rPr>
          <w:rFonts w:ascii="Arial" w:cs="Arial" w:eastAsia="Arial" w:hAnsi="Arial"/>
          <w:sz w:val="18"/>
          <w:szCs w:val="18"/>
          <w:b w:val="1"/>
          <w:bCs w:val="1"/>
          <w:color w:val="000000"/>
        </w:rPr>
        <w:t xml:space="preserve"> </w:t>
      </w:r>
      <w:r>
        <w:rPr>
          <w:rFonts w:ascii="Arial" w:cs="Arial" w:eastAsia="Arial" w:hAnsi="Arial"/>
          <w:sz w:val="18"/>
          <w:szCs w:val="18"/>
          <w:color w:val="000000"/>
        </w:rPr>
        <w:t xml:space="preserve">either case upon the occurrence of, or within the 13 months immediately following, the effective date of a Change in Control, the Company shall pay Executive’s accrued and unpaid base salary and accrued and unused vacation benefits earned through the date of termination, at the rate in effect at the time of termination, less standard deductions and withholdings. In addition, if Executive furnishes to the Company an executed Release within the time period specified therein, but in no event later than 45 days following Executive’s termination, and if Executive allows such Release to become effective in accordance with its terms, then Executive shall be entitled to: (1) the Severance Payments and COBRA payments described in Section 4.5.3 above;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the Severance Payments and COBRA payments shall be increased from 12 months to 18 months; and (2) accelerated vesting of all of Executive’s unvested Company equity awards, such that Executive shall become vested in 100% of the shares subject to all such equity awards on the effective date of the Release</w:t>
      </w:r>
      <w:r>
        <w:rPr>
          <w:rFonts w:ascii="Arial" w:cs="Arial" w:eastAsia="Arial" w:hAnsi="Arial"/>
          <w:sz w:val="20"/>
          <w:szCs w:val="20"/>
          <w:color w:val="000000"/>
        </w:rPr>
        <w:t>;</w:t>
      </w:r>
      <w:r>
        <w:rPr>
          <w:rFonts w:ascii="Arial" w:cs="Arial" w:eastAsia="Arial" w:hAnsi="Arial"/>
          <w:sz w:val="18"/>
          <w:szCs w:val="18"/>
          <w:color w:val="000000"/>
        </w:rPr>
        <w:t xml:space="preserve"> provided, however, that the vesting of any performance-based awards shall be as if all applicable performance criteria were achieved at target levels. The Company shall thereafter have no further obligations to Executive under this Agreement, except as otherwise provided by law.</w:t>
      </w:r>
    </w:p>
    <w:p>
      <w:pPr>
        <w:spacing w:after="0" w:line="167"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4.6</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233" w:lineRule="exact"/>
        <w:rPr>
          <w:sz w:val="20"/>
          <w:szCs w:val="20"/>
          <w:color w:val="auto"/>
        </w:rPr>
      </w:pPr>
    </w:p>
    <w:p>
      <w:pPr>
        <w:ind w:right="80" w:firstLine="1945"/>
        <w:spacing w:after="0" w:line="279" w:lineRule="auto"/>
        <w:rPr>
          <w:sz w:val="20"/>
          <w:szCs w:val="20"/>
          <w:color w:val="auto"/>
        </w:rPr>
      </w:pPr>
      <w:r>
        <w:rPr>
          <w:rFonts w:ascii="Arial" w:cs="Arial" w:eastAsia="Arial" w:hAnsi="Arial"/>
          <w:sz w:val="22"/>
          <w:szCs w:val="22"/>
          <w:b w:val="1"/>
          <w:bCs w:val="1"/>
          <w:color w:val="010000"/>
        </w:rPr>
        <w:t xml:space="preserve">4.6.1 </w:t>
      </w:r>
      <w:r>
        <w:rPr>
          <w:rFonts w:ascii="Arial" w:cs="Arial" w:eastAsia="Arial" w:hAnsi="Arial"/>
          <w:sz w:val="19"/>
          <w:szCs w:val="19"/>
          <w:b w:val="1"/>
          <w:bCs w:val="1"/>
          <w:color w:val="000000"/>
        </w:rPr>
        <w:t>Cause</w:t>
      </w:r>
      <w:r>
        <w:rPr>
          <w:rFonts w:ascii="Arial" w:cs="Arial" w:eastAsia="Arial" w:hAnsi="Arial"/>
          <w:sz w:val="19"/>
          <w:szCs w:val="19"/>
          <w:color w:val="000000"/>
        </w:rPr>
        <w:t>. “</w:t>
      </w:r>
      <w:r>
        <w:rPr>
          <w:rFonts w:ascii="Arial" w:cs="Arial" w:eastAsia="Arial" w:hAnsi="Arial"/>
          <w:sz w:val="19"/>
          <w:szCs w:val="19"/>
          <w:b w:val="1"/>
          <w:bCs w:val="1"/>
          <w:i w:val="1"/>
          <w:iCs w:val="1"/>
          <w:color w:val="000000"/>
        </w:rPr>
        <w:t>Cause</w:t>
      </w:r>
      <w:r>
        <w:rPr>
          <w:rFonts w:ascii="Arial" w:cs="Arial" w:eastAsia="Arial" w:hAnsi="Arial"/>
          <w:sz w:val="19"/>
          <w:szCs w:val="19"/>
          <w:color w:val="000000"/>
        </w:rPr>
        <w:t>” shall mean the occurrence of any one or more of the following: (i) Executive’s commission of</w:t>
      </w:r>
      <w:r>
        <w:rPr>
          <w:rFonts w:ascii="Arial" w:cs="Arial" w:eastAsia="Arial" w:hAnsi="Arial"/>
          <w:sz w:val="22"/>
          <w:szCs w:val="22"/>
          <w:b w:val="1"/>
          <w:bCs w:val="1"/>
          <w:color w:val="010000"/>
        </w:rPr>
        <w:t xml:space="preserve"> </w:t>
      </w:r>
      <w:r>
        <w:rPr>
          <w:rFonts w:ascii="Arial" w:cs="Arial" w:eastAsia="Arial" w:hAnsi="Arial"/>
          <w:sz w:val="19"/>
          <w:szCs w:val="19"/>
          <w:color w:val="000000"/>
        </w:rPr>
        <w:t xml:space="preserve">any crime involving fraud, dishonesty or moral turpitude; (ii) Executive’s attempted commission of or participation in a fraud or act of dishonesty against the Company that results in (or might have reasonably resulted in) material harm to the business of the Company; (iii) Executive’s intentional, material violation of any contract or agreement between Executive and the Company or any statutory duty Executive owes to the Company; or (iv) Executive’s conduct that constitutes gross insubordination, incompetence or habitual neglect of duties and that results in (or might have reasonably resulted in) material harm to the business of the Company;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the action or conduct described in clauses (iii) and (iv) above will constitute “Cause” only if such action or conduct continues after the Company has provided Executive with written notice thereof and thirty (30) days to cure, or otherwise remedy to the extent possible under direct control of the Executive, the same. An occurrence of “Cause” as set forth in the preceding sentence shall be based upon a good faith determination by the Board. Executive’s Disability shall not constitute Cause as set forth herein. The determination that a termination is for Cause shall be by the Board in its sole and exclusive judgment and discretion.</w:t>
      </w:r>
    </w:p>
    <w:p>
      <w:pPr>
        <w:spacing w:after="0" w:line="178" w:lineRule="exact"/>
        <w:rPr>
          <w:sz w:val="20"/>
          <w:szCs w:val="20"/>
          <w:color w:val="auto"/>
        </w:rPr>
      </w:pPr>
    </w:p>
    <w:p>
      <w:pPr>
        <w:ind w:left="1960"/>
        <w:spacing w:after="0"/>
        <w:tabs>
          <w:tab w:leader="none" w:pos="2540" w:val="left"/>
        </w:tabs>
        <w:rPr>
          <w:sz w:val="20"/>
          <w:szCs w:val="20"/>
          <w:color w:val="auto"/>
        </w:rPr>
      </w:pPr>
      <w:r>
        <w:rPr>
          <w:rFonts w:ascii="Arial" w:cs="Arial" w:eastAsia="Arial" w:hAnsi="Arial"/>
          <w:sz w:val="22"/>
          <w:szCs w:val="22"/>
          <w:b w:val="1"/>
          <w:bCs w:val="1"/>
          <w:color w:val="010000"/>
        </w:rPr>
        <w:t>4.6.2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have the meaning set forth in the Amended and Restated 2006 Equity Incentive</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32" w:lineRule="exact"/>
        <w:rPr>
          <w:sz w:val="20"/>
          <w:szCs w:val="20"/>
          <w:color w:val="auto"/>
        </w:rPr>
      </w:pPr>
    </w:p>
    <w:p>
      <w:pPr>
        <w:ind w:right="100" w:firstLine="1945"/>
        <w:spacing w:after="0" w:line="275" w:lineRule="auto"/>
        <w:rPr>
          <w:sz w:val="20"/>
          <w:szCs w:val="20"/>
          <w:color w:val="auto"/>
        </w:rPr>
      </w:pPr>
      <w:r>
        <w:rPr>
          <w:rFonts w:ascii="Arial" w:cs="Arial" w:eastAsia="Arial" w:hAnsi="Arial"/>
          <w:sz w:val="22"/>
          <w:szCs w:val="22"/>
          <w:b w:val="1"/>
          <w:bCs w:val="1"/>
          <w:color w:val="010000"/>
        </w:rPr>
        <w:t xml:space="preserve">4.6.3 </w:t>
      </w:r>
      <w:r>
        <w:rPr>
          <w:rFonts w:ascii="Arial" w:cs="Arial" w:eastAsia="Arial" w:hAnsi="Arial"/>
          <w:sz w:val="19"/>
          <w:szCs w:val="19"/>
          <w:color w:val="000000"/>
        </w:rPr>
        <w:t>“</w:t>
      </w:r>
      <w:r>
        <w:rPr>
          <w:rFonts w:ascii="Arial" w:cs="Arial" w:eastAsia="Arial" w:hAnsi="Arial"/>
          <w:sz w:val="19"/>
          <w:szCs w:val="19"/>
          <w:b w:val="1"/>
          <w:bCs w:val="1"/>
          <w:i w:val="1"/>
          <w:iCs w:val="1"/>
          <w:color w:val="000000"/>
        </w:rPr>
        <w:t>Good Reason</w:t>
      </w:r>
      <w:r>
        <w:rPr>
          <w:rFonts w:ascii="Arial" w:cs="Arial" w:eastAsia="Arial" w:hAnsi="Arial"/>
          <w:sz w:val="19"/>
          <w:szCs w:val="19"/>
          <w:color w:val="000000"/>
        </w:rPr>
        <w:t>” shall mean any of the following actions: (i) the assignment to Executive of any duties or</w:t>
      </w:r>
      <w:r>
        <w:rPr>
          <w:rFonts w:ascii="Arial" w:cs="Arial" w:eastAsia="Arial" w:hAnsi="Arial"/>
          <w:sz w:val="22"/>
          <w:szCs w:val="22"/>
          <w:b w:val="1"/>
          <w:bCs w:val="1"/>
          <w:color w:val="010000"/>
        </w:rPr>
        <w:t xml:space="preserve"> </w:t>
      </w:r>
      <w:r>
        <w:rPr>
          <w:rFonts w:ascii="Arial" w:cs="Arial" w:eastAsia="Arial" w:hAnsi="Arial"/>
          <w:sz w:val="19"/>
          <w:szCs w:val="19"/>
          <w:color w:val="000000"/>
        </w:rPr>
        <w:t>responsibilities that results in a material diminution in Executive’s function as in effect immediately prior to the effective date of the Change in Control; provided, however, that it will be considered a material diminution in Executive’s function if, following a Change in Control, the Executive is not reporting directly to the Company’s corporate board of directors (or in the event of a Change in Control where the Company becomes a subsidiary of another company or</w:t>
      </w:r>
    </w:p>
    <w:p>
      <w:pPr>
        <w:spacing w:after="0" w:line="200" w:lineRule="exact"/>
        <w:rPr>
          <w:sz w:val="20"/>
          <w:szCs w:val="20"/>
          <w:color w:val="auto"/>
        </w:rPr>
      </w:pPr>
    </w:p>
    <w:p>
      <w:pPr>
        <w:spacing w:after="0" w:line="23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2" w:right="239" w:bottom="1440" w:gutter="0" w:footer="0" w:header="0"/>
        </w:sectPr>
      </w:pPr>
    </w:p>
    <w:bookmarkStart w:id="113" w:name="page114"/>
    <w:bookmarkEnd w:id="113"/>
    <w:p>
      <w:pPr>
        <w:spacing w:after="0" w:line="269" w:lineRule="auto"/>
        <w:rPr>
          <w:sz w:val="20"/>
          <w:szCs w:val="20"/>
          <w:color w:val="auto"/>
        </w:rPr>
      </w:pPr>
      <w:r>
        <w:rPr>
          <w:rFonts w:ascii="Arial" w:cs="Arial" w:eastAsia="Arial" w:hAnsi="Arial"/>
          <w:sz w:val="18"/>
          <w:szCs w:val="18"/>
          <w:color w:val="auto"/>
        </w:rPr>
        <w:t>ceases to exist, the corporate board of directors of the ultimate parent entity resulting from such Change in Control); (ii) a reduction by the Company in Executive’s annual base salary as in effect on the effective date of the Change in Control; provided, however, that Good Reason shall not be deemed to have occurred in the event of a reduction in Executive’s annual base salary that is pursuant to a salary reduction program affecting substantially all of the employees of the Company and that does not adversely affect Executive to a greater extent than other similarly situated employees; or (iii) a relocation of Executive’s primary business office to a location more than 50 miles from the location of Executive’s primary business office as of the effective date of the Change in Control, except for required travel by Executive on the Company’s business to an extent substantially consistent with Executive’s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Executive must provide the Company with written notice of the condition constituting Good Reason within 90 days of the initial occurrence of such condition, and allow the Company a 30-day cure period in which to cure such condition, and the Executive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7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4.7</w:t>
      </w:r>
      <w:r>
        <w:rPr>
          <w:sz w:val="20"/>
          <w:szCs w:val="20"/>
          <w:color w:val="auto"/>
        </w:rPr>
        <w:tab/>
      </w:r>
      <w:r>
        <w:rPr>
          <w:rFonts w:ascii="Arial" w:cs="Arial" w:eastAsia="Arial" w:hAnsi="Arial"/>
          <w:sz w:val="18"/>
          <w:szCs w:val="18"/>
          <w:b w:val="1"/>
          <w:bCs w:val="1"/>
          <w:color w:val="auto"/>
        </w:rPr>
        <w:t>Survival of Certain Sections</w:t>
      </w:r>
      <w:r>
        <w:rPr>
          <w:rFonts w:ascii="Arial" w:cs="Arial" w:eastAsia="Arial" w:hAnsi="Arial"/>
          <w:sz w:val="18"/>
          <w:szCs w:val="18"/>
          <w:color w:val="auto"/>
        </w:rPr>
        <w:t>. Sections 2, 3.4, 3.6 and 4 through 18 of this Agreement will survive the termination of this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3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4.8</w:t>
      </w:r>
      <w:r>
        <w:rPr>
          <w:sz w:val="20"/>
          <w:szCs w:val="20"/>
          <w:color w:val="auto"/>
        </w:rPr>
        <w:tab/>
      </w:r>
      <w:r>
        <w:rPr>
          <w:rFonts w:ascii="Arial" w:cs="Arial" w:eastAsia="Arial" w:hAnsi="Arial"/>
          <w:sz w:val="18"/>
          <w:szCs w:val="18"/>
          <w:b w:val="1"/>
          <w:bCs w:val="1"/>
          <w:color w:val="auto"/>
        </w:rPr>
        <w:t>Parachute Payment</w:t>
      </w:r>
      <w:r>
        <w:rPr>
          <w:rFonts w:ascii="Arial" w:cs="Arial" w:eastAsia="Arial" w:hAnsi="Arial"/>
          <w:sz w:val="18"/>
          <w:szCs w:val="18"/>
          <w:color w:val="auto"/>
        </w:rPr>
        <w:t>. If any payment or benefit Executive would receive pursuant to this Agreement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w:t>
      </w:r>
    </w:p>
    <w:p>
      <w:pPr>
        <w:spacing w:after="0" w:line="28" w:lineRule="exact"/>
        <w:rPr>
          <w:sz w:val="20"/>
          <w:szCs w:val="20"/>
          <w:color w:val="auto"/>
        </w:rPr>
      </w:pPr>
    </w:p>
    <w:p>
      <w:pPr>
        <w:ind w:right="20" w:firstLine="8"/>
        <w:spacing w:after="0" w:line="303" w:lineRule="auto"/>
        <w:tabs>
          <w:tab w:leader="none" w:pos="2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constitute a “</w:t>
      </w:r>
      <w:r>
        <w:rPr>
          <w:rFonts w:ascii="Arial" w:cs="Arial" w:eastAsia="Arial" w:hAnsi="Arial"/>
          <w:sz w:val="18"/>
          <w:szCs w:val="18"/>
          <w:b w:val="1"/>
          <w:bCs w:val="1"/>
          <w:i w:val="1"/>
          <w:iCs w:val="1"/>
          <w:color w:val="auto"/>
        </w:rPr>
        <w:t>Parachute Payment</w:t>
      </w:r>
      <w:r>
        <w:rPr>
          <w:rFonts w:ascii="Arial" w:cs="Arial" w:eastAsia="Arial" w:hAnsi="Arial"/>
          <w:sz w:val="18"/>
          <w:szCs w:val="18"/>
          <w:color w:val="auto"/>
        </w:rPr>
        <w:t>” within the meaning of Section 280G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Executive’s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Executive. If more than one method of reduction will result in the same economic benefit, the items so reduced will be reduced pro rata.</w:t>
      </w:r>
    </w:p>
    <w:p>
      <w:pPr>
        <w:spacing w:after="0" w:line="160" w:lineRule="exact"/>
        <w:rPr>
          <w:sz w:val="20"/>
          <w:szCs w:val="20"/>
          <w:color w:val="auto"/>
        </w:rPr>
      </w:pPr>
    </w:p>
    <w:p>
      <w:pPr>
        <w:ind w:right="80" w:firstLine="648"/>
        <w:spacing w:after="0" w:line="244" w:lineRule="auto"/>
        <w:rPr>
          <w:sz w:val="20"/>
          <w:szCs w:val="20"/>
          <w:color w:val="auto"/>
        </w:rPr>
      </w:pPr>
      <w:r>
        <w:rPr>
          <w:rFonts w:ascii="Arial" w:cs="Arial" w:eastAsia="Arial" w:hAnsi="Arial"/>
          <w:sz w:val="20"/>
          <w:szCs w:val="20"/>
          <w:color w:val="auto"/>
        </w:rPr>
        <w:t>In the event it is subsequently determined by the Internal Revenue Service that some portion of the Reduced Amount (as determined pursuant to clause (x) in the preceding paragraph) is subject to the Excise Tax, Executive agrees to promptly return to the Company a sufficient amount of the Payment so that no portion of the Reduced Amount is subject to the Excise Tax. For the avoidance of doubt, if the Reduced Amount is determined in accordance with clause (y) in the preceding paragraph, Executive will have no obligation to return any portion of the Payment pursuant to the preceding sentence.</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2" w:right="239" w:bottom="1440" w:gutter="0" w:footer="0" w:header="0"/>
        </w:sectPr>
      </w:pPr>
    </w:p>
    <w:bookmarkStart w:id="114" w:name="page115"/>
    <w:bookmarkEnd w:id="114"/>
    <w:p>
      <w:pPr>
        <w:ind w:right="100" w:firstLine="648"/>
        <w:spacing w:after="0" w:line="260" w:lineRule="auto"/>
        <w:rPr>
          <w:sz w:val="20"/>
          <w:szCs w:val="20"/>
          <w:color w:val="auto"/>
        </w:rPr>
      </w:pPr>
      <w:r>
        <w:rPr>
          <w:rFonts w:ascii="Arial" w:cs="Arial" w:eastAsia="Arial" w:hAnsi="Arial"/>
          <w:sz w:val="19"/>
          <w:szCs w:val="19"/>
          <w:color w:val="auto"/>
        </w:rPr>
        <w:t>Unless Executive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1" w:lineRule="exact"/>
        <w:rPr>
          <w:sz w:val="20"/>
          <w:szCs w:val="20"/>
          <w:color w:val="auto"/>
        </w:rPr>
      </w:pPr>
    </w:p>
    <w:p>
      <w:pPr>
        <w:ind w:right="20" w:firstLine="648"/>
        <w:spacing w:after="0" w:line="246" w:lineRule="auto"/>
        <w:rPr>
          <w:sz w:val="20"/>
          <w:szCs w:val="20"/>
          <w:color w:val="auto"/>
        </w:rPr>
      </w:pPr>
      <w:r>
        <w:rPr>
          <w:rFonts w:ascii="Arial" w:cs="Arial" w:eastAsia="Arial" w:hAnsi="Arial"/>
          <w:sz w:val="20"/>
          <w:szCs w:val="20"/>
          <w:color w:val="auto"/>
        </w:rPr>
        <w:t>The Company shall use commercially reasonable efforts such that the accounting, law or consulting firm engaged to make the determinations hereunder shall provide its calculations, together with detailed supporting documentation, to Executive and the Company within 15 calendar days after the date on which Executive’s right to a Payment is triggered (if requested at that time by Executive or the Company) or such other time as requested by Executive or the Company.</w:t>
      </w:r>
    </w:p>
    <w:p>
      <w:pPr>
        <w:spacing w:after="0" w:line="19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22"/>
          <w:szCs w:val="22"/>
          <w:b w:val="1"/>
          <w:bCs w:val="1"/>
          <w:color w:val="010000"/>
        </w:rPr>
        <w:t xml:space="preserve">4.9 </w:t>
      </w:r>
      <w:r>
        <w:rPr>
          <w:rFonts w:ascii="Arial" w:cs="Arial" w:eastAsia="Arial" w:hAnsi="Arial"/>
          <w:sz w:val="19"/>
          <w:szCs w:val="19"/>
          <w:b w:val="1"/>
          <w:bCs w:val="1"/>
          <w:color w:val="000000"/>
        </w:rPr>
        <w:t>Application of Internal Revenue Code Section 409A</w:t>
      </w:r>
      <w:r>
        <w:rPr>
          <w:rFonts w:ascii="Arial" w:cs="Arial" w:eastAsia="Arial" w:hAnsi="Arial"/>
          <w:sz w:val="19"/>
          <w:szCs w:val="19"/>
          <w:color w:val="000000"/>
        </w:rPr>
        <w:t>. Notwithstanding anything to the contrary set forth herein, any</w:t>
      </w:r>
      <w:r>
        <w:rPr>
          <w:rFonts w:ascii="Arial" w:cs="Arial" w:eastAsia="Arial" w:hAnsi="Arial"/>
          <w:sz w:val="22"/>
          <w:szCs w:val="22"/>
          <w:b w:val="1"/>
          <w:bCs w:val="1"/>
          <w:color w:val="010000"/>
        </w:rPr>
        <w:t xml:space="preserve"> </w:t>
      </w:r>
      <w:r>
        <w:rPr>
          <w:rFonts w:ascii="Arial" w:cs="Arial" w:eastAsia="Arial" w:hAnsi="Arial"/>
          <w:sz w:val="19"/>
          <w:szCs w:val="19"/>
          <w:color w:val="000000"/>
        </w:rPr>
        <w:t>payments and benefits provided under this Agreement (the “</w:t>
      </w:r>
      <w:r>
        <w:rPr>
          <w:rFonts w:ascii="Arial" w:cs="Arial" w:eastAsia="Arial" w:hAnsi="Arial"/>
          <w:sz w:val="19"/>
          <w:szCs w:val="19"/>
          <w:b w:val="1"/>
          <w:bCs w:val="1"/>
          <w:i w:val="1"/>
          <w:iCs w:val="1"/>
          <w:color w:val="000000"/>
        </w:rPr>
        <w:t>Severance Benefits</w:t>
      </w:r>
      <w:r>
        <w:rPr>
          <w:rFonts w:ascii="Arial" w:cs="Arial" w:eastAsia="Arial" w:hAnsi="Arial"/>
          <w:sz w:val="19"/>
          <w:szCs w:val="19"/>
          <w:color w:val="000000"/>
        </w:rPr>
        <w:t>”) that constitute “deferred compensation” within the meaning of Section 409A of the Code and the regulations and other guidance thereunder and any state law of similar effect (collectively “</w:t>
      </w:r>
      <w:r>
        <w:rPr>
          <w:rFonts w:ascii="Arial" w:cs="Arial" w:eastAsia="Arial" w:hAnsi="Arial"/>
          <w:sz w:val="19"/>
          <w:szCs w:val="19"/>
          <w:b w:val="1"/>
          <w:bCs w:val="1"/>
          <w:i w:val="1"/>
          <w:iCs w:val="1"/>
          <w:color w:val="000000"/>
        </w:rPr>
        <w:t>Section</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409A</w:t>
      </w:r>
      <w:r>
        <w:rPr>
          <w:rFonts w:ascii="Arial" w:cs="Arial" w:eastAsia="Arial" w:hAnsi="Arial"/>
          <w:sz w:val="19"/>
          <w:szCs w:val="19"/>
          <w:color w:val="000000"/>
        </w:rPr>
        <w:t>”) shall not commence in connection with Executive’s termination of employment unless and until Executive has also incurred a</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“separation from service” (as such term is defined in Treasury Regulation Section l.409A-l (h) (“</w:t>
      </w:r>
      <w:r>
        <w:rPr>
          <w:rFonts w:ascii="Arial" w:cs="Arial" w:eastAsia="Arial" w:hAnsi="Arial"/>
          <w:sz w:val="19"/>
          <w:szCs w:val="19"/>
          <w:b w:val="1"/>
          <w:bCs w:val="1"/>
          <w:i w:val="1"/>
          <w:iCs w:val="1"/>
          <w:color w:val="000000"/>
        </w:rPr>
        <w:t>Separation From Service</w:t>
      </w:r>
      <w:r>
        <w:rPr>
          <w:rFonts w:ascii="Arial" w:cs="Arial" w:eastAsia="Arial" w:hAnsi="Arial"/>
          <w:sz w:val="19"/>
          <w:szCs w:val="19"/>
          <w:color w:val="000000"/>
        </w:rPr>
        <w:t>”), unless the Company reasonably determines that such amounts may be provided to Executive without causing Executive to incur the additional 20% tax under Section 409A.</w:t>
      </w:r>
    </w:p>
    <w:p>
      <w:pPr>
        <w:spacing w:after="0" w:line="178"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It is intended that each installment of the Severance Benefits payments provided for in this Agreement is a separate “payment” for purposes of Treasury Regulation Section 1.409A- 2(b)(2)(i). For the avoidance of doubt, it is intended that payments of the Severance Benefits set forth in this Agreement satisfy, to the greatest extent possible, the exemptions from the application of Section 409A provided under Treasury Regulation Sections l.409A-l(b)(4), l.409A-l(b)(5) and 1.409A-l (b)(9). However, if the Company (or, if applicable, the successor entity thereto) determines that the Severance Benefits constitute “deferred compensation” under Section 409A and Executive is, on the termination of service, a “specified employee” of the Company or any successor entity thereto, as such term is defined in Section 409A(a)(2) (B)(i) of the Code, then, solely to the extent necessary to avoid the incurrence of the adverse personal tax consequences under Section 409A, the timing of the Severance Benefit payments shall be delayed until the earlier to occur of: (i) the date that is six months and one day after Executive’s Separation From Service, or (ii) the date of Executive’s death (such applicable date, the “</w:t>
      </w:r>
      <w:r>
        <w:rPr>
          <w:rFonts w:ascii="Arial" w:cs="Arial" w:eastAsia="Arial" w:hAnsi="Arial"/>
          <w:sz w:val="18"/>
          <w:szCs w:val="18"/>
          <w:b w:val="1"/>
          <w:bCs w:val="1"/>
          <w:i w:val="1"/>
          <w:iCs w:val="1"/>
          <w:color w:val="auto"/>
        </w:rPr>
        <w:t>Specified Employee Initial Payment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the Company (or the successor entity thereto, as applicable) shall (A) pay to Executive a lump sum amount equal to the sum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Severance Benefit payments that Executive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4" w:lineRule="exact"/>
        <w:rPr>
          <w:sz w:val="20"/>
          <w:szCs w:val="20"/>
          <w:color w:val="auto"/>
        </w:rPr>
      </w:pPr>
    </w:p>
    <w:p>
      <w:pPr>
        <w:jc w:val="both"/>
        <w:ind w:right="220" w:firstLine="1297"/>
        <w:spacing w:after="0" w:line="272" w:lineRule="auto"/>
        <w:rPr>
          <w:sz w:val="20"/>
          <w:szCs w:val="20"/>
          <w:color w:val="auto"/>
        </w:rPr>
      </w:pPr>
      <w:r>
        <w:rPr>
          <w:rFonts w:ascii="Arial" w:cs="Arial" w:eastAsia="Arial" w:hAnsi="Arial"/>
          <w:sz w:val="18"/>
          <w:szCs w:val="18"/>
          <w:color w:val="auto"/>
        </w:rPr>
        <w:t>Notwithstanding anything to the contrary set forth herein, Executive shall receive the Severance Benefits described above, if and only if Executive duly executes and returns to the Company within the applicable time period set forth therein, but in no event more than forty-five days following Separation From Service, the Release and permits the Release to become effective in accordance with its terms.</w:t>
      </w:r>
    </w:p>
    <w:p>
      <w:pPr>
        <w:spacing w:after="0" w:line="1"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Notwithstanding any other payment schedule set forth in this Agreement, none of the Severance Benefits will be paid or otherwise delivered prior to the effective date of the Release. Except to the extent</w:t>
      </w:r>
    </w:p>
    <w:p>
      <w:pPr>
        <w:spacing w:after="0" w:line="200" w:lineRule="exact"/>
        <w:rPr>
          <w:sz w:val="20"/>
          <w:szCs w:val="20"/>
          <w:color w:val="auto"/>
        </w:rPr>
      </w:pPr>
    </w:p>
    <w:p>
      <w:pPr>
        <w:spacing w:after="0" w:line="2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622" w:right="259" w:bottom="1440" w:gutter="0" w:footer="0" w:header="0"/>
        </w:sectPr>
      </w:pPr>
    </w:p>
    <w:bookmarkStart w:id="115" w:name="page116"/>
    <w:bookmarkEnd w:id="115"/>
    <w:p>
      <w:pPr>
        <w:spacing w:after="0" w:line="244" w:lineRule="auto"/>
        <w:rPr>
          <w:sz w:val="20"/>
          <w:szCs w:val="20"/>
          <w:color w:val="auto"/>
        </w:rPr>
      </w:pPr>
      <w:r>
        <w:rPr>
          <w:rFonts w:ascii="Arial" w:cs="Arial" w:eastAsia="Arial" w:hAnsi="Arial"/>
          <w:sz w:val="20"/>
          <w:szCs w:val="20"/>
          <w:color w:val="auto"/>
        </w:rPr>
        <w:t>that payments may be delayed until the Specified Employee Initial Payment Date pursuant to the preceding paragraph, on the first regular payroll pay day following the effective date of the Release, the Company will pay Executive the Severance Benefits Executive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98" w:lineRule="exact"/>
        <w:rPr>
          <w:sz w:val="20"/>
          <w:szCs w:val="20"/>
          <w:color w:val="auto"/>
        </w:rPr>
      </w:pPr>
    </w:p>
    <w:p>
      <w:pPr>
        <w:ind w:firstLine="1297"/>
        <w:spacing w:after="0" w:line="275" w:lineRule="auto"/>
        <w:rPr>
          <w:sz w:val="20"/>
          <w:szCs w:val="20"/>
          <w:color w:val="auto"/>
        </w:rPr>
      </w:pPr>
      <w:r>
        <w:rPr>
          <w:rFonts w:ascii="Arial" w:cs="Arial" w:eastAsia="Arial" w:hAnsi="Arial"/>
          <w:sz w:val="22"/>
          <w:szCs w:val="22"/>
          <w:b w:val="1"/>
          <w:bCs w:val="1"/>
          <w:color w:val="010000"/>
        </w:rPr>
        <w:t xml:space="preserve">4.10 </w:t>
      </w:r>
      <w:r>
        <w:rPr>
          <w:rFonts w:ascii="Arial" w:cs="Arial" w:eastAsia="Arial" w:hAnsi="Arial"/>
          <w:sz w:val="19"/>
          <w:szCs w:val="19"/>
          <w:b w:val="1"/>
          <w:bCs w:val="1"/>
          <w:color w:val="000000"/>
        </w:rPr>
        <w:t>Nondisparagement</w:t>
      </w:r>
      <w:r>
        <w:rPr>
          <w:rFonts w:ascii="Arial" w:cs="Arial" w:eastAsia="Arial" w:hAnsi="Arial"/>
          <w:sz w:val="19"/>
          <w:szCs w:val="19"/>
          <w:color w:val="000000"/>
        </w:rPr>
        <w:t>. Executive agrees not to disparage the Company and its officers, directors, employees, shareholders</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agents, in any manner likely to be harmful to them or their business, business reputations or personal reputations , and the Company agrees to direct its employees, officers, directors, shareholders and agents not to disparage Executive in any manner likely to be harmful to Executive reputation or future employment; provided that Company and Executive may respond accurately and fully to any question, inquiry or request for information when required by legal process or as part of a government investigation.</w:t>
      </w:r>
    </w:p>
    <w:p>
      <w:pPr>
        <w:spacing w:after="0" w:line="200" w:lineRule="exact"/>
        <w:rPr>
          <w:sz w:val="20"/>
          <w:szCs w:val="20"/>
          <w:color w:val="auto"/>
        </w:rPr>
      </w:pPr>
    </w:p>
    <w:p>
      <w:pPr>
        <w:ind w:left="1000" w:hanging="344"/>
        <w:spacing w:after="0"/>
        <w:tabs>
          <w:tab w:leader="none" w:pos="1000" w:val="left"/>
        </w:tabs>
        <w:numPr>
          <w:ilvl w:val="0"/>
          <w:numId w:val="62"/>
        </w:numPr>
        <w:rPr>
          <w:rFonts w:ascii="Arial" w:cs="Arial" w:eastAsia="Arial" w:hAnsi="Arial"/>
          <w:sz w:val="22"/>
          <w:szCs w:val="22"/>
          <w:b w:val="1"/>
          <w:bCs w:val="1"/>
          <w:color w:val="010000"/>
        </w:rPr>
      </w:pPr>
      <w:r>
        <w:rPr>
          <w:rFonts w:ascii="Arial" w:cs="Arial" w:eastAsia="Arial" w:hAnsi="Arial"/>
          <w:sz w:val="20"/>
          <w:szCs w:val="20"/>
          <w:b w:val="1"/>
          <w:bCs w:val="1"/>
          <w:color w:val="auto"/>
        </w:rPr>
        <w:t>CONFIDENTIAL AND PROPRIETARY INFORMATION.</w:t>
      </w:r>
    </w:p>
    <w:p>
      <w:pPr>
        <w:spacing w:after="0" w:line="212" w:lineRule="exact"/>
        <w:rPr>
          <w:sz w:val="20"/>
          <w:szCs w:val="20"/>
          <w:color w:val="auto"/>
        </w:rPr>
      </w:pPr>
    </w:p>
    <w:p>
      <w:pPr>
        <w:ind w:right="680" w:firstLine="648"/>
        <w:spacing w:after="0" w:line="260" w:lineRule="auto"/>
        <w:rPr>
          <w:sz w:val="20"/>
          <w:szCs w:val="20"/>
          <w:color w:val="auto"/>
        </w:rPr>
      </w:pPr>
      <w:r>
        <w:rPr>
          <w:rFonts w:ascii="Arial" w:cs="Arial" w:eastAsia="Arial" w:hAnsi="Arial"/>
          <w:sz w:val="20"/>
          <w:szCs w:val="20"/>
          <w:color w:val="auto"/>
        </w:rPr>
        <w:t>Executive has already executed, as a condition of Executive’s employment with the Company, the Company’s standard form of Proprietary Information and Inventions Agreement (the “</w:t>
      </w:r>
      <w:r>
        <w:rPr>
          <w:rFonts w:ascii="Arial" w:cs="Arial" w:eastAsia="Arial" w:hAnsi="Arial"/>
          <w:sz w:val="20"/>
          <w:szCs w:val="20"/>
          <w:b w:val="1"/>
          <w:bCs w:val="1"/>
          <w:i w:val="1"/>
          <w:iCs w:val="1"/>
          <w:color w:val="auto"/>
        </w:rPr>
        <w:t>PIIA</w:t>
      </w:r>
      <w:r>
        <w:rPr>
          <w:rFonts w:ascii="Arial" w:cs="Arial" w:eastAsia="Arial" w:hAnsi="Arial"/>
          <w:sz w:val="20"/>
          <w:szCs w:val="20"/>
          <w:color w:val="auto"/>
        </w:rPr>
        <w:t>”). The PIIA remains in full force and effect.</w:t>
      </w:r>
    </w:p>
    <w:p>
      <w:pPr>
        <w:spacing w:after="0" w:line="198" w:lineRule="exact"/>
        <w:rPr>
          <w:sz w:val="20"/>
          <w:szCs w:val="20"/>
          <w:color w:val="auto"/>
        </w:rPr>
      </w:pPr>
    </w:p>
    <w:p>
      <w:pPr>
        <w:ind w:left="1000" w:hanging="344"/>
        <w:spacing w:after="0"/>
        <w:tabs>
          <w:tab w:leader="none" w:pos="1000" w:val="left"/>
        </w:tabs>
        <w:numPr>
          <w:ilvl w:val="0"/>
          <w:numId w:val="63"/>
        </w:numPr>
        <w:rPr>
          <w:rFonts w:ascii="Arial" w:cs="Arial" w:eastAsia="Arial" w:hAnsi="Arial"/>
          <w:sz w:val="22"/>
          <w:szCs w:val="22"/>
          <w:b w:val="1"/>
          <w:bCs w:val="1"/>
          <w:color w:val="010000"/>
        </w:rPr>
      </w:pPr>
      <w:r>
        <w:rPr>
          <w:rFonts w:ascii="Arial" w:cs="Arial" w:eastAsia="Arial" w:hAnsi="Arial"/>
          <w:sz w:val="20"/>
          <w:szCs w:val="20"/>
          <w:b w:val="1"/>
          <w:bCs w:val="1"/>
          <w:color w:val="auto"/>
        </w:rPr>
        <w:t>ASSIGNMENT AND BINDING EFFECT.</w:t>
      </w:r>
    </w:p>
    <w:p>
      <w:pPr>
        <w:spacing w:after="0" w:line="212" w:lineRule="exact"/>
        <w:rPr>
          <w:sz w:val="20"/>
          <w:szCs w:val="20"/>
          <w:color w:val="auto"/>
        </w:rPr>
      </w:pPr>
    </w:p>
    <w:p>
      <w:pPr>
        <w:ind w:right="60" w:firstLine="1297"/>
        <w:spacing w:after="0" w:line="258" w:lineRule="auto"/>
        <w:rPr>
          <w:sz w:val="20"/>
          <w:szCs w:val="20"/>
          <w:color w:val="auto"/>
        </w:rPr>
      </w:pPr>
      <w:r>
        <w:rPr>
          <w:rFonts w:ascii="Arial" w:cs="Arial" w:eastAsia="Arial" w:hAnsi="Arial"/>
          <w:sz w:val="19"/>
          <w:szCs w:val="19"/>
          <w:color w:val="auto"/>
        </w:rPr>
        <w:t>This Agreement shall be binding upon and inure to the benefit of Executive and Executive’s heirs, executors, personal representatives, assigns, administrators and legal representatives. Because of the unique and personal nature of Executive’s duties under this Agreement, neither this Agreement nor any rights or obligations under this Agreement shall be assignable by Executive.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200" w:lineRule="exact"/>
        <w:rPr>
          <w:sz w:val="20"/>
          <w:szCs w:val="20"/>
          <w:color w:val="auto"/>
        </w:rPr>
      </w:pPr>
    </w:p>
    <w:p>
      <w:pPr>
        <w:ind w:left="1000" w:hanging="344"/>
        <w:spacing w:after="0"/>
        <w:tabs>
          <w:tab w:leader="none" w:pos="1000" w:val="left"/>
        </w:tabs>
        <w:numPr>
          <w:ilvl w:val="0"/>
          <w:numId w:val="64"/>
        </w:numPr>
        <w:rPr>
          <w:rFonts w:ascii="Arial" w:cs="Arial" w:eastAsia="Arial" w:hAnsi="Arial"/>
          <w:sz w:val="22"/>
          <w:szCs w:val="22"/>
          <w:b w:val="1"/>
          <w:bCs w:val="1"/>
          <w:color w:val="010000"/>
        </w:rPr>
      </w:pPr>
      <w:r>
        <w:rPr>
          <w:rFonts w:ascii="Arial" w:cs="Arial" w:eastAsia="Arial" w:hAnsi="Arial"/>
          <w:sz w:val="20"/>
          <w:szCs w:val="20"/>
          <w:b w:val="1"/>
          <w:bCs w:val="1"/>
          <w:color w:val="auto"/>
        </w:rPr>
        <w:t>NOTICES.</w:t>
      </w:r>
    </w:p>
    <w:p>
      <w:pPr>
        <w:spacing w:after="0" w:line="212" w:lineRule="exact"/>
        <w:rPr>
          <w:sz w:val="20"/>
          <w:szCs w:val="20"/>
          <w:color w:val="auto"/>
        </w:rPr>
      </w:pPr>
    </w:p>
    <w:p>
      <w:pPr>
        <w:ind w:right="60" w:firstLine="1297"/>
        <w:spacing w:after="0" w:line="250" w:lineRule="auto"/>
        <w:rPr>
          <w:sz w:val="20"/>
          <w:szCs w:val="20"/>
          <w:color w:val="auto"/>
        </w:rPr>
      </w:pPr>
      <w:r>
        <w:rPr>
          <w:rFonts w:ascii="Arial" w:cs="Arial" w:eastAsia="Arial" w:hAnsi="Arial"/>
          <w:sz w:val="20"/>
          <w:szCs w:val="20"/>
          <w:color w:val="auto"/>
        </w:rPr>
        <w:t>All notices or demands of any kind required or permitted to be given by the Company or Executive under this Agreement shall be given in writing and shall be personally delivered (and receipted for) or faxed during normal business hours or mailed by certified mail, return receipt requested, postage prepaid, addressed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If to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10421 Pacific Center Court, Suite 200</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San Diego, CA 92121</w:t>
      </w:r>
    </w:p>
    <w:p>
      <w:pPr>
        <w:ind w:left="660"/>
        <w:spacing w:after="0"/>
        <w:rPr>
          <w:sz w:val="20"/>
          <w:szCs w:val="20"/>
          <w:color w:val="auto"/>
        </w:rPr>
      </w:pPr>
      <w:r>
        <w:rPr>
          <w:rFonts w:ascii="Arial" w:cs="Arial" w:eastAsia="Arial" w:hAnsi="Arial"/>
          <w:sz w:val="20"/>
          <w:szCs w:val="20"/>
          <w:color w:val="auto"/>
        </w:rPr>
        <w:t>Attention: Chairman of the Board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If to Executive: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Hamza Suria</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622" w:right="259" w:bottom="1440" w:gutter="0" w:footer="0" w:header="0"/>
        </w:sectPr>
      </w:pPr>
    </w:p>
    <w:bookmarkStart w:id="116" w:name="page117"/>
    <w:bookmarkEnd w:id="116"/>
    <w:p>
      <w:pPr>
        <w:ind w:right="240"/>
        <w:spacing w:after="0" w:line="250" w:lineRule="auto"/>
        <w:rPr>
          <w:sz w:val="20"/>
          <w:szCs w:val="20"/>
          <w:color w:val="auto"/>
        </w:rPr>
      </w:pPr>
      <w:r>
        <w:rPr>
          <w:rFonts w:ascii="Arial" w:cs="Arial" w:eastAsia="Arial" w:hAnsi="Arial"/>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207" w:lineRule="exact"/>
        <w:rPr>
          <w:sz w:val="20"/>
          <w:szCs w:val="20"/>
          <w:color w:val="auto"/>
        </w:rPr>
      </w:pPr>
    </w:p>
    <w:p>
      <w:pPr>
        <w:ind w:left="1000" w:hanging="344"/>
        <w:spacing w:after="0"/>
        <w:tabs>
          <w:tab w:leader="none" w:pos="1000" w:val="left"/>
        </w:tabs>
        <w:numPr>
          <w:ilvl w:val="0"/>
          <w:numId w:val="65"/>
        </w:numPr>
        <w:rPr>
          <w:rFonts w:ascii="Arial" w:cs="Arial" w:eastAsia="Arial" w:hAnsi="Arial"/>
          <w:sz w:val="22"/>
          <w:szCs w:val="22"/>
          <w:b w:val="1"/>
          <w:bCs w:val="1"/>
          <w:color w:val="010000"/>
        </w:rPr>
      </w:pPr>
      <w:r>
        <w:rPr>
          <w:rFonts w:ascii="Arial" w:cs="Arial" w:eastAsia="Arial" w:hAnsi="Arial"/>
          <w:sz w:val="20"/>
          <w:szCs w:val="20"/>
          <w:b w:val="1"/>
          <w:bCs w:val="1"/>
          <w:color w:val="auto"/>
        </w:rPr>
        <w:t>CHOICE OF LAW.</w:t>
      </w:r>
    </w:p>
    <w:p>
      <w:pPr>
        <w:spacing w:after="0" w:line="212" w:lineRule="exact"/>
        <w:rPr>
          <w:sz w:val="20"/>
          <w:szCs w:val="20"/>
          <w:color w:val="auto"/>
        </w:rPr>
      </w:pPr>
    </w:p>
    <w:p>
      <w:pPr>
        <w:ind w:right="520" w:firstLine="1297"/>
        <w:spacing w:after="0" w:line="260" w:lineRule="auto"/>
        <w:rPr>
          <w:sz w:val="20"/>
          <w:szCs w:val="20"/>
          <w:color w:val="auto"/>
        </w:rPr>
      </w:pPr>
      <w:r>
        <w:rPr>
          <w:rFonts w:ascii="Arial" w:cs="Arial" w:eastAsia="Arial" w:hAnsi="Arial"/>
          <w:sz w:val="20"/>
          <w:szCs w:val="20"/>
          <w:color w:val="auto"/>
        </w:rPr>
        <w:t>This Agreement shall be construed and interpreted in accordance with the internal laws of the State of California without regard to its conflict of laws principles.</w:t>
      </w:r>
    </w:p>
    <w:p>
      <w:pPr>
        <w:spacing w:after="0" w:line="198" w:lineRule="exact"/>
        <w:rPr>
          <w:sz w:val="20"/>
          <w:szCs w:val="20"/>
          <w:color w:val="auto"/>
        </w:rPr>
      </w:pPr>
    </w:p>
    <w:p>
      <w:pPr>
        <w:ind w:left="1000" w:hanging="344"/>
        <w:spacing w:after="0"/>
        <w:tabs>
          <w:tab w:leader="none" w:pos="1000" w:val="left"/>
        </w:tabs>
        <w:numPr>
          <w:ilvl w:val="0"/>
          <w:numId w:val="66"/>
        </w:numPr>
        <w:rPr>
          <w:rFonts w:ascii="Arial" w:cs="Arial" w:eastAsia="Arial" w:hAnsi="Arial"/>
          <w:sz w:val="22"/>
          <w:szCs w:val="22"/>
          <w:b w:val="1"/>
          <w:bCs w:val="1"/>
          <w:color w:val="010000"/>
        </w:rPr>
      </w:pPr>
      <w:r>
        <w:rPr>
          <w:rFonts w:ascii="Arial" w:cs="Arial" w:eastAsia="Arial" w:hAnsi="Arial"/>
          <w:sz w:val="20"/>
          <w:szCs w:val="20"/>
          <w:b w:val="1"/>
          <w:bCs w:val="1"/>
          <w:color w:val="auto"/>
        </w:rPr>
        <w:t>INTEGRATION.</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color w:val="auto"/>
        </w:rPr>
        <w:t xml:space="preserve">This Agreement, including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and the PIIA, contains the complete, final and exclusive agreement of the Parties relating to the terms and conditions of Executive’s employment and the termination of Executive’s employment, and supersedes any and all prior and/or contemporaneous oral and written employment agreements or arrangements between the Parties.</w:t>
      </w:r>
    </w:p>
    <w:p>
      <w:pPr>
        <w:spacing w:after="0" w:line="186" w:lineRule="exact"/>
        <w:rPr>
          <w:sz w:val="20"/>
          <w:szCs w:val="20"/>
          <w:color w:val="auto"/>
        </w:rPr>
      </w:pPr>
    </w:p>
    <w:p>
      <w:pPr>
        <w:ind w:left="1100" w:hanging="444"/>
        <w:spacing w:after="0"/>
        <w:tabs>
          <w:tab w:leader="none" w:pos="1100" w:val="left"/>
        </w:tabs>
        <w:numPr>
          <w:ilvl w:val="0"/>
          <w:numId w:val="67"/>
        </w:numPr>
        <w:rPr>
          <w:rFonts w:ascii="Arial" w:cs="Arial" w:eastAsia="Arial" w:hAnsi="Arial"/>
          <w:sz w:val="22"/>
          <w:szCs w:val="22"/>
          <w:b w:val="1"/>
          <w:bCs w:val="1"/>
          <w:color w:val="010000"/>
        </w:rPr>
      </w:pPr>
      <w:r>
        <w:rPr>
          <w:rFonts w:ascii="Arial" w:cs="Arial" w:eastAsia="Arial" w:hAnsi="Arial"/>
          <w:sz w:val="20"/>
          <w:szCs w:val="20"/>
          <w:b w:val="1"/>
          <w:bCs w:val="1"/>
          <w:color w:val="auto"/>
        </w:rPr>
        <w:t>AMENDMENT.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Agreement cannot be amended or modified except by a written agreement signed by Executive and the Company.</w:t>
      </w:r>
    </w:p>
    <w:p>
      <w:pPr>
        <w:spacing w:after="0" w:line="248" w:lineRule="exact"/>
        <w:rPr>
          <w:sz w:val="20"/>
          <w:szCs w:val="20"/>
          <w:color w:val="auto"/>
        </w:rPr>
      </w:pPr>
    </w:p>
    <w:p>
      <w:pPr>
        <w:ind w:left="1100" w:hanging="444"/>
        <w:spacing w:after="0"/>
        <w:tabs>
          <w:tab w:leader="none" w:pos="1100" w:val="left"/>
        </w:tabs>
        <w:numPr>
          <w:ilvl w:val="0"/>
          <w:numId w:val="68"/>
        </w:numPr>
        <w:rPr>
          <w:rFonts w:ascii="Arial" w:cs="Arial" w:eastAsia="Arial" w:hAnsi="Arial"/>
          <w:sz w:val="22"/>
          <w:szCs w:val="22"/>
          <w:b w:val="1"/>
          <w:bCs w:val="1"/>
          <w:color w:val="010000"/>
        </w:rPr>
      </w:pPr>
      <w:r>
        <w:rPr>
          <w:rFonts w:ascii="Arial" w:cs="Arial" w:eastAsia="Arial" w:hAnsi="Arial"/>
          <w:sz w:val="20"/>
          <w:szCs w:val="20"/>
          <w:b w:val="1"/>
          <w:bCs w:val="1"/>
          <w:color w:val="auto"/>
        </w:rPr>
        <w:t>WAIVER.</w:t>
      </w:r>
    </w:p>
    <w:p>
      <w:pPr>
        <w:spacing w:after="0" w:line="212" w:lineRule="exact"/>
        <w:rPr>
          <w:sz w:val="20"/>
          <w:szCs w:val="20"/>
          <w:color w:val="auto"/>
        </w:rPr>
      </w:pPr>
    </w:p>
    <w:p>
      <w:pPr>
        <w:ind w:right="160" w:firstLine="1297"/>
        <w:spacing w:after="0" w:line="269" w:lineRule="auto"/>
        <w:rPr>
          <w:sz w:val="20"/>
          <w:szCs w:val="20"/>
          <w:color w:val="auto"/>
        </w:rPr>
      </w:pPr>
      <w:r>
        <w:rPr>
          <w:rFonts w:ascii="Arial" w:cs="Arial" w:eastAsia="Arial" w:hAnsi="Arial"/>
          <w:sz w:val="19"/>
          <w:szCs w:val="19"/>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91" w:lineRule="exact"/>
        <w:rPr>
          <w:sz w:val="20"/>
          <w:szCs w:val="20"/>
          <w:color w:val="auto"/>
        </w:rPr>
      </w:pPr>
    </w:p>
    <w:p>
      <w:pPr>
        <w:ind w:left="1100" w:hanging="444"/>
        <w:spacing w:after="0"/>
        <w:tabs>
          <w:tab w:leader="none" w:pos="1100" w:val="left"/>
        </w:tabs>
        <w:numPr>
          <w:ilvl w:val="0"/>
          <w:numId w:val="69"/>
        </w:numPr>
        <w:rPr>
          <w:rFonts w:ascii="Arial" w:cs="Arial" w:eastAsia="Arial" w:hAnsi="Arial"/>
          <w:sz w:val="22"/>
          <w:szCs w:val="22"/>
          <w:b w:val="1"/>
          <w:bCs w:val="1"/>
          <w:color w:val="010000"/>
        </w:rPr>
      </w:pPr>
      <w:r>
        <w:rPr>
          <w:rFonts w:ascii="Arial" w:cs="Arial" w:eastAsia="Arial" w:hAnsi="Arial"/>
          <w:sz w:val="20"/>
          <w:szCs w:val="20"/>
          <w:b w:val="1"/>
          <w:bCs w:val="1"/>
          <w:color w:val="auto"/>
        </w:rPr>
        <w:t>SEVERABILITY.</w:t>
      </w:r>
    </w:p>
    <w:p>
      <w:pPr>
        <w:spacing w:after="0" w:line="212" w:lineRule="exact"/>
        <w:rPr>
          <w:sz w:val="20"/>
          <w:szCs w:val="20"/>
          <w:color w:val="auto"/>
        </w:rPr>
      </w:pPr>
    </w:p>
    <w:p>
      <w:pPr>
        <w:ind w:right="540" w:firstLine="1297"/>
        <w:spacing w:after="0" w:line="263" w:lineRule="auto"/>
        <w:rPr>
          <w:sz w:val="20"/>
          <w:szCs w:val="20"/>
          <w:color w:val="auto"/>
        </w:rPr>
      </w:pPr>
      <w:r>
        <w:rPr>
          <w:rFonts w:ascii="Arial" w:cs="Arial" w:eastAsia="Arial" w:hAnsi="Arial"/>
          <w:sz w:val="19"/>
          <w:szCs w:val="19"/>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198" w:lineRule="exact"/>
        <w:rPr>
          <w:sz w:val="20"/>
          <w:szCs w:val="20"/>
          <w:color w:val="auto"/>
        </w:rPr>
      </w:pPr>
    </w:p>
    <w:p>
      <w:pPr>
        <w:ind w:left="1100" w:hanging="444"/>
        <w:spacing w:after="0"/>
        <w:tabs>
          <w:tab w:leader="none" w:pos="1100" w:val="left"/>
        </w:tabs>
        <w:numPr>
          <w:ilvl w:val="0"/>
          <w:numId w:val="70"/>
        </w:numPr>
        <w:rPr>
          <w:rFonts w:ascii="Arial" w:cs="Arial" w:eastAsia="Arial" w:hAnsi="Arial"/>
          <w:sz w:val="22"/>
          <w:szCs w:val="22"/>
          <w:b w:val="1"/>
          <w:bCs w:val="1"/>
          <w:color w:val="010000"/>
        </w:rPr>
      </w:pPr>
      <w:r>
        <w:rPr>
          <w:rFonts w:ascii="Arial" w:cs="Arial" w:eastAsia="Arial" w:hAnsi="Arial"/>
          <w:sz w:val="20"/>
          <w:szCs w:val="20"/>
          <w:b w:val="1"/>
          <w:bCs w:val="1"/>
          <w:color w:val="auto"/>
        </w:rPr>
        <w:t>INTERPRETATION; CONSTRUCTION.</w:t>
      </w:r>
    </w:p>
    <w:p>
      <w:pPr>
        <w:spacing w:after="0" w:line="212" w:lineRule="exact"/>
        <w:rPr>
          <w:sz w:val="20"/>
          <w:szCs w:val="20"/>
          <w:color w:val="auto"/>
        </w:rPr>
      </w:pPr>
    </w:p>
    <w:p>
      <w:pPr>
        <w:ind w:firstLine="1297"/>
        <w:spacing w:after="0" w:line="243" w:lineRule="auto"/>
        <w:rPr>
          <w:sz w:val="20"/>
          <w:szCs w:val="20"/>
          <w:color w:val="auto"/>
        </w:rPr>
      </w:pPr>
      <w:r>
        <w:rPr>
          <w:rFonts w:ascii="Arial" w:cs="Arial" w:eastAsia="Arial" w:hAnsi="Arial"/>
          <w:sz w:val="20"/>
          <w:szCs w:val="20"/>
          <w:color w:val="auto"/>
        </w:rPr>
        <w:t>The headings set forth in this Agreement are for convenience of reference only and shall not be used in interpreting this Agreement. This Agreement has been drafted by legal counsel representing the Company, but Executive has been encouraged to consult with, and has consulted with, Executive’s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622" w:right="259" w:bottom="1440" w:gutter="0" w:footer="0" w:header="0"/>
        </w:sectPr>
      </w:pPr>
    </w:p>
    <w:bookmarkStart w:id="117" w:name="page118"/>
    <w:bookmarkEnd w:id="117"/>
    <w:p>
      <w:pPr>
        <w:ind w:left="1100" w:hanging="444"/>
        <w:spacing w:after="0"/>
        <w:tabs>
          <w:tab w:leader="none" w:pos="1100" w:val="left"/>
        </w:tabs>
        <w:numPr>
          <w:ilvl w:val="0"/>
          <w:numId w:val="71"/>
        </w:numPr>
        <w:rPr>
          <w:rFonts w:ascii="Arial" w:cs="Arial" w:eastAsia="Arial" w:hAnsi="Arial"/>
          <w:sz w:val="22"/>
          <w:szCs w:val="22"/>
          <w:b w:val="1"/>
          <w:bCs w:val="1"/>
          <w:color w:val="010000"/>
        </w:rPr>
      </w:pPr>
      <w:r>
        <w:rPr>
          <w:rFonts w:ascii="Arial" w:cs="Arial" w:eastAsia="Arial" w:hAnsi="Arial"/>
          <w:sz w:val="20"/>
          <w:szCs w:val="20"/>
          <w:b w:val="1"/>
          <w:bCs w:val="1"/>
          <w:color w:val="auto"/>
        </w:rPr>
        <w:t>REPRESENTATIONS AND WARRANTIES.</w:t>
      </w:r>
    </w:p>
    <w:p>
      <w:pPr>
        <w:spacing w:after="0" w:line="212" w:lineRule="exact"/>
        <w:rPr>
          <w:sz w:val="20"/>
          <w:szCs w:val="20"/>
          <w:color w:val="auto"/>
        </w:rPr>
      </w:pPr>
    </w:p>
    <w:p>
      <w:pPr>
        <w:ind w:right="60" w:firstLine="1297"/>
        <w:spacing w:after="0" w:line="269" w:lineRule="auto"/>
        <w:rPr>
          <w:sz w:val="20"/>
          <w:szCs w:val="20"/>
          <w:color w:val="auto"/>
        </w:rPr>
      </w:pPr>
      <w:r>
        <w:rPr>
          <w:rFonts w:ascii="Arial" w:cs="Arial" w:eastAsia="Arial" w:hAnsi="Arial"/>
          <w:sz w:val="19"/>
          <w:szCs w:val="19"/>
          <w:color w:val="auto"/>
        </w:rPr>
        <w:t>Executive represents and warrants that Executive is not restricted or prohibited, contractually or otherwise, from entering into and performing each of the terms and covenants contained in this Agreement, and that Executive’s execution and performance of this Agreement will not violate or breach any other agreements between Executive and any other person or entity.</w:t>
      </w:r>
    </w:p>
    <w:p>
      <w:pPr>
        <w:spacing w:after="0" w:line="191" w:lineRule="exact"/>
        <w:rPr>
          <w:sz w:val="20"/>
          <w:szCs w:val="20"/>
          <w:color w:val="auto"/>
        </w:rPr>
      </w:pPr>
    </w:p>
    <w:p>
      <w:pPr>
        <w:ind w:left="1100" w:hanging="444"/>
        <w:spacing w:after="0"/>
        <w:tabs>
          <w:tab w:leader="none" w:pos="1100" w:val="left"/>
        </w:tabs>
        <w:numPr>
          <w:ilvl w:val="0"/>
          <w:numId w:val="72"/>
        </w:numPr>
        <w:rPr>
          <w:rFonts w:ascii="Arial" w:cs="Arial" w:eastAsia="Arial" w:hAnsi="Arial"/>
          <w:sz w:val="22"/>
          <w:szCs w:val="22"/>
          <w:b w:val="1"/>
          <w:bCs w:val="1"/>
          <w:color w:val="010000"/>
        </w:rPr>
      </w:pPr>
      <w:r>
        <w:rPr>
          <w:rFonts w:ascii="Arial" w:cs="Arial" w:eastAsia="Arial" w:hAnsi="Arial"/>
          <w:sz w:val="20"/>
          <w:szCs w:val="20"/>
          <w:b w:val="1"/>
          <w:bCs w:val="1"/>
          <w:color w:val="auto"/>
        </w:rPr>
        <w:t>COUNTERPARTS.</w:t>
      </w:r>
    </w:p>
    <w:p>
      <w:pPr>
        <w:spacing w:after="0" w:line="212" w:lineRule="exact"/>
        <w:rPr>
          <w:sz w:val="20"/>
          <w:szCs w:val="20"/>
          <w:color w:val="auto"/>
        </w:rPr>
      </w:pPr>
    </w:p>
    <w:p>
      <w:pPr>
        <w:ind w:right="180" w:firstLine="1297"/>
        <w:spacing w:after="0" w:line="260" w:lineRule="auto"/>
        <w:rPr>
          <w:sz w:val="20"/>
          <w:szCs w:val="20"/>
          <w:color w:val="auto"/>
        </w:rPr>
      </w:pPr>
      <w:r>
        <w:rPr>
          <w:rFonts w:ascii="Arial" w:cs="Arial" w:eastAsia="Arial" w:hAnsi="Arial"/>
          <w:sz w:val="20"/>
          <w:szCs w:val="20"/>
          <w:color w:val="auto"/>
        </w:rPr>
        <w:t>This Agreement may be executed in two counterparts, each of which shall be deemed an original, all of which together shall contribute one and the same instrument.</w:t>
      </w:r>
    </w:p>
    <w:p>
      <w:pPr>
        <w:spacing w:after="0" w:line="198" w:lineRule="exact"/>
        <w:rPr>
          <w:sz w:val="20"/>
          <w:szCs w:val="20"/>
          <w:color w:val="auto"/>
        </w:rPr>
      </w:pPr>
    </w:p>
    <w:p>
      <w:pPr>
        <w:ind w:left="1100" w:hanging="444"/>
        <w:spacing w:after="0"/>
        <w:tabs>
          <w:tab w:leader="none" w:pos="1100" w:val="left"/>
        </w:tabs>
        <w:numPr>
          <w:ilvl w:val="0"/>
          <w:numId w:val="73"/>
        </w:numPr>
        <w:rPr>
          <w:rFonts w:ascii="Arial" w:cs="Arial" w:eastAsia="Arial" w:hAnsi="Arial"/>
          <w:sz w:val="22"/>
          <w:szCs w:val="22"/>
          <w:b w:val="1"/>
          <w:bCs w:val="1"/>
          <w:color w:val="010000"/>
        </w:rPr>
      </w:pPr>
      <w:r>
        <w:rPr>
          <w:rFonts w:ascii="Arial" w:cs="Arial" w:eastAsia="Arial" w:hAnsi="Arial"/>
          <w:sz w:val="20"/>
          <w:szCs w:val="20"/>
          <w:b w:val="1"/>
          <w:bCs w:val="1"/>
          <w:color w:val="auto"/>
        </w:rPr>
        <w:t>ARBITRATION.</w:t>
      </w:r>
    </w:p>
    <w:p>
      <w:pPr>
        <w:spacing w:after="0" w:line="212" w:lineRule="exact"/>
        <w:rPr>
          <w:sz w:val="20"/>
          <w:szCs w:val="20"/>
          <w:color w:val="auto"/>
        </w:rPr>
      </w:pPr>
    </w:p>
    <w:p>
      <w:pPr>
        <w:ind w:firstLine="1297"/>
        <w:spacing w:after="0" w:line="270" w:lineRule="auto"/>
        <w:rPr>
          <w:sz w:val="20"/>
          <w:szCs w:val="20"/>
          <w:color w:val="auto"/>
        </w:rPr>
      </w:pPr>
      <w:r>
        <w:rPr>
          <w:rFonts w:ascii="Arial" w:cs="Arial" w:eastAsia="Arial" w:hAnsi="Arial"/>
          <w:sz w:val="18"/>
          <w:szCs w:val="18"/>
          <w:color w:val="auto"/>
        </w:rPr>
        <w:t>To ensure the rapid and economical resolution of disputes that may arise in connection with Executive’s employment with the Company, Executive and the Company agree that any and all disputes, claims, or causes of action, in law or equity, arising from or relating to Executive’s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Executive and the Company hereby waive any right to a jury trial. Both Executive and the Company shall be entitled to all rights and remedies that either Executive or the Company would be entitled to pursue in a court of law. The Company shall pay any JAMS filing fee and shall pay the arbitrator’s fee. Nothing in this Agreement is intended to prevent either Executive or the Company from obtaining injunctive relief in court to prevent irreparable harm pending the conclusion of any such arbitration. Notwithstanding the foregoing, Executive and the Company each have the right to resolve any issue or dispute involving confidential, proprietary or trade secret information, or intellectual property rights, by Court action instead of arbitration.</w:t>
      </w:r>
    </w:p>
    <w:p>
      <w:pPr>
        <w:spacing w:after="0" w:line="195" w:lineRule="exact"/>
        <w:rPr>
          <w:sz w:val="20"/>
          <w:szCs w:val="20"/>
          <w:color w:val="auto"/>
        </w:rPr>
      </w:pPr>
    </w:p>
    <w:p>
      <w:pPr>
        <w:ind w:left="1100" w:hanging="444"/>
        <w:spacing w:after="0"/>
        <w:tabs>
          <w:tab w:leader="none" w:pos="1100" w:val="left"/>
        </w:tabs>
        <w:numPr>
          <w:ilvl w:val="0"/>
          <w:numId w:val="74"/>
        </w:numPr>
        <w:rPr>
          <w:rFonts w:ascii="Arial" w:cs="Arial" w:eastAsia="Arial" w:hAnsi="Arial"/>
          <w:sz w:val="22"/>
          <w:szCs w:val="22"/>
          <w:b w:val="1"/>
          <w:bCs w:val="1"/>
          <w:color w:val="010000"/>
        </w:rPr>
      </w:pPr>
      <w:r>
        <w:rPr>
          <w:rFonts w:ascii="Arial" w:cs="Arial" w:eastAsia="Arial" w:hAnsi="Arial"/>
          <w:sz w:val="20"/>
          <w:szCs w:val="20"/>
          <w:b w:val="1"/>
          <w:bCs w:val="1"/>
          <w:color w:val="auto"/>
        </w:rPr>
        <w:t>TRADE SECRETS OF OTHERS.</w:t>
      </w:r>
    </w:p>
    <w:p>
      <w:pPr>
        <w:spacing w:after="0" w:line="212" w:lineRule="exact"/>
        <w:rPr>
          <w:sz w:val="20"/>
          <w:szCs w:val="20"/>
          <w:color w:val="auto"/>
        </w:rPr>
      </w:pPr>
    </w:p>
    <w:p>
      <w:pPr>
        <w:ind w:right="40" w:firstLine="1297"/>
        <w:spacing w:after="0" w:line="244" w:lineRule="auto"/>
        <w:rPr>
          <w:sz w:val="20"/>
          <w:szCs w:val="20"/>
          <w:color w:val="auto"/>
        </w:rPr>
      </w:pPr>
      <w:r>
        <w:rPr>
          <w:rFonts w:ascii="Arial" w:cs="Arial" w:eastAsia="Arial" w:hAnsi="Arial"/>
          <w:sz w:val="20"/>
          <w:szCs w:val="20"/>
          <w:color w:val="auto"/>
        </w:rPr>
        <w:t>It is the understanding of both the Company and Executive that Executive shall not divulge to the Company and/or its subsidiaries any confidential information or trade secrets belonging to others, including Executive’s former employers, nor shall the Company and/or its Affiliates seek to elicit from Executive any such information. Consistent with the foregoing, Executive shall not provide to the Company and/or its Affiliates, and the Company and/or its Affiliates shall not request, any documents or copies of documents containing such information.</w:t>
      </w:r>
    </w:p>
    <w:p>
      <w:pPr>
        <w:spacing w:after="0" w:line="216" w:lineRule="exact"/>
        <w:rPr>
          <w:sz w:val="20"/>
          <w:szCs w:val="20"/>
          <w:color w:val="auto"/>
        </w:rPr>
      </w:pPr>
    </w:p>
    <w:p>
      <w:pPr>
        <w:ind w:left="1100" w:hanging="444"/>
        <w:spacing w:after="0"/>
        <w:tabs>
          <w:tab w:leader="none" w:pos="1100" w:val="left"/>
        </w:tabs>
        <w:numPr>
          <w:ilvl w:val="0"/>
          <w:numId w:val="75"/>
        </w:numPr>
        <w:rPr>
          <w:rFonts w:ascii="Arial" w:cs="Arial" w:eastAsia="Arial" w:hAnsi="Arial"/>
          <w:sz w:val="22"/>
          <w:szCs w:val="22"/>
          <w:b w:val="1"/>
          <w:bCs w:val="1"/>
          <w:color w:val="010000"/>
        </w:rPr>
      </w:pPr>
      <w:r>
        <w:rPr>
          <w:rFonts w:ascii="Arial" w:cs="Arial" w:eastAsia="Arial" w:hAnsi="Arial"/>
          <w:sz w:val="20"/>
          <w:szCs w:val="20"/>
          <w:b w:val="1"/>
          <w:bCs w:val="1"/>
          <w:color w:val="auto"/>
        </w:rPr>
        <w:t>ADVERTISING WAIVER.</w:t>
      </w:r>
    </w:p>
    <w:p>
      <w:pPr>
        <w:spacing w:after="0" w:line="212"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Executive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Executive’s name and/or pictures of Executive taken in the course of Executive’s provision of</w:t>
      </w:r>
    </w:p>
    <w:p>
      <w:pPr>
        <w:spacing w:after="0" w:line="37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20"/>
          </w:cols>
          <w:pgMar w:left="240" w:top="643" w:right="339" w:bottom="1440" w:gutter="0" w:footer="0" w:header="0"/>
        </w:sectPr>
      </w:pPr>
    </w:p>
    <w:bookmarkStart w:id="118" w:name="page119"/>
    <w:bookmarkEnd w:id="118"/>
    <w:p>
      <w:pPr>
        <w:spacing w:after="0" w:line="260" w:lineRule="auto"/>
        <w:rPr>
          <w:sz w:val="20"/>
          <w:szCs w:val="20"/>
          <w:color w:val="auto"/>
        </w:rPr>
      </w:pPr>
      <w:r>
        <w:rPr>
          <w:rFonts w:ascii="Arial" w:cs="Arial" w:eastAsia="Arial" w:hAnsi="Arial"/>
          <w:sz w:val="20"/>
          <w:szCs w:val="20"/>
          <w:color w:val="auto"/>
        </w:rPr>
        <w:t>services to the Company appear. Executive hereby waives and releases any claim or right Executive may otherwise have arising out of such use, publication or distribution.</w:t>
      </w:r>
    </w:p>
    <w:p>
      <w:pPr>
        <w:spacing w:after="0" w:line="177"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060"/>
          </w:cols>
          <w:pgMar w:left="240" w:top="622" w:right="59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dates below.</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ANAPTYSBIO, INC.</w:t>
      </w:r>
    </w:p>
    <w:p>
      <w:pPr>
        <w:spacing w:after="0" w:line="222"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155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9">
                      <a:extLst>
                        <a:ext uri="{28A0092B-C50C-407E-A947-70E740481C1C}"/>
                      </a:extLst>
                    </a:blip>
                    <a:srcRect/>
                    <a:stretch>
                      <a:fillRect/>
                    </a:stretch>
                  </pic:blipFill>
                  <pic:spPr bwMode="auto">
                    <a:xfrm>
                      <a:off x="0" y="0"/>
                      <a:ext cx="1155700" cy="889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CFO</w:t>
      </w:r>
    </w:p>
    <w:p>
      <w:pPr>
        <w:spacing w:after="0"/>
        <w:tabs>
          <w:tab w:leader="none" w:pos="7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8"/>
          <w:szCs w:val="18"/>
          <w:color w:val="auto"/>
        </w:rPr>
        <w:t>March 1, 2018</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28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0">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HAMZA SURIA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 March 1, 2018</w:t>
      </w:r>
    </w:p>
    <w:p>
      <w:pPr>
        <w:spacing w:after="0" w:line="216" w:lineRule="exact"/>
        <w:rPr>
          <w:sz w:val="20"/>
          <w:szCs w:val="20"/>
          <w:color w:val="auto"/>
        </w:rPr>
      </w:pPr>
    </w:p>
    <w:p>
      <w:pPr>
        <w:jc w:val="right"/>
        <w:ind w:right="2119"/>
        <w:spacing w:after="0"/>
        <w:rPr>
          <w:sz w:val="20"/>
          <w:szCs w:val="20"/>
          <w:color w:val="auto"/>
        </w:rPr>
      </w:pPr>
      <w:r>
        <w:rPr>
          <w:rFonts w:ascii="Arial" w:cs="Arial" w:eastAsia="Arial" w:hAnsi="Arial"/>
          <w:sz w:val="20"/>
          <w:szCs w:val="20"/>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219"/>
          </w:cols>
          <w:pgMar w:left="240" w:top="1062" w:right="1440"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RELEASE AND WAIVER OF CLAIMS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TO BE SIGNED ON OR FOLLOWING THE SEPARATION DATE ONLY</w:t>
      </w:r>
    </w:p>
    <w:p>
      <w:pPr>
        <w:spacing w:after="0" w:line="22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 xml:space="preserve">In consideration of the payments and other benefits set forth in the Employment Agreement effective January 26, 2018, to which this form is attached, I, Hamza Suria, hereby furnish </w:t>
      </w:r>
      <w:r>
        <w:rPr>
          <w:rFonts w:ascii="Arial" w:cs="Arial" w:eastAsia="Arial" w:hAnsi="Arial"/>
          <w:sz w:val="20"/>
          <w:szCs w:val="20"/>
          <w:b w:val="1"/>
          <w:bCs w:val="1"/>
          <w:color w:val="auto"/>
        </w:rPr>
        <w:t>ANAPTYSBIO, INC</w:t>
      </w:r>
      <w:r>
        <w:rPr>
          <w:rFonts w:ascii="Arial" w:cs="Arial" w:eastAsia="Arial" w:hAnsi="Arial"/>
          <w:sz w:val="20"/>
          <w:szCs w:val="20"/>
          <w:color w:val="auto"/>
        </w:rPr>
        <w: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following release and waiver (“</w:t>
      </w:r>
      <w:r>
        <w:rPr>
          <w:rFonts w:ascii="Arial" w:cs="Arial" w:eastAsia="Arial" w:hAnsi="Arial"/>
          <w:sz w:val="20"/>
          <w:szCs w:val="20"/>
          <w:b w:val="1"/>
          <w:bCs w:val="1"/>
          <w:i w:val="1"/>
          <w:iCs w:val="1"/>
          <w:color w:val="auto"/>
        </w:rPr>
        <w:t>Release and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Waiver</w:t>
      </w:r>
      <w:r>
        <w:rPr>
          <w:rFonts w:ascii="Arial" w:cs="Arial" w:eastAsia="Arial" w:hAnsi="Arial"/>
          <w:sz w:val="20"/>
          <w:szCs w:val="20"/>
          <w:color w:val="auto"/>
        </w:rPr>
        <w:t>”).</w:t>
      </w:r>
    </w:p>
    <w:p>
      <w:pPr>
        <w:spacing w:after="0" w:line="186"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8"/>
          <w:szCs w:val="18"/>
          <w:b w:val="1"/>
          <w:bCs w:val="1"/>
          <w:i w:val="1"/>
          <w:iCs w:val="1"/>
          <w:color w:val="auto"/>
        </w:rPr>
        <w:t>Released Parties</w:t>
      </w:r>
      <w:r>
        <w:rPr>
          <w:rFonts w:ascii="Arial" w:cs="Arial" w:eastAsia="Arial" w:hAnsi="Arial"/>
          <w:sz w:val="18"/>
          <w:szCs w:val="18"/>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California Labor Code, and the California Fair Employment and Housing Act (as amended). 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67"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I also acknowledge that I have read and understand Section 1542 of the California Civil Code which reads as follows: “</w:t>
      </w:r>
      <w:r>
        <w:rPr>
          <w:rFonts w:ascii="Arial" w:cs="Arial" w:eastAsia="Arial" w:hAnsi="Arial"/>
          <w:sz w:val="20"/>
          <w:szCs w:val="20"/>
          <w:b w:val="1"/>
          <w:bCs w:val="1"/>
          <w:color w:val="auto"/>
        </w:rPr>
        <w:t>A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release 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0"/>
          <w:szCs w:val="20"/>
          <w:color w:val="auto"/>
        </w:rPr>
        <w:t>.” I hereby expressly waive and</w:t>
      </w:r>
      <w:r>
        <w:rPr>
          <w:rFonts w:ascii="Arial" w:cs="Arial" w:eastAsia="Arial" w:hAnsi="Arial"/>
          <w:sz w:val="20"/>
          <w:szCs w:val="20"/>
          <w:b w:val="1"/>
          <w:bCs w:val="1"/>
          <w:color w:val="auto"/>
        </w:rPr>
        <w:t xml:space="preserve"> </w:t>
      </w:r>
      <w:r>
        <w:rPr>
          <w:rFonts w:ascii="Arial" w:cs="Arial" w:eastAsia="Arial" w:hAnsi="Arial"/>
          <w:sz w:val="20"/>
          <w:szCs w:val="20"/>
          <w:color w:val="auto"/>
        </w:rPr>
        <w:t>relinquish all rights and benefits under that Section and any law of any jurisdiction, including New York, of similar effect with respect to any claims I may have against the Company.</w:t>
      </w:r>
    </w:p>
    <w:p>
      <w:pPr>
        <w:spacing w:after="0" w:line="191"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w:t>
      </w:r>
    </w:p>
    <w:p>
      <w:pPr>
        <w:sectPr>
          <w:pgSz w:w="11900" w:h="16838" w:orient="portrait"/>
          <w:cols w:equalWidth="0" w:num="1">
            <w:col w:w="11400"/>
          </w:cols>
          <w:pgMar w:left="240" w:top="832" w:right="259" w:bottom="1440" w:gutter="0" w:footer="0" w:header="0"/>
        </w:sectPr>
      </w:pPr>
    </w:p>
    <w:bookmarkStart w:id="121" w:name="page122"/>
    <w:bookmarkEnd w:id="121"/>
    <w:p>
      <w:pPr>
        <w:ind w:right="20"/>
        <w:spacing w:after="0" w:line="278" w:lineRule="auto"/>
        <w:rPr>
          <w:sz w:val="20"/>
          <w:szCs w:val="20"/>
          <w:color w:val="auto"/>
        </w:rPr>
      </w:pPr>
      <w:r>
        <w:rPr>
          <w:rFonts w:ascii="Arial" w:cs="Arial" w:eastAsia="Arial" w:hAnsi="Arial"/>
          <w:sz w:val="18"/>
          <w:szCs w:val="18"/>
          <w:color w:val="auto"/>
        </w:rPr>
        <w:t>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65" w:lineRule="exact"/>
        <w:rPr>
          <w:sz w:val="20"/>
          <w:szCs w:val="20"/>
          <w:color w:val="auto"/>
        </w:rPr>
      </w:pPr>
    </w:p>
    <w:p>
      <w:pPr>
        <w:ind w:right="220" w:firstLine="648"/>
        <w:spacing w:after="0" w:line="246" w:lineRule="auto"/>
        <w:rPr>
          <w:sz w:val="20"/>
          <w:szCs w:val="20"/>
          <w:color w:val="auto"/>
        </w:rPr>
      </w:pPr>
      <w:r>
        <w:rPr>
          <w:rFonts w:ascii="Arial" w:cs="Arial" w:eastAsia="Arial" w:hAnsi="Arial"/>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92" w:lineRule="exact"/>
        <w:rPr>
          <w:sz w:val="20"/>
          <w:szCs w:val="20"/>
          <w:color w:val="auto"/>
        </w:rPr>
      </w:pPr>
    </w:p>
    <w:p>
      <w:pPr>
        <w:ind w:right="180" w:firstLine="648"/>
        <w:spacing w:after="0" w:line="243" w:lineRule="auto"/>
        <w:rPr>
          <w:sz w:val="20"/>
          <w:szCs w:val="20"/>
          <w:color w:val="auto"/>
        </w:rPr>
      </w:pPr>
      <w:r>
        <w:rPr>
          <w:rFonts w:ascii="Arial" w:cs="Arial" w:eastAsia="Arial" w:hAnsi="Arial"/>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125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center"/>
        <w:ind w:right="220"/>
        <w:spacing w:after="0"/>
        <w:rPr>
          <w:sz w:val="20"/>
          <w:szCs w:val="20"/>
          <w:color w:val="auto"/>
        </w:rPr>
      </w:pPr>
      <w:r>
        <w:rPr>
          <w:rFonts w:ascii="Arial" w:cs="Arial" w:eastAsia="Arial" w:hAnsi="Arial"/>
          <w:sz w:val="20"/>
          <w:szCs w:val="20"/>
          <w:color w:val="auto"/>
        </w:rPr>
        <w:t>Hamza Suria</w:t>
      </w:r>
    </w:p>
    <w:p>
      <w:pPr>
        <w:sectPr>
          <w:pgSz w:w="11900" w:h="16838" w:orient="portrait"/>
          <w:cols w:equalWidth="0" w:num="1">
            <w:col w:w="11300"/>
          </w:cols>
          <w:pgMar w:left="240" w:top="622" w:right="359" w:bottom="1440" w:gutter="0" w:footer="0" w:header="0"/>
        </w:sectPr>
      </w:pPr>
    </w:p>
    <w:bookmarkStart w:id="122" w:name="page123"/>
    <w:bookmarkEnd w:id="122"/>
    <w:p>
      <w:pPr>
        <w:jc w:val="center"/>
        <w:ind w:right="40"/>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9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as of January 26, 2018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ANAPTYSBIO, INC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Marco Londei (“</w:t>
      </w:r>
      <w:r>
        <w:rPr>
          <w:rFonts w:ascii="Arial" w:cs="Arial" w:eastAsia="Arial" w:hAnsi="Arial"/>
          <w:sz w:val="18"/>
          <w:szCs w:val="18"/>
          <w:b w:val="1"/>
          <w:bCs w:val="1"/>
          <w:i w:val="1"/>
          <w:iCs w:val="1"/>
          <w:color w:val="auto"/>
        </w:rPr>
        <w:t>CMO</w:t>
      </w:r>
      <w:r>
        <w:rPr>
          <w:rFonts w:ascii="Arial" w:cs="Arial" w:eastAsia="Arial" w:hAnsi="Arial"/>
          <w:sz w:val="18"/>
          <w:szCs w:val="18"/>
          <w:color w:val="auto"/>
        </w:rPr>
        <w:t>”). The Company and CMO are hereinafter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 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This Employment Agreement amends and restates any prior employment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desires to continue to employ CMO and CMO is willing to continue to accept such employment by Company, on the terms and subject to the conditions set forth in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84" w:lineRule="exact"/>
        <w:rPr>
          <w:sz w:val="20"/>
          <w:szCs w:val="20"/>
          <w:color w:val="auto"/>
        </w:rPr>
      </w:pPr>
    </w:p>
    <w:p>
      <w:pPr>
        <w:ind w:left="1460" w:hanging="804"/>
        <w:spacing w:after="0"/>
        <w:tabs>
          <w:tab w:leader="none" w:pos="1460" w:val="left"/>
        </w:tabs>
        <w:numPr>
          <w:ilvl w:val="0"/>
          <w:numId w:val="76"/>
        </w:numPr>
        <w:rPr>
          <w:rFonts w:ascii="Arial" w:cs="Arial" w:eastAsia="Arial" w:hAnsi="Arial"/>
          <w:sz w:val="20"/>
          <w:szCs w:val="20"/>
          <w:b w:val="1"/>
          <w:bCs w:val="1"/>
          <w:color w:val="010000"/>
        </w:rPr>
      </w:pPr>
      <w:r>
        <w:rPr>
          <w:rFonts w:ascii="Arial" w:cs="Arial" w:eastAsia="Arial" w:hAnsi="Arial"/>
          <w:sz w:val="20"/>
          <w:szCs w:val="20"/>
          <w:b w:val="1"/>
          <w:bCs w:val="1"/>
          <w:color w:val="auto"/>
        </w:rPr>
        <w:t>EMPLOYMENT.</w:t>
      </w:r>
    </w:p>
    <w:p>
      <w:pPr>
        <w:spacing w:after="0" w:line="229"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1.1 </w:t>
      </w:r>
      <w:r>
        <w:rPr>
          <w:rFonts w:ascii="Arial" w:cs="Arial" w:eastAsia="Arial" w:hAnsi="Arial"/>
          <w:sz w:val="20"/>
          <w:szCs w:val="20"/>
          <w:b w:val="1"/>
          <w:bCs w:val="1"/>
          <w:color w:val="000000"/>
        </w:rPr>
        <w:t>Title</w:t>
      </w:r>
      <w:r>
        <w:rPr>
          <w:rFonts w:ascii="Arial" w:cs="Arial" w:eastAsia="Arial" w:hAnsi="Arial"/>
          <w:sz w:val="20"/>
          <w:szCs w:val="20"/>
          <w:color w:val="000000"/>
        </w:rPr>
        <w:t>. Effective as of the Effective Date, CMO’s position shall be Chief Medical Officer of the Company, subject to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terms and conditions set forth in this Agreement.</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1.2 </w:t>
      </w:r>
      <w:r>
        <w:rPr>
          <w:rFonts w:ascii="Arial" w:cs="Arial" w:eastAsia="Arial" w:hAnsi="Arial"/>
          <w:sz w:val="20"/>
          <w:szCs w:val="20"/>
          <w:b w:val="1"/>
          <w:bCs w:val="1"/>
          <w:color w:val="000000"/>
        </w:rPr>
        <w:t>Term</w:t>
      </w:r>
      <w:r>
        <w:rPr>
          <w:rFonts w:ascii="Arial" w:cs="Arial" w:eastAsia="Arial" w:hAnsi="Arial"/>
          <w:sz w:val="20"/>
          <w:szCs w:val="20"/>
          <w:color w:val="000000"/>
        </w:rPr>
        <w:t>. The term of this Agreement shall begin on the Effective Date and shall continue until it is terminated pursuant to</w:t>
      </w:r>
      <w:r>
        <w:rPr>
          <w:rFonts w:ascii="Arial" w:cs="Arial" w:eastAsia="Arial" w:hAnsi="Arial"/>
          <w:sz w:val="20"/>
          <w:szCs w:val="20"/>
          <w:b w:val="1"/>
          <w:bCs w:val="1"/>
          <w:color w:val="010000"/>
        </w:rPr>
        <w:t xml:space="preserve"> </w:t>
      </w:r>
      <w:r>
        <w:rPr>
          <w:rFonts w:ascii="Arial" w:cs="Arial" w:eastAsia="Arial" w:hAnsi="Arial"/>
          <w:sz w:val="20"/>
          <w:szCs w:val="20"/>
          <w:color w:val="000000"/>
        </w:rPr>
        <w:t>Section 4 herein (the “</w:t>
      </w:r>
      <w:r>
        <w:rPr>
          <w:rFonts w:ascii="Arial" w:cs="Arial" w:eastAsia="Arial" w:hAnsi="Arial"/>
          <w:sz w:val="20"/>
          <w:szCs w:val="20"/>
          <w:b w:val="1"/>
          <w:bCs w:val="1"/>
          <w:i w:val="1"/>
          <w:iCs w:val="1"/>
          <w:color w:val="000000"/>
        </w:rPr>
        <w:t>Term</w:t>
      </w:r>
      <w:r>
        <w:rPr>
          <w:rFonts w:ascii="Arial" w:cs="Arial" w:eastAsia="Arial" w:hAnsi="Arial"/>
          <w:sz w:val="20"/>
          <w:szCs w:val="20"/>
          <w:color w:val="000000"/>
        </w:rPr>
        <w:t>”).</w:t>
      </w:r>
    </w:p>
    <w:p>
      <w:pPr>
        <w:spacing w:after="0" w:line="164" w:lineRule="exact"/>
        <w:rPr>
          <w:sz w:val="20"/>
          <w:szCs w:val="20"/>
          <w:color w:val="auto"/>
        </w:rPr>
      </w:pPr>
    </w:p>
    <w:p>
      <w:pPr>
        <w:jc w:val="both"/>
        <w:ind w:firstLine="1297"/>
        <w:spacing w:after="0" w:line="323" w:lineRule="auto"/>
        <w:rPr>
          <w:sz w:val="20"/>
          <w:szCs w:val="20"/>
          <w:color w:val="auto"/>
        </w:rPr>
      </w:pPr>
      <w:r>
        <w:rPr>
          <w:rFonts w:ascii="Arial" w:cs="Arial" w:eastAsia="Arial" w:hAnsi="Arial"/>
          <w:sz w:val="18"/>
          <w:szCs w:val="18"/>
          <w:b w:val="1"/>
          <w:bCs w:val="1"/>
          <w:color w:val="010000"/>
        </w:rPr>
        <w:t xml:space="preserve">1.3 </w:t>
      </w:r>
      <w:r>
        <w:rPr>
          <w:rFonts w:ascii="Arial" w:cs="Arial" w:eastAsia="Arial" w:hAnsi="Arial"/>
          <w:sz w:val="18"/>
          <w:szCs w:val="18"/>
          <w:b w:val="1"/>
          <w:bCs w:val="1"/>
          <w:color w:val="000000"/>
        </w:rPr>
        <w:t>Duties</w:t>
      </w:r>
      <w:r>
        <w:rPr>
          <w:rFonts w:ascii="Arial" w:cs="Arial" w:eastAsia="Arial" w:hAnsi="Arial"/>
          <w:sz w:val="18"/>
          <w:szCs w:val="18"/>
          <w:color w:val="000000"/>
        </w:rPr>
        <w:t>. CMO shall do and perform all services, acts or things necessary or advisable to manage and conduct the business</w:t>
      </w:r>
      <w:r>
        <w:rPr>
          <w:rFonts w:ascii="Arial" w:cs="Arial" w:eastAsia="Arial" w:hAnsi="Arial"/>
          <w:sz w:val="18"/>
          <w:szCs w:val="18"/>
          <w:b w:val="1"/>
          <w:bCs w:val="1"/>
          <w:color w:val="010000"/>
        </w:rPr>
        <w:t xml:space="preserve"> </w:t>
      </w:r>
      <w:r>
        <w:rPr>
          <w:rFonts w:ascii="Arial" w:cs="Arial" w:eastAsia="Arial" w:hAnsi="Arial"/>
          <w:sz w:val="18"/>
          <w:szCs w:val="18"/>
          <w:color w:val="000000"/>
        </w:rPr>
        <w:t>of the Company and that are normally associated with the position of Chief Medical Officer. CMO shall report to the Chief Executive Officer.</w:t>
      </w:r>
    </w:p>
    <w:p>
      <w:pPr>
        <w:spacing w:after="0" w:line="11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010000"/>
        </w:rPr>
        <w:t xml:space="preserve">1.4 </w:t>
      </w:r>
      <w:r>
        <w:rPr>
          <w:rFonts w:ascii="Arial" w:cs="Arial" w:eastAsia="Arial" w:hAnsi="Arial"/>
          <w:sz w:val="20"/>
          <w:szCs w:val="20"/>
          <w:b w:val="1"/>
          <w:bCs w:val="1"/>
          <w:color w:val="000000"/>
        </w:rPr>
        <w:t>Policies and Practices</w:t>
      </w:r>
      <w:r>
        <w:rPr>
          <w:rFonts w:ascii="Arial" w:cs="Arial" w:eastAsia="Arial" w:hAnsi="Arial"/>
          <w:sz w:val="20"/>
          <w:szCs w:val="20"/>
          <w:color w:val="000000"/>
        </w:rPr>
        <w:t>. The employment relationship between the Parties shall be governed by this Agreement and by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policies and 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8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010000"/>
        </w:rPr>
        <w:t xml:space="preserve">1.5 </w:t>
      </w:r>
      <w:r>
        <w:rPr>
          <w:rFonts w:ascii="Arial" w:cs="Arial" w:eastAsia="Arial" w:hAnsi="Arial"/>
          <w:sz w:val="19"/>
          <w:szCs w:val="19"/>
          <w:b w:val="1"/>
          <w:bCs w:val="1"/>
          <w:color w:val="000000"/>
        </w:rPr>
        <w:t>Location</w:t>
      </w:r>
      <w:r>
        <w:rPr>
          <w:rFonts w:ascii="Arial" w:cs="Arial" w:eastAsia="Arial" w:hAnsi="Arial"/>
          <w:sz w:val="19"/>
          <w:szCs w:val="19"/>
          <w:color w:val="000000"/>
        </w:rPr>
        <w:t>. Unless the Parties otherwise agree in writing, during the Term CMO shall perform the services CMO is</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required to perform pursuant to this Agreement at the Company’s offices in San Diego, California, </w:t>
      </w:r>
      <w:r>
        <w:rPr>
          <w:rFonts w:ascii="Arial" w:cs="Arial" w:eastAsia="Arial" w:hAnsi="Arial"/>
          <w:sz w:val="19"/>
          <w:szCs w:val="19"/>
          <w:i w:val="1"/>
          <w:iCs w:val="1"/>
          <w:color w:val="000000"/>
        </w:rPr>
        <w:t>provided, however</w:t>
      </w:r>
      <w:r>
        <w:rPr>
          <w:rFonts w:ascii="Arial" w:cs="Arial" w:eastAsia="Arial" w:hAnsi="Arial"/>
          <w:sz w:val="19"/>
          <w:szCs w:val="19"/>
          <w:color w:val="000000"/>
        </w:rPr>
        <w:t>, that the Company may from time to time require CMO to travel temporarily to other locations in connection with the Company’s business.</w:t>
      </w:r>
    </w:p>
    <w:p>
      <w:pPr>
        <w:spacing w:after="0" w:line="159" w:lineRule="exact"/>
        <w:rPr>
          <w:sz w:val="20"/>
          <w:szCs w:val="20"/>
          <w:color w:val="auto"/>
        </w:rPr>
      </w:pPr>
    </w:p>
    <w:p>
      <w:pPr>
        <w:ind w:left="980" w:hanging="324"/>
        <w:spacing w:after="0"/>
        <w:tabs>
          <w:tab w:leader="none" w:pos="980" w:val="left"/>
        </w:tabs>
        <w:numPr>
          <w:ilvl w:val="0"/>
          <w:numId w:val="77"/>
        </w:numPr>
        <w:rPr>
          <w:rFonts w:ascii="Arial" w:cs="Arial" w:eastAsia="Arial" w:hAnsi="Arial"/>
          <w:sz w:val="20"/>
          <w:szCs w:val="20"/>
          <w:b w:val="1"/>
          <w:bCs w:val="1"/>
          <w:color w:val="010000"/>
        </w:rPr>
      </w:pPr>
      <w:r>
        <w:rPr>
          <w:rFonts w:ascii="Arial" w:cs="Arial" w:eastAsia="Arial" w:hAnsi="Arial"/>
          <w:sz w:val="20"/>
          <w:szCs w:val="20"/>
          <w:b w:val="1"/>
          <w:bCs w:val="1"/>
          <w:color w:val="auto"/>
        </w:rPr>
        <w:t>LOYALTY; NONCOMPETITION; NONSOLICITATION.</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2.1 </w:t>
      </w:r>
      <w:r>
        <w:rPr>
          <w:rFonts w:ascii="Arial" w:cs="Arial" w:eastAsia="Arial" w:hAnsi="Arial"/>
          <w:sz w:val="20"/>
          <w:szCs w:val="20"/>
          <w:b w:val="1"/>
          <w:bCs w:val="1"/>
          <w:color w:val="000000"/>
        </w:rPr>
        <w:t>Loyalty</w:t>
      </w:r>
      <w:r>
        <w:rPr>
          <w:rFonts w:ascii="Arial" w:cs="Arial" w:eastAsia="Arial" w:hAnsi="Arial"/>
          <w:sz w:val="20"/>
          <w:szCs w:val="20"/>
          <w:color w:val="000000"/>
        </w:rPr>
        <w:t>. During CMO’s employment with the Company, CMO shall devote CMO’s full business energies, interest,</w:t>
      </w:r>
      <w:r>
        <w:rPr>
          <w:rFonts w:ascii="Arial" w:cs="Arial" w:eastAsia="Arial" w:hAnsi="Arial"/>
          <w:sz w:val="20"/>
          <w:szCs w:val="20"/>
          <w:b w:val="1"/>
          <w:bCs w:val="1"/>
          <w:color w:val="010000"/>
        </w:rPr>
        <w:t xml:space="preserve"> </w:t>
      </w:r>
      <w:r>
        <w:rPr>
          <w:rFonts w:ascii="Arial" w:cs="Arial" w:eastAsia="Arial" w:hAnsi="Arial"/>
          <w:sz w:val="20"/>
          <w:szCs w:val="20"/>
          <w:color w:val="000000"/>
        </w:rPr>
        <w:t>abilities and productive time to the proper and efficient performance of CMO’s duties under this Agreement.</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010000"/>
        </w:rPr>
        <w:t xml:space="preserve">2.2 </w:t>
      </w:r>
      <w:r>
        <w:rPr>
          <w:rFonts w:ascii="Arial" w:cs="Arial" w:eastAsia="Arial" w:hAnsi="Arial"/>
          <w:sz w:val="20"/>
          <w:szCs w:val="20"/>
          <w:b w:val="1"/>
          <w:bCs w:val="1"/>
          <w:color w:val="000000"/>
        </w:rPr>
        <w:t>Agreement not to Participate in Company’s Competitors</w:t>
      </w:r>
      <w:r>
        <w:rPr>
          <w:rFonts w:ascii="Arial" w:cs="Arial" w:eastAsia="Arial" w:hAnsi="Arial"/>
          <w:sz w:val="20"/>
          <w:szCs w:val="20"/>
          <w:color w:val="000000"/>
        </w:rPr>
        <w:t>. During CMO’s employment with the Company, CMO</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agrees not to acquire, assume or participate in, directly or indirectly, any position, investment or interest known by CMO to be adverse or antagonistic to the Company, its business,</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05" w:right="239" w:bottom="1440" w:gutter="0" w:footer="0" w:header="0"/>
        </w:sectPr>
      </w:pPr>
    </w:p>
    <w:bookmarkStart w:id="123" w:name="page124"/>
    <w:bookmarkEnd w:id="123"/>
    <w:p>
      <w:pPr>
        <w:jc w:val="both"/>
        <w:spacing w:after="0" w:line="258" w:lineRule="auto"/>
        <w:rPr>
          <w:sz w:val="20"/>
          <w:szCs w:val="20"/>
          <w:color w:val="auto"/>
        </w:rPr>
      </w:pPr>
      <w:r>
        <w:rPr>
          <w:rFonts w:ascii="Arial" w:cs="Arial" w:eastAsia="Arial" w:hAnsi="Arial"/>
          <w:sz w:val="19"/>
          <w:szCs w:val="19"/>
          <w:color w:val="auto"/>
        </w:rPr>
        <w:t>or prospects, financial or otherwise, or in any company, person, or entity that is, directly or indirectly, in competition with the business of the Company or any of its Affiliates (as defined below). Ownership by CMO, in professionally managed funds over which CMO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specific entity, any other entity that, directly or indirectly, through one or more intermediaries, controls, is controlled by or is under common control with such specified entity.</w:t>
      </w:r>
    </w:p>
    <w:p>
      <w:pPr>
        <w:spacing w:after="0" w:line="17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b w:val="1"/>
          <w:bCs w:val="1"/>
          <w:color w:val="010000"/>
        </w:rPr>
        <w:t xml:space="preserve">2.3 </w:t>
      </w:r>
      <w:r>
        <w:rPr>
          <w:rFonts w:ascii="Arial" w:cs="Arial" w:eastAsia="Arial" w:hAnsi="Arial"/>
          <w:sz w:val="19"/>
          <w:szCs w:val="19"/>
          <w:b w:val="1"/>
          <w:bCs w:val="1"/>
          <w:color w:val="000000"/>
        </w:rPr>
        <w:t>Covenant not to Compete</w:t>
      </w:r>
      <w:r>
        <w:rPr>
          <w:rFonts w:ascii="Arial" w:cs="Arial" w:eastAsia="Arial" w:hAnsi="Arial"/>
          <w:sz w:val="19"/>
          <w:szCs w:val="19"/>
          <w:color w:val="000000"/>
        </w:rPr>
        <w:t>. During CMO’s employment with the Company, CMO shall not engage in competition with</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Board. CMO shall be entitled to request written consent of the Board with respect to potential advisory and/or director opportunities presented to CMO by a third party, which CMO believes in good faith will not interfere or compete with the on-going business of the Company.</w:t>
      </w:r>
    </w:p>
    <w:p>
      <w:pPr>
        <w:spacing w:after="0" w:line="173" w:lineRule="exact"/>
        <w:rPr>
          <w:sz w:val="20"/>
          <w:szCs w:val="20"/>
          <w:color w:val="auto"/>
        </w:rPr>
      </w:pPr>
    </w:p>
    <w:p>
      <w:pPr>
        <w:ind w:left="980" w:hanging="324"/>
        <w:spacing w:after="0"/>
        <w:tabs>
          <w:tab w:leader="none" w:pos="980" w:val="left"/>
        </w:tabs>
        <w:numPr>
          <w:ilvl w:val="0"/>
          <w:numId w:val="78"/>
        </w:numPr>
        <w:rPr>
          <w:rFonts w:ascii="Arial" w:cs="Arial" w:eastAsia="Arial" w:hAnsi="Arial"/>
          <w:sz w:val="20"/>
          <w:szCs w:val="20"/>
          <w:b w:val="1"/>
          <w:bCs w:val="1"/>
          <w:color w:val="010000"/>
        </w:rPr>
      </w:pPr>
      <w:r>
        <w:rPr>
          <w:rFonts w:ascii="Arial" w:cs="Arial" w:eastAsia="Arial" w:hAnsi="Arial"/>
          <w:sz w:val="20"/>
          <w:szCs w:val="20"/>
          <w:b w:val="1"/>
          <w:bCs w:val="1"/>
          <w:color w:val="auto"/>
        </w:rPr>
        <w:t>COMPENSATION OF CMO.</w:t>
      </w:r>
    </w:p>
    <w:p>
      <w:pPr>
        <w:spacing w:after="0" w:line="21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b w:val="1"/>
          <w:bCs w:val="1"/>
          <w:color w:val="010000"/>
        </w:rPr>
        <w:t xml:space="preserve">3.1 </w:t>
      </w:r>
      <w:r>
        <w:rPr>
          <w:rFonts w:ascii="Arial" w:cs="Arial" w:eastAsia="Arial" w:hAnsi="Arial"/>
          <w:sz w:val="19"/>
          <w:szCs w:val="19"/>
          <w:b w:val="1"/>
          <w:bCs w:val="1"/>
          <w:color w:val="000000"/>
        </w:rPr>
        <w:t>Base Salary</w:t>
      </w:r>
      <w:r>
        <w:rPr>
          <w:rFonts w:ascii="Arial" w:cs="Arial" w:eastAsia="Arial" w:hAnsi="Arial"/>
          <w:sz w:val="19"/>
          <w:szCs w:val="19"/>
          <w:color w:val="000000"/>
        </w:rPr>
        <w:t>. The Company shall pay CMO a base salary at the annualized rate of $436,000 (the “</w:t>
      </w:r>
      <w:r>
        <w:rPr>
          <w:rFonts w:ascii="Arial" w:cs="Arial" w:eastAsia="Arial" w:hAnsi="Arial"/>
          <w:sz w:val="19"/>
          <w:szCs w:val="19"/>
          <w:b w:val="1"/>
          <w:bCs w:val="1"/>
          <w:i w:val="1"/>
          <w:iCs w:val="1"/>
          <w:color w:val="000000"/>
        </w:rPr>
        <w:t>Base Salary</w:t>
      </w:r>
      <w:r>
        <w:rPr>
          <w:rFonts w:ascii="Arial" w:cs="Arial" w:eastAsia="Arial" w:hAnsi="Arial"/>
          <w:sz w:val="19"/>
          <w:szCs w:val="19"/>
          <w:color w:val="000000"/>
        </w:rPr>
        <w:t>”), less</w:t>
      </w:r>
      <w:r>
        <w:rPr>
          <w:rFonts w:ascii="Arial" w:cs="Arial" w:eastAsia="Arial" w:hAnsi="Arial"/>
          <w:sz w:val="19"/>
          <w:szCs w:val="19"/>
          <w:b w:val="1"/>
          <w:bCs w:val="1"/>
          <w:color w:val="010000"/>
        </w:rPr>
        <w:t xml:space="preserve"> </w:t>
      </w:r>
      <w:r>
        <w:rPr>
          <w:rFonts w:ascii="Arial" w:cs="Arial" w:eastAsia="Arial" w:hAnsi="Arial"/>
          <w:sz w:val="19"/>
          <w:szCs w:val="19"/>
          <w:color w:val="000000"/>
        </w:rPr>
        <w:t>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5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b w:val="1"/>
          <w:bCs w:val="1"/>
          <w:color w:val="010000"/>
        </w:rPr>
        <w:t xml:space="preserve">3.2 </w:t>
      </w:r>
      <w:r>
        <w:rPr>
          <w:rFonts w:ascii="Arial" w:cs="Arial" w:eastAsia="Arial" w:hAnsi="Arial"/>
          <w:sz w:val="19"/>
          <w:szCs w:val="19"/>
          <w:b w:val="1"/>
          <w:bCs w:val="1"/>
          <w:color w:val="000000"/>
        </w:rPr>
        <w:t>Discretionary Bonus</w:t>
      </w:r>
      <w:r>
        <w:rPr>
          <w:rFonts w:ascii="Arial" w:cs="Arial" w:eastAsia="Arial" w:hAnsi="Arial"/>
          <w:sz w:val="19"/>
          <w:szCs w:val="19"/>
          <w:color w:val="000000"/>
        </w:rPr>
        <w:t>. At the sole discretion of the Board and Chief Executive Officer, promptly following each calendar</w:t>
      </w:r>
      <w:r>
        <w:rPr>
          <w:rFonts w:ascii="Arial" w:cs="Arial" w:eastAsia="Arial" w:hAnsi="Arial"/>
          <w:sz w:val="19"/>
          <w:szCs w:val="19"/>
          <w:b w:val="1"/>
          <w:bCs w:val="1"/>
          <w:color w:val="010000"/>
        </w:rPr>
        <w:t xml:space="preserve"> </w:t>
      </w:r>
      <w:r>
        <w:rPr>
          <w:rFonts w:ascii="Arial" w:cs="Arial" w:eastAsia="Arial" w:hAnsi="Arial"/>
          <w:sz w:val="19"/>
          <w:szCs w:val="19"/>
          <w:color w:val="000000"/>
        </w:rPr>
        <w:t>year of employment CMO shall be eligible to receive a discretionary cash bonus of up to 40% of CMO’s then-current base salary (the “</w:t>
      </w:r>
      <w:r>
        <w:rPr>
          <w:rFonts w:ascii="Arial" w:cs="Arial" w:eastAsia="Arial" w:hAnsi="Arial"/>
          <w:sz w:val="19"/>
          <w:szCs w:val="19"/>
          <w:b w:val="1"/>
          <w:bCs w:val="1"/>
          <w:i w:val="1"/>
          <w:iCs w:val="1"/>
          <w:color w:val="000000"/>
        </w:rPr>
        <w:t>Bonus</w:t>
      </w:r>
      <w:r>
        <w:rPr>
          <w:rFonts w:ascii="Arial" w:cs="Arial" w:eastAsia="Arial" w:hAnsi="Arial"/>
          <w:sz w:val="19"/>
          <w:szCs w:val="19"/>
          <w:color w:val="000000"/>
        </w:rPr>
        <w:t>”), based on CMO’s achievement relative to certain performance goals (“</w:t>
      </w:r>
      <w:r>
        <w:rPr>
          <w:rFonts w:ascii="Arial" w:cs="Arial" w:eastAsia="Arial" w:hAnsi="Arial"/>
          <w:sz w:val="19"/>
          <w:szCs w:val="19"/>
          <w:b w:val="1"/>
          <w:bCs w:val="1"/>
          <w:i w:val="1"/>
          <w:iCs w:val="1"/>
          <w:color w:val="000000"/>
        </w:rPr>
        <w:t>Performance Goals</w:t>
      </w:r>
      <w:r>
        <w:rPr>
          <w:rFonts w:ascii="Arial" w:cs="Arial" w:eastAsia="Arial" w:hAnsi="Arial"/>
          <w:sz w:val="19"/>
          <w:szCs w:val="19"/>
          <w:color w:val="000000"/>
        </w:rPr>
        <w:t>”) to be established by the Chief Executive Officer in writing in a manner reasonably consistent with the Company’s priorities. The determination of whether CMO has met the Performance Goals for any given year, and if so, the amount of any Bonus that will be paid for such year (if any), shall be determined by the Board and Chief Executive Officer in their sole and absolute discretion. In order to be eligible to earn or receive any Bonus, CMO must remain employed by the Company through and including the date of payment of such Bonus.</w:t>
      </w:r>
    </w:p>
    <w:p>
      <w:pPr>
        <w:spacing w:after="0" w:line="17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010000"/>
        </w:rPr>
        <w:t xml:space="preserve">3.3 </w:t>
      </w:r>
      <w:r>
        <w:rPr>
          <w:rFonts w:ascii="Arial" w:cs="Arial" w:eastAsia="Arial" w:hAnsi="Arial"/>
          <w:sz w:val="20"/>
          <w:szCs w:val="20"/>
          <w:b w:val="1"/>
          <w:bCs w:val="1"/>
          <w:color w:val="000000"/>
        </w:rPr>
        <w:t>Stock Option</w:t>
      </w:r>
      <w:r>
        <w:rPr>
          <w:rFonts w:ascii="Arial" w:cs="Arial" w:eastAsia="Arial" w:hAnsi="Arial"/>
          <w:sz w:val="20"/>
          <w:szCs w:val="20"/>
          <w:color w:val="000000"/>
        </w:rPr>
        <w:t>. CMO has been granted options to purchase shares of the Company’s Common Stock and will continue to</w:t>
      </w:r>
      <w:r>
        <w:rPr>
          <w:rFonts w:ascii="Arial" w:cs="Arial" w:eastAsia="Arial" w:hAnsi="Arial"/>
          <w:sz w:val="20"/>
          <w:szCs w:val="20"/>
          <w:b w:val="1"/>
          <w:bCs w:val="1"/>
          <w:color w:val="010000"/>
        </w:rPr>
        <w:t xml:space="preserve"> </w:t>
      </w:r>
      <w:r>
        <w:rPr>
          <w:rFonts w:ascii="Arial" w:cs="Arial" w:eastAsia="Arial" w:hAnsi="Arial"/>
          <w:sz w:val="20"/>
          <w:szCs w:val="20"/>
          <w:color w:val="000000"/>
        </w:rPr>
        <w:t>be eligible for additional equity awards pursuant to the terms of the Company’s 2017 Equity Incentive Plan, as amended from time to time (the “</w:t>
      </w:r>
      <w:r>
        <w:rPr>
          <w:rFonts w:ascii="Arial" w:cs="Arial" w:eastAsia="Arial" w:hAnsi="Arial"/>
          <w:sz w:val="20"/>
          <w:szCs w:val="20"/>
          <w:b w:val="1"/>
          <w:bCs w:val="1"/>
          <w:i w:val="1"/>
          <w:iCs w:val="1"/>
          <w:color w:val="000000"/>
        </w:rPr>
        <w:t>Plan</w:t>
      </w:r>
      <w:r>
        <w:rPr>
          <w:rFonts w:ascii="Arial" w:cs="Arial" w:eastAsia="Arial" w:hAnsi="Arial"/>
          <w:sz w:val="20"/>
          <w:szCs w:val="20"/>
          <w:color w:val="000000"/>
        </w:rPr>
        <w:t>”).</w:t>
      </w:r>
    </w:p>
    <w:p>
      <w:pPr>
        <w:spacing w:after="0" w:line="178"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0"/>
          <w:szCs w:val="20"/>
          <w:b w:val="1"/>
          <w:bCs w:val="1"/>
          <w:color w:val="010000"/>
        </w:rPr>
        <w:t xml:space="preserve">3.4 </w:t>
      </w:r>
      <w:r>
        <w:rPr>
          <w:rFonts w:ascii="Arial" w:cs="Arial" w:eastAsia="Arial" w:hAnsi="Arial"/>
          <w:sz w:val="20"/>
          <w:szCs w:val="20"/>
          <w:b w:val="1"/>
          <w:bCs w:val="1"/>
          <w:color w:val="000000"/>
        </w:rPr>
        <w:t>Expense Reimbursements</w:t>
      </w:r>
      <w:r>
        <w:rPr>
          <w:rFonts w:ascii="Arial" w:cs="Arial" w:eastAsia="Arial" w:hAnsi="Arial"/>
          <w:sz w:val="20"/>
          <w:szCs w:val="20"/>
          <w:color w:val="000000"/>
        </w:rPr>
        <w:t>. The Company will reimburse CMO for all reasonable business expenses CMO incurs in</w:t>
      </w:r>
      <w:r>
        <w:rPr>
          <w:rFonts w:ascii="Arial" w:cs="Arial" w:eastAsia="Arial" w:hAnsi="Arial"/>
          <w:sz w:val="20"/>
          <w:szCs w:val="20"/>
          <w:b w:val="1"/>
          <w:bCs w:val="1"/>
          <w:color w:val="010000"/>
        </w:rPr>
        <w:t xml:space="preserve"> </w:t>
      </w:r>
      <w:r>
        <w:rPr>
          <w:rFonts w:ascii="Arial" w:cs="Arial" w:eastAsia="Arial" w:hAnsi="Arial"/>
          <w:sz w:val="20"/>
          <w:szCs w:val="20"/>
          <w:color w:val="000000"/>
        </w:rPr>
        <w:t>conducting his duties hereunder, pursuant to the Company’s usual expense reimbursement policies; provided that CMO supplies the appropriate substantiation for such expenses no later than the end of the calendar month following the month in which such expenses were incurred by CMO.</w:t>
      </w:r>
    </w:p>
    <w:p>
      <w:pPr>
        <w:spacing w:after="0" w:line="18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3.5 </w:t>
      </w:r>
      <w:r>
        <w:rPr>
          <w:rFonts w:ascii="Arial" w:cs="Arial" w:eastAsia="Arial" w:hAnsi="Arial"/>
          <w:sz w:val="20"/>
          <w:szCs w:val="20"/>
          <w:b w:val="1"/>
          <w:bCs w:val="1"/>
          <w:color w:val="000000"/>
        </w:rPr>
        <w:t>Changes to Compensation</w:t>
      </w:r>
      <w:r>
        <w:rPr>
          <w:rFonts w:ascii="Arial" w:cs="Arial" w:eastAsia="Arial" w:hAnsi="Arial"/>
          <w:sz w:val="20"/>
          <w:szCs w:val="20"/>
          <w:color w:val="000000"/>
        </w:rPr>
        <w:t>. CMO’s compensation will be reviewed annually and may be changed from time to time in</w:t>
      </w:r>
      <w:r>
        <w:rPr>
          <w:rFonts w:ascii="Arial" w:cs="Arial" w:eastAsia="Arial" w:hAnsi="Arial"/>
          <w:sz w:val="20"/>
          <w:szCs w:val="20"/>
          <w:b w:val="1"/>
          <w:bCs w:val="1"/>
          <w:color w:val="010000"/>
        </w:rPr>
        <w:t xml:space="preserve"> </w:t>
      </w:r>
      <w:r>
        <w:rPr>
          <w:rFonts w:ascii="Arial" w:cs="Arial" w:eastAsia="Arial" w:hAnsi="Arial"/>
          <w:sz w:val="20"/>
          <w:szCs w:val="20"/>
          <w:color w:val="000000"/>
        </w:rPr>
        <w:t>the Company’s sole discretion.</w:t>
      </w:r>
    </w:p>
    <w:p>
      <w:pPr>
        <w:spacing w:after="0" w:line="200" w:lineRule="exact"/>
        <w:rPr>
          <w:sz w:val="20"/>
          <w:szCs w:val="20"/>
          <w:color w:val="auto"/>
        </w:rPr>
      </w:pPr>
    </w:p>
    <w:p>
      <w:pPr>
        <w:spacing w:after="0" w:line="21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124" w:name="page125"/>
    <w:bookmarkEnd w:id="124"/>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3.6 </w:t>
      </w:r>
      <w:r>
        <w:rPr>
          <w:rFonts w:ascii="Arial" w:cs="Arial" w:eastAsia="Arial" w:hAnsi="Arial"/>
          <w:sz w:val="20"/>
          <w:szCs w:val="20"/>
          <w:b w:val="1"/>
          <w:bCs w:val="1"/>
          <w:color w:val="000000"/>
        </w:rPr>
        <w:t>Employment Taxes</w:t>
      </w:r>
      <w:r>
        <w:rPr>
          <w:rFonts w:ascii="Arial" w:cs="Arial" w:eastAsia="Arial" w:hAnsi="Arial"/>
          <w:sz w:val="20"/>
          <w:szCs w:val="20"/>
          <w:color w:val="000000"/>
        </w:rPr>
        <w:t>. All of CMO’s compensation shall be subject to customary withholding taxes and any other</w:t>
      </w:r>
      <w:r>
        <w:rPr>
          <w:rFonts w:ascii="Arial" w:cs="Arial" w:eastAsia="Arial" w:hAnsi="Arial"/>
          <w:sz w:val="20"/>
          <w:szCs w:val="20"/>
          <w:b w:val="1"/>
          <w:bCs w:val="1"/>
          <w:color w:val="010000"/>
        </w:rPr>
        <w:t xml:space="preserve"> </w:t>
      </w:r>
      <w:r>
        <w:rPr>
          <w:rFonts w:ascii="Arial" w:cs="Arial" w:eastAsia="Arial" w:hAnsi="Arial"/>
          <w:sz w:val="20"/>
          <w:szCs w:val="20"/>
          <w:color w:val="000000"/>
        </w:rPr>
        <w:t>employment taxes as are commonly required to be collected or withheld by the Company.</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010000"/>
        </w:rPr>
        <w:t xml:space="preserve">3.7 </w:t>
      </w:r>
      <w:r>
        <w:rPr>
          <w:rFonts w:ascii="Arial" w:cs="Arial" w:eastAsia="Arial" w:hAnsi="Arial"/>
          <w:sz w:val="20"/>
          <w:szCs w:val="20"/>
          <w:b w:val="1"/>
          <w:bCs w:val="1"/>
          <w:color w:val="000000"/>
        </w:rPr>
        <w:t>Benefits</w:t>
      </w:r>
      <w:r>
        <w:rPr>
          <w:rFonts w:ascii="Arial" w:cs="Arial" w:eastAsia="Arial" w:hAnsi="Arial"/>
          <w:sz w:val="20"/>
          <w:szCs w:val="20"/>
          <w:color w:val="000000"/>
        </w:rPr>
        <w:t>. CMO shall, in accordance with Company policy and the terms of the applicable plan documents, be eligible to</w:t>
      </w:r>
      <w:r>
        <w:rPr>
          <w:rFonts w:ascii="Arial" w:cs="Arial" w:eastAsia="Arial" w:hAnsi="Arial"/>
          <w:sz w:val="20"/>
          <w:szCs w:val="20"/>
          <w:b w:val="1"/>
          <w:bCs w:val="1"/>
          <w:color w:val="010000"/>
        </w:rPr>
        <w:t xml:space="preserve"> </w:t>
      </w:r>
      <w:r>
        <w:rPr>
          <w:rFonts w:ascii="Arial" w:cs="Arial" w:eastAsia="Arial" w:hAnsi="Arial"/>
          <w:sz w:val="20"/>
          <w:szCs w:val="20"/>
          <w:color w:val="000000"/>
        </w:rPr>
        <w:t>participate in benefits under any benefit plan or arrangement that may be in effect from time to time and made available to the Company’s senior management employees.</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3.8 </w:t>
      </w:r>
      <w:r>
        <w:rPr>
          <w:rFonts w:ascii="Arial" w:cs="Arial" w:eastAsia="Arial" w:hAnsi="Arial"/>
          <w:sz w:val="20"/>
          <w:szCs w:val="20"/>
          <w:b w:val="1"/>
          <w:bCs w:val="1"/>
          <w:color w:val="000000"/>
        </w:rPr>
        <w:t>Holidays and Vacation</w:t>
      </w:r>
      <w:r>
        <w:rPr>
          <w:rFonts w:ascii="Arial" w:cs="Arial" w:eastAsia="Arial" w:hAnsi="Arial"/>
          <w:sz w:val="20"/>
          <w:szCs w:val="20"/>
          <w:color w:val="000000"/>
        </w:rPr>
        <w:t>. CMO shall be eligible for paid holiday and vacation time in accordance with Company policy as</w:t>
      </w:r>
      <w:r>
        <w:rPr>
          <w:rFonts w:ascii="Arial" w:cs="Arial" w:eastAsia="Arial" w:hAnsi="Arial"/>
          <w:sz w:val="20"/>
          <w:szCs w:val="20"/>
          <w:b w:val="1"/>
          <w:bCs w:val="1"/>
          <w:color w:val="010000"/>
        </w:rPr>
        <w:t xml:space="preserve"> </w:t>
      </w:r>
      <w:r>
        <w:rPr>
          <w:rFonts w:ascii="Arial" w:cs="Arial" w:eastAsia="Arial" w:hAnsi="Arial"/>
          <w:sz w:val="20"/>
          <w:szCs w:val="20"/>
          <w:color w:val="000000"/>
        </w:rPr>
        <w:t>in effect from time to time.</w:t>
      </w:r>
    </w:p>
    <w:p>
      <w:pPr>
        <w:spacing w:after="0" w:line="164"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20"/>
          <w:szCs w:val="20"/>
          <w:b w:val="1"/>
          <w:bCs w:val="1"/>
          <w:color w:val="010000"/>
        </w:rPr>
      </w:pPr>
      <w:r>
        <w:rPr>
          <w:rFonts w:ascii="Arial" w:cs="Arial" w:eastAsia="Arial" w:hAnsi="Arial"/>
          <w:sz w:val="20"/>
          <w:szCs w:val="20"/>
          <w:b w:val="1"/>
          <w:bCs w:val="1"/>
          <w:color w:val="auto"/>
        </w:rPr>
        <w:t>TERMINATION.</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4.1 </w:t>
      </w:r>
      <w:r>
        <w:rPr>
          <w:rFonts w:ascii="Arial" w:cs="Arial" w:eastAsia="Arial" w:hAnsi="Arial"/>
          <w:sz w:val="20"/>
          <w:szCs w:val="20"/>
          <w:b w:val="1"/>
          <w:bCs w:val="1"/>
          <w:color w:val="000000"/>
        </w:rPr>
        <w:t>Termination by the Company</w:t>
      </w:r>
      <w:r>
        <w:rPr>
          <w:rFonts w:ascii="Arial" w:cs="Arial" w:eastAsia="Arial" w:hAnsi="Arial"/>
          <w:sz w:val="20"/>
          <w:szCs w:val="20"/>
          <w:color w:val="000000"/>
        </w:rPr>
        <w:t>. CMO’s employment with the Company is at will and may be terminated by the Company</w:t>
      </w:r>
      <w:r>
        <w:rPr>
          <w:rFonts w:ascii="Arial" w:cs="Arial" w:eastAsia="Arial" w:hAnsi="Arial"/>
          <w:sz w:val="20"/>
          <w:szCs w:val="20"/>
          <w:b w:val="1"/>
          <w:bCs w:val="1"/>
          <w:color w:val="010000"/>
        </w:rPr>
        <w:t xml:space="preserve"> </w:t>
      </w:r>
      <w:r>
        <w:rPr>
          <w:rFonts w:ascii="Arial" w:cs="Arial" w:eastAsia="Arial" w:hAnsi="Arial"/>
          <w:sz w:val="20"/>
          <w:szCs w:val="20"/>
          <w:color w:val="000000"/>
        </w:rPr>
        <w:t>at any time and for any reason, or for no reason, including, but not limited to, under the following conditions:</w:t>
      </w:r>
    </w:p>
    <w:p>
      <w:pPr>
        <w:spacing w:after="0" w:line="164"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4.1.1 </w:t>
      </w:r>
      <w:r>
        <w:rPr>
          <w:rFonts w:ascii="Arial" w:cs="Arial" w:eastAsia="Arial" w:hAnsi="Arial"/>
          <w:sz w:val="20"/>
          <w:szCs w:val="20"/>
          <w:b w:val="1"/>
          <w:bCs w:val="1"/>
          <w:color w:val="000000"/>
        </w:rPr>
        <w:t>Termination by the Company for Cause</w:t>
      </w:r>
      <w:r>
        <w:rPr>
          <w:rFonts w:ascii="Arial" w:cs="Arial" w:eastAsia="Arial" w:hAnsi="Arial"/>
          <w:sz w:val="20"/>
          <w:szCs w:val="20"/>
          <w:color w:val="000000"/>
        </w:rPr>
        <w:t>. The Company may terminate CMO’s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for “Cause” (as defined below) by delivery of written notice to CMO. Any notice of termination given pursuant to this section shall effect termination as of the date of the notice, or as of such other date specified in the notice.</w:t>
      </w:r>
    </w:p>
    <w:p>
      <w:pPr>
        <w:spacing w:after="0" w:line="178"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4.1.2 </w:t>
      </w:r>
      <w:r>
        <w:rPr>
          <w:rFonts w:ascii="Arial" w:cs="Arial" w:eastAsia="Arial" w:hAnsi="Arial"/>
          <w:sz w:val="20"/>
          <w:szCs w:val="20"/>
          <w:b w:val="1"/>
          <w:bCs w:val="1"/>
          <w:color w:val="000000"/>
        </w:rPr>
        <w:t>Termination by the Company without Cause</w:t>
      </w:r>
      <w:r>
        <w:rPr>
          <w:rFonts w:ascii="Arial" w:cs="Arial" w:eastAsia="Arial" w:hAnsi="Arial"/>
          <w:sz w:val="20"/>
          <w:szCs w:val="20"/>
          <w:color w:val="000000"/>
        </w:rPr>
        <w:t>. The Company may terminate CMO’s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without Cause at any time and for any reason, or for no reason. Such termination shall be effective on the date CMO is so informed, or as otherwise specified by the Company.</w:t>
      </w:r>
    </w:p>
    <w:p>
      <w:pPr>
        <w:spacing w:after="0" w:line="17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4.2 </w:t>
      </w:r>
      <w:r>
        <w:rPr>
          <w:rFonts w:ascii="Arial" w:cs="Arial" w:eastAsia="Arial" w:hAnsi="Arial"/>
          <w:sz w:val="20"/>
          <w:szCs w:val="20"/>
          <w:b w:val="1"/>
          <w:bCs w:val="1"/>
          <w:color w:val="000000"/>
        </w:rPr>
        <w:t>Termination by CMO</w:t>
      </w:r>
      <w:r>
        <w:rPr>
          <w:rFonts w:ascii="Arial" w:cs="Arial" w:eastAsia="Arial" w:hAnsi="Arial"/>
          <w:sz w:val="20"/>
          <w:szCs w:val="20"/>
          <w:color w:val="000000"/>
        </w:rPr>
        <w:t>. CMO may terminate his employment with the Company at any time and for any reason, or for no</w:t>
      </w:r>
      <w:r>
        <w:rPr>
          <w:rFonts w:ascii="Arial" w:cs="Arial" w:eastAsia="Arial" w:hAnsi="Arial"/>
          <w:sz w:val="20"/>
          <w:szCs w:val="20"/>
          <w:b w:val="1"/>
          <w:bCs w:val="1"/>
          <w:color w:val="010000"/>
        </w:rPr>
        <w:t xml:space="preserve"> </w:t>
      </w:r>
      <w:r>
        <w:rPr>
          <w:rFonts w:ascii="Arial" w:cs="Arial" w:eastAsia="Arial" w:hAnsi="Arial"/>
          <w:sz w:val="20"/>
          <w:szCs w:val="20"/>
          <w:color w:val="000000"/>
        </w:rPr>
        <w:t>reason, upon thirty (30) days written notice to the Company.</w:t>
      </w:r>
    </w:p>
    <w:p>
      <w:pPr>
        <w:spacing w:after="0" w:line="164"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20"/>
          <w:szCs w:val="20"/>
          <w:b w:val="1"/>
          <w:bCs w:val="1"/>
          <w:color w:val="010000"/>
        </w:rPr>
        <w:t xml:space="preserve">4.3 </w:t>
      </w:r>
      <w:r>
        <w:rPr>
          <w:rFonts w:ascii="Arial" w:cs="Arial" w:eastAsia="Arial" w:hAnsi="Arial"/>
          <w:sz w:val="20"/>
          <w:szCs w:val="20"/>
          <w:b w:val="1"/>
          <w:bCs w:val="1"/>
          <w:color w:val="000000"/>
        </w:rPr>
        <w:t>Termination for Death or Disability</w:t>
      </w:r>
      <w:r>
        <w:rPr>
          <w:rFonts w:ascii="Arial" w:cs="Arial" w:eastAsia="Arial" w:hAnsi="Arial"/>
          <w:sz w:val="20"/>
          <w:szCs w:val="20"/>
          <w:color w:val="000000"/>
        </w:rPr>
        <w:t>. CMO’s employment with the Company shall automatically terminate effective</w:t>
      </w:r>
      <w:r>
        <w:rPr>
          <w:rFonts w:ascii="Arial" w:cs="Arial" w:eastAsia="Arial" w:hAnsi="Arial"/>
          <w:sz w:val="20"/>
          <w:szCs w:val="20"/>
          <w:b w:val="1"/>
          <w:bCs w:val="1"/>
          <w:color w:val="010000"/>
        </w:rPr>
        <w:t xml:space="preserve"> </w:t>
      </w:r>
      <w:r>
        <w:rPr>
          <w:rFonts w:ascii="Arial" w:cs="Arial" w:eastAsia="Arial" w:hAnsi="Arial"/>
          <w:sz w:val="20"/>
          <w:szCs w:val="20"/>
          <w:color w:val="000000"/>
        </w:rPr>
        <w:t>upon the date of CMO’s death or Disability (as defined in the Plan).</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0"/>
          <w:szCs w:val="20"/>
          <w:b w:val="1"/>
          <w:bCs w:val="1"/>
          <w:color w:val="010000"/>
        </w:rPr>
        <w:t xml:space="preserve">4.4 </w:t>
      </w:r>
      <w:r>
        <w:rPr>
          <w:rFonts w:ascii="Arial" w:cs="Arial" w:eastAsia="Arial" w:hAnsi="Arial"/>
          <w:sz w:val="20"/>
          <w:szCs w:val="20"/>
          <w:b w:val="1"/>
          <w:bCs w:val="1"/>
          <w:color w:val="000000"/>
        </w:rPr>
        <w:t>Termination by Mutual Agreement of the Parties</w:t>
      </w:r>
      <w:r>
        <w:rPr>
          <w:rFonts w:ascii="Arial" w:cs="Arial" w:eastAsia="Arial" w:hAnsi="Arial"/>
          <w:sz w:val="20"/>
          <w:szCs w:val="20"/>
          <w:color w:val="000000"/>
        </w:rPr>
        <w:t>. CMO’s employment with the Company may be terminated at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time upon a mutual agreement in writing of the Parties. Any such termination of employment shall have the consequences specified in such agreement.</w:t>
      </w:r>
    </w:p>
    <w:p>
      <w:pPr>
        <w:spacing w:after="0" w:line="178"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b w:val="1"/>
          <w:bCs w:val="1"/>
          <w:color w:val="010000"/>
        </w:rPr>
        <w:t>4.5</w:t>
      </w:r>
      <w:r>
        <w:rPr>
          <w:sz w:val="20"/>
          <w:szCs w:val="20"/>
          <w:color w:val="auto"/>
        </w:rPr>
        <w:tab/>
      </w:r>
      <w:r>
        <w:rPr>
          <w:rFonts w:ascii="Arial" w:cs="Arial" w:eastAsia="Arial" w:hAnsi="Arial"/>
          <w:sz w:val="16"/>
          <w:szCs w:val="16"/>
          <w:b w:val="1"/>
          <w:bCs w:val="1"/>
          <w:color w:val="auto"/>
        </w:rPr>
        <w:t>Compensation upon Termi</w:t>
      </w:r>
      <w:r>
        <w:rPr>
          <w:rFonts w:ascii="Arial" w:cs="Arial" w:eastAsia="Arial" w:hAnsi="Arial"/>
          <w:sz w:val="16"/>
          <w:szCs w:val="16"/>
          <w:color w:val="auto"/>
        </w:rPr>
        <w:t>nation.</w:t>
      </w:r>
    </w:p>
    <w:p>
      <w:pPr>
        <w:spacing w:after="0" w:line="216"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9"/>
          <w:szCs w:val="19"/>
          <w:b w:val="1"/>
          <w:bCs w:val="1"/>
          <w:color w:val="010000"/>
        </w:rPr>
        <w:t xml:space="preserve">4.5.1 </w:t>
      </w:r>
      <w:r>
        <w:rPr>
          <w:rFonts w:ascii="Arial" w:cs="Arial" w:eastAsia="Arial" w:hAnsi="Arial"/>
          <w:sz w:val="19"/>
          <w:szCs w:val="19"/>
          <w:b w:val="1"/>
          <w:bCs w:val="1"/>
          <w:color w:val="000000"/>
        </w:rPr>
        <w:t>Death or Disability</w:t>
      </w:r>
      <w:r>
        <w:rPr>
          <w:rFonts w:ascii="Arial" w:cs="Arial" w:eastAsia="Arial" w:hAnsi="Arial"/>
          <w:sz w:val="19"/>
          <w:szCs w:val="19"/>
          <w:color w:val="000000"/>
        </w:rPr>
        <w:t>. If CMO’s employment is terminated by death or Disability, the Company shall pay to</w:t>
      </w:r>
      <w:r>
        <w:rPr>
          <w:rFonts w:ascii="Arial" w:cs="Arial" w:eastAsia="Arial" w:hAnsi="Arial"/>
          <w:sz w:val="19"/>
          <w:szCs w:val="19"/>
          <w:b w:val="1"/>
          <w:bCs w:val="1"/>
          <w:color w:val="010000"/>
        </w:rPr>
        <w:t xml:space="preserve"> </w:t>
      </w:r>
      <w:r>
        <w:rPr>
          <w:rFonts w:ascii="Arial" w:cs="Arial" w:eastAsia="Arial" w:hAnsi="Arial"/>
          <w:sz w:val="19"/>
          <w:szCs w:val="19"/>
          <w:color w:val="000000"/>
        </w:rPr>
        <w:t>CMO, or to CMO’s heirs, CMO’s accrued and unpaid base salary and accrued and unused vacation benefits earned through the date of termination at the rate in effect at the time of termination, less standard deductions and withholdings. The Company shall thereafter have no further obligations to CMO and/or CMO’s heirs under this Agreement, except as otherwise provided by law.</w:t>
      </w:r>
    </w:p>
    <w:p>
      <w:pPr>
        <w:spacing w:after="0" w:line="166" w:lineRule="exact"/>
        <w:rPr>
          <w:sz w:val="20"/>
          <w:szCs w:val="20"/>
          <w:color w:val="auto"/>
        </w:rPr>
      </w:pPr>
    </w:p>
    <w:p>
      <w:pPr>
        <w:jc w:val="both"/>
        <w:ind w:firstLine="1945"/>
        <w:spacing w:after="0" w:line="248" w:lineRule="auto"/>
        <w:rPr>
          <w:sz w:val="20"/>
          <w:szCs w:val="20"/>
          <w:color w:val="auto"/>
        </w:rPr>
      </w:pPr>
      <w:r>
        <w:rPr>
          <w:rFonts w:ascii="Arial" w:cs="Arial" w:eastAsia="Arial" w:hAnsi="Arial"/>
          <w:sz w:val="20"/>
          <w:szCs w:val="20"/>
          <w:b w:val="1"/>
          <w:bCs w:val="1"/>
          <w:color w:val="010000"/>
        </w:rPr>
        <w:t xml:space="preserve">4.5.2 </w:t>
      </w:r>
      <w:r>
        <w:rPr>
          <w:rFonts w:ascii="Arial" w:cs="Arial" w:eastAsia="Arial" w:hAnsi="Arial"/>
          <w:sz w:val="20"/>
          <w:szCs w:val="20"/>
          <w:b w:val="1"/>
          <w:bCs w:val="1"/>
          <w:color w:val="000000"/>
        </w:rPr>
        <w:t>Termination for Cause</w:t>
      </w:r>
      <w:r>
        <w:rPr>
          <w:rFonts w:ascii="Arial" w:cs="Arial" w:eastAsia="Arial" w:hAnsi="Arial"/>
          <w:sz w:val="20"/>
          <w:szCs w:val="20"/>
          <w:color w:val="000000"/>
        </w:rPr>
        <w:t>. If the Company terminates CMO’s employment for Cause, then the Company shall</w:t>
      </w:r>
      <w:r>
        <w:rPr>
          <w:rFonts w:ascii="Arial" w:cs="Arial" w:eastAsia="Arial" w:hAnsi="Arial"/>
          <w:sz w:val="20"/>
          <w:szCs w:val="20"/>
          <w:b w:val="1"/>
          <w:bCs w:val="1"/>
          <w:color w:val="010000"/>
        </w:rPr>
        <w:t xml:space="preserve"> </w:t>
      </w:r>
      <w:r>
        <w:rPr>
          <w:rFonts w:ascii="Arial" w:cs="Arial" w:eastAsia="Arial" w:hAnsi="Arial"/>
          <w:sz w:val="20"/>
          <w:szCs w:val="20"/>
          <w:color w:val="000000"/>
        </w:rPr>
        <w:t>pay CMO’s accrued and unpaid base salary and accrued and unused vacation benefits earned through the date of termination, at the rate in effect at the time of termination, less standard deductions and withholdings. The Company shall thereafter have no further obligations to CMO under this Agreement, except as otherwise provided by law.</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89" w:right="239" w:bottom="1440" w:gutter="0" w:footer="0" w:header="0"/>
        </w:sectPr>
      </w:pPr>
    </w:p>
    <w:bookmarkStart w:id="125" w:name="page126"/>
    <w:bookmarkEnd w:id="125"/>
    <w:p>
      <w:pPr>
        <w:jc w:val="both"/>
        <w:ind w:firstLine="1945"/>
        <w:spacing w:after="0" w:line="268" w:lineRule="auto"/>
        <w:rPr>
          <w:sz w:val="20"/>
          <w:szCs w:val="20"/>
          <w:color w:val="auto"/>
        </w:rPr>
      </w:pPr>
      <w:r>
        <w:rPr>
          <w:rFonts w:ascii="Arial" w:cs="Arial" w:eastAsia="Arial" w:hAnsi="Arial"/>
          <w:sz w:val="18"/>
          <w:szCs w:val="18"/>
          <w:b w:val="1"/>
          <w:bCs w:val="1"/>
          <w:color w:val="010000"/>
        </w:rPr>
        <w:t xml:space="preserve">4.5.3 </w:t>
      </w:r>
      <w:r>
        <w:rPr>
          <w:rFonts w:ascii="Arial" w:cs="Arial" w:eastAsia="Arial" w:hAnsi="Arial"/>
          <w:sz w:val="18"/>
          <w:szCs w:val="18"/>
          <w:b w:val="1"/>
          <w:bCs w:val="1"/>
          <w:color w:val="000000"/>
        </w:rPr>
        <w:t>Termination by Company without Cause or by CMO for Good Reason Not In Connection with a Change</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in Control</w:t>
      </w:r>
      <w:r>
        <w:rPr>
          <w:rFonts w:ascii="Arial" w:cs="Arial" w:eastAsia="Arial" w:hAnsi="Arial"/>
          <w:sz w:val="18"/>
          <w:szCs w:val="18"/>
          <w:color w:val="000000"/>
        </w:rPr>
        <w:t>. If the Company terminates CMO’s employment without Cause or if CMO resigns his employment for “</w:t>
      </w:r>
      <w:r>
        <w:rPr>
          <w:rFonts w:ascii="Arial" w:cs="Arial" w:eastAsia="Arial" w:hAnsi="Arial"/>
          <w:sz w:val="18"/>
          <w:szCs w:val="18"/>
          <w:b w:val="1"/>
          <w:bCs w:val="1"/>
          <w:i w:val="1"/>
          <w:iCs w:val="1"/>
          <w:color w:val="000000"/>
        </w:rPr>
        <w:t>Good Reason</w:t>
      </w:r>
      <w:r>
        <w:rPr>
          <w:rFonts w:ascii="Arial" w:cs="Arial" w:eastAsia="Arial" w:hAnsi="Arial"/>
          <w:sz w:val="18"/>
          <w:szCs w:val="18"/>
          <w:color w:val="000000"/>
        </w:rPr>
        <w:t>” (as defined</w:t>
      </w:r>
      <w:r>
        <w:rPr>
          <w:rFonts w:ascii="Arial" w:cs="Arial" w:eastAsia="Arial" w:hAnsi="Arial"/>
          <w:sz w:val="18"/>
          <w:szCs w:val="18"/>
          <w:b w:val="1"/>
          <w:bCs w:val="1"/>
          <w:color w:val="000000"/>
        </w:rPr>
        <w:t xml:space="preserve"> </w:t>
      </w:r>
      <w:r>
        <w:rPr>
          <w:rFonts w:ascii="Arial" w:cs="Arial" w:eastAsia="Arial" w:hAnsi="Arial"/>
          <w:sz w:val="18"/>
          <w:szCs w:val="18"/>
          <w:color w:val="000000"/>
        </w:rPr>
        <w:t>below), in either case at any time other than upon the occurrence of, or within the 13 months immediately following, the effective date of a “</w:t>
      </w:r>
      <w:r>
        <w:rPr>
          <w:rFonts w:ascii="Arial" w:cs="Arial" w:eastAsia="Arial" w:hAnsi="Arial"/>
          <w:sz w:val="18"/>
          <w:szCs w:val="18"/>
          <w:b w:val="1"/>
          <w:bCs w:val="1"/>
          <w:i w:val="1"/>
          <w:iCs w:val="1"/>
          <w:color w:val="000000"/>
        </w:rPr>
        <w:t>Change in Control</w:t>
      </w:r>
      <w:r>
        <w:rPr>
          <w:rFonts w:ascii="Arial" w:cs="Arial" w:eastAsia="Arial" w:hAnsi="Arial"/>
          <w:sz w:val="18"/>
          <w:szCs w:val="18"/>
          <w:color w:val="000000"/>
        </w:rPr>
        <w:t xml:space="preserve">” (as defined below), the Company shall pay CMO’s accrued and unpaid base salary and accrued and unused vacation benefits earned through the date of termination, at the rate in effect at the time of termination, less standard deductions and withholdings. In addition, if CMO furnishes to the Company an executed waiver and release of claims in the form attached hereto as </w:t>
      </w:r>
      <w:r>
        <w:rPr>
          <w:rFonts w:ascii="Arial" w:cs="Arial" w:eastAsia="Arial" w:hAnsi="Arial"/>
          <w:sz w:val="18"/>
          <w:szCs w:val="18"/>
          <w:b w:val="1"/>
          <w:bCs w:val="1"/>
          <w:color w:val="000000"/>
        </w:rPr>
        <w:t>Exhibit A</w:t>
      </w:r>
      <w:r>
        <w:rPr>
          <w:rFonts w:ascii="Arial" w:cs="Arial" w:eastAsia="Arial" w:hAnsi="Arial"/>
          <w:sz w:val="18"/>
          <w:szCs w:val="18"/>
          <w:color w:val="000000"/>
        </w:rPr>
        <w:t xml:space="preserve"> (or in such other form as may be specified by the Company) (the “</w:t>
      </w:r>
      <w:r>
        <w:rPr>
          <w:rFonts w:ascii="Arial" w:cs="Arial" w:eastAsia="Arial" w:hAnsi="Arial"/>
          <w:sz w:val="18"/>
          <w:szCs w:val="18"/>
          <w:b w:val="1"/>
          <w:bCs w:val="1"/>
          <w:i w:val="1"/>
          <w:iCs w:val="1"/>
          <w:color w:val="000000"/>
        </w:rPr>
        <w:t>Release</w:t>
      </w:r>
      <w:r>
        <w:rPr>
          <w:rFonts w:ascii="Arial" w:cs="Arial" w:eastAsia="Arial" w:hAnsi="Arial"/>
          <w:sz w:val="18"/>
          <w:szCs w:val="18"/>
          <w:color w:val="000000"/>
        </w:rPr>
        <w:t>”) within the time period specified therein, but in no event later than 45 days following CMO’s termination, and if CMO allows such Release to become effective in accordance with its terms, then (i) CMO shall be entitled to severance in the form of continuation of his base salary, at the base salary rate equal to the greater of the rate in effect at the time of termination or the rate immediately prior to the event giving rise to Good Reason (the “</w:t>
      </w:r>
      <w:r>
        <w:rPr>
          <w:rFonts w:ascii="Arial" w:cs="Arial" w:eastAsia="Arial" w:hAnsi="Arial"/>
          <w:sz w:val="18"/>
          <w:szCs w:val="18"/>
          <w:b w:val="1"/>
          <w:bCs w:val="1"/>
          <w:i w:val="1"/>
          <w:iCs w:val="1"/>
          <w:color w:val="000000"/>
        </w:rPr>
        <w:t>Severance Payments</w:t>
      </w:r>
      <w:r>
        <w:rPr>
          <w:rFonts w:ascii="Arial" w:cs="Arial" w:eastAsia="Arial" w:hAnsi="Arial"/>
          <w:sz w:val="18"/>
          <w:szCs w:val="18"/>
          <w:color w:val="000000"/>
        </w:rPr>
        <w:t>”), for a period of nine (9) months following the termination date (the “</w:t>
      </w:r>
      <w:r>
        <w:rPr>
          <w:rFonts w:ascii="Arial" w:cs="Arial" w:eastAsia="Arial" w:hAnsi="Arial"/>
          <w:sz w:val="18"/>
          <w:szCs w:val="18"/>
          <w:b w:val="1"/>
          <w:bCs w:val="1"/>
          <w:i w:val="1"/>
          <w:iCs w:val="1"/>
          <w:color w:val="000000"/>
        </w:rPr>
        <w:t>Severance Period</w:t>
      </w:r>
      <w:r>
        <w:rPr>
          <w:rFonts w:ascii="Arial" w:cs="Arial" w:eastAsia="Arial" w:hAnsi="Arial"/>
          <w:sz w:val="18"/>
          <w:szCs w:val="18"/>
          <w:color w:val="000000"/>
        </w:rPr>
        <w:t>”), and (ii) the Company will pay directly to the insurance provider the premium for COBRA continuation coverage for CMO and CMO’s family during the Severance Period or until he obtains new employment, whichever comes first (the “</w:t>
      </w:r>
      <w:r>
        <w:rPr>
          <w:rFonts w:ascii="Arial" w:cs="Arial" w:eastAsia="Arial" w:hAnsi="Arial"/>
          <w:sz w:val="18"/>
          <w:szCs w:val="18"/>
          <w:b w:val="1"/>
          <w:bCs w:val="1"/>
          <w:i w:val="1"/>
          <w:iCs w:val="1"/>
          <w:color w:val="000000"/>
        </w:rPr>
        <w:t>COBRA Coverage</w:t>
      </w:r>
      <w:r>
        <w:rPr>
          <w:rFonts w:ascii="Arial" w:cs="Arial" w:eastAsia="Arial" w:hAnsi="Arial"/>
          <w:sz w:val="18"/>
          <w:szCs w:val="18"/>
          <w:color w:val="000000"/>
        </w:rPr>
        <w:t>”);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CMO, in lieu thereof, taxable, continued installment payments equal to the COBRA premium, payable on the last day of a given month, for 9 months (measured from the termination date), which payments will be made regardless of whether CMO elects COBRA continuation coverage (the “</w:t>
      </w:r>
      <w:r>
        <w:rPr>
          <w:rFonts w:ascii="Arial" w:cs="Arial" w:eastAsia="Arial" w:hAnsi="Arial"/>
          <w:sz w:val="18"/>
          <w:szCs w:val="18"/>
          <w:b w:val="1"/>
          <w:bCs w:val="1"/>
          <w:i w:val="1"/>
          <w:iCs w:val="1"/>
          <w:color w:val="000000"/>
        </w:rPr>
        <w:t>COBRA Bonus</w:t>
      </w:r>
      <w:r>
        <w:rPr>
          <w:rFonts w:ascii="Arial" w:cs="Arial" w:eastAsia="Arial" w:hAnsi="Arial"/>
          <w:sz w:val="18"/>
          <w:szCs w:val="18"/>
          <w:color w:val="000000"/>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w:t>
      </w:r>
      <w:r>
        <w:rPr>
          <w:rFonts w:ascii="Arial" w:cs="Arial" w:eastAsia="Arial" w:hAnsi="Arial"/>
          <w:sz w:val="18"/>
          <w:szCs w:val="18"/>
          <w:i w:val="1"/>
          <w:iCs w:val="1"/>
          <w:color w:val="000000"/>
        </w:rPr>
        <w:t>provided, however</w:t>
      </w:r>
      <w:r>
        <w:rPr>
          <w:rFonts w:ascii="Arial" w:cs="Arial" w:eastAsia="Arial" w:hAnsi="Arial"/>
          <w:sz w:val="18"/>
          <w:szCs w:val="18"/>
          <w:color w:val="000000"/>
        </w:rPr>
        <w:t xml:space="preserve">, that any Severance Payments otherwise scheduled to be made prior to the effective date of the Release shall accrue and be paid in the first payroll period that follows such effective date, </w:t>
      </w:r>
      <w:r>
        <w:rPr>
          <w:rFonts w:ascii="Arial" w:cs="Arial" w:eastAsia="Arial" w:hAnsi="Arial"/>
          <w:sz w:val="18"/>
          <w:szCs w:val="18"/>
          <w:i w:val="1"/>
          <w:iCs w:val="1"/>
          <w:color w:val="000000"/>
        </w:rPr>
        <w:t>provided, further</w:t>
      </w:r>
      <w:r>
        <w:rPr>
          <w:rFonts w:ascii="Arial" w:cs="Arial" w:eastAsia="Arial" w:hAnsi="Arial"/>
          <w:sz w:val="18"/>
          <w:szCs w:val="18"/>
          <w:color w:val="000000"/>
        </w:rPr>
        <w:t>, that if the 45 day period to execute the Release spans two calendar years, no Severance Payments will be made until the later calendar year. The Company shall thereafter have no further obligations to CMO under this Agreement, except as otherwise provided by law.</w:t>
      </w:r>
    </w:p>
    <w:p>
      <w:pPr>
        <w:spacing w:after="0" w:line="18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9"/>
          <w:szCs w:val="19"/>
          <w:b w:val="1"/>
          <w:bCs w:val="1"/>
          <w:color w:val="010000"/>
        </w:rPr>
        <w:t xml:space="preserve">4.5.4 </w:t>
      </w:r>
      <w:r>
        <w:rPr>
          <w:rFonts w:ascii="Arial" w:cs="Arial" w:eastAsia="Arial" w:hAnsi="Arial"/>
          <w:sz w:val="19"/>
          <w:szCs w:val="19"/>
          <w:b w:val="1"/>
          <w:bCs w:val="1"/>
          <w:color w:val="000000"/>
        </w:rPr>
        <w:t>Termination by Company without Cause or by CMO for Good Reason In Connection with a Change in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Control</w:t>
      </w:r>
      <w:r>
        <w:rPr>
          <w:rFonts w:ascii="Arial" w:cs="Arial" w:eastAsia="Arial" w:hAnsi="Arial"/>
          <w:sz w:val="19"/>
          <w:szCs w:val="19"/>
          <w:color w:val="000000"/>
        </w:rPr>
        <w:t>. If the Company terminates CMO’s employment without Cause or if CMO resigns his employment for Good Reason, in either case</w:t>
      </w:r>
      <w:r>
        <w:rPr>
          <w:rFonts w:ascii="Arial" w:cs="Arial" w:eastAsia="Arial" w:hAnsi="Arial"/>
          <w:sz w:val="19"/>
          <w:szCs w:val="19"/>
          <w:b w:val="1"/>
          <w:bCs w:val="1"/>
          <w:color w:val="000000"/>
        </w:rPr>
        <w:t xml:space="preserve"> </w:t>
      </w:r>
      <w:r>
        <w:rPr>
          <w:rFonts w:ascii="Arial" w:cs="Arial" w:eastAsia="Arial" w:hAnsi="Arial"/>
          <w:sz w:val="19"/>
          <w:szCs w:val="19"/>
          <w:color w:val="000000"/>
        </w:rPr>
        <w:t>upon the occurrence of, or within the 13 months immediately following, the effective date of a Change in Control, the Company shall pay CMO’s accrued and unpaid base salary and accrued and unused vacation benefits earned through the date of termination, at the rate in effect at the time of termination, less standard deductions and withholdings. In addition, if CMO furnishes to the Company an executed Release within the time period specified therein, but in no event later than 45 days following CMO’s termination, and if CMO allows such Release to become effective in accordance with its terms, then CMO shall be entitled to: (1) the Severance Payments and COBRA payments described in Section 4.5.3 above; provided, however, that the Severance Payments and COBRA payments shall be increased from 9 months to 12 months and (2) accelerated vesting of all of CMO’s unvested Company equity awards, such that CMO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CMO under this Agreement, except as otherwise provided by law.</w:t>
      </w:r>
    </w:p>
    <w:p>
      <w:pPr>
        <w:spacing w:after="0" w:line="18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b w:val="1"/>
          <w:bCs w:val="1"/>
          <w:color w:val="010000"/>
        </w:rPr>
        <w:t>4.6</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200" w:lineRule="exact"/>
        <w:rPr>
          <w:sz w:val="20"/>
          <w:szCs w:val="20"/>
          <w:color w:val="auto"/>
        </w:rPr>
      </w:pPr>
    </w:p>
    <w:p>
      <w:pPr>
        <w:spacing w:after="0" w:line="26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89" w:right="239" w:bottom="1440" w:gutter="0" w:footer="0" w:header="0"/>
        </w:sectPr>
      </w:pPr>
    </w:p>
    <w:bookmarkStart w:id="126" w:name="page127"/>
    <w:bookmarkEnd w:id="126"/>
    <w:p>
      <w:pPr>
        <w:jc w:val="both"/>
        <w:ind w:firstLine="1945"/>
        <w:spacing w:after="0" w:line="272" w:lineRule="auto"/>
        <w:rPr>
          <w:sz w:val="20"/>
          <w:szCs w:val="20"/>
          <w:color w:val="auto"/>
        </w:rPr>
      </w:pPr>
      <w:r>
        <w:rPr>
          <w:rFonts w:ascii="Arial" w:cs="Arial" w:eastAsia="Arial" w:hAnsi="Arial"/>
          <w:sz w:val="18"/>
          <w:szCs w:val="18"/>
          <w:b w:val="1"/>
          <w:bCs w:val="1"/>
          <w:color w:val="010000"/>
        </w:rPr>
        <w:t xml:space="preserve">4.6.1 </w:t>
      </w:r>
      <w:r>
        <w:rPr>
          <w:rFonts w:ascii="Arial" w:cs="Arial" w:eastAsia="Arial" w:hAnsi="Arial"/>
          <w:sz w:val="18"/>
          <w:szCs w:val="18"/>
          <w:color w:val="000000"/>
        </w:rPr>
        <w:t>“</w:t>
      </w:r>
      <w:r>
        <w:rPr>
          <w:rFonts w:ascii="Arial" w:cs="Arial" w:eastAsia="Arial" w:hAnsi="Arial"/>
          <w:sz w:val="18"/>
          <w:szCs w:val="18"/>
          <w:b w:val="1"/>
          <w:bCs w:val="1"/>
          <w:i w:val="1"/>
          <w:iCs w:val="1"/>
          <w:color w:val="000000"/>
        </w:rPr>
        <w:t>Cause</w:t>
      </w:r>
      <w:r>
        <w:rPr>
          <w:rFonts w:ascii="Arial" w:cs="Arial" w:eastAsia="Arial" w:hAnsi="Arial"/>
          <w:sz w:val="18"/>
          <w:szCs w:val="18"/>
          <w:color w:val="000000"/>
        </w:rPr>
        <w:t>” shall mean the occurrence of any one or more of the following: (i) CMO’s commission of any crime</w:t>
      </w:r>
      <w:r>
        <w:rPr>
          <w:rFonts w:ascii="Arial" w:cs="Arial" w:eastAsia="Arial" w:hAnsi="Arial"/>
          <w:sz w:val="18"/>
          <w:szCs w:val="18"/>
          <w:b w:val="1"/>
          <w:bCs w:val="1"/>
          <w:color w:val="010000"/>
        </w:rPr>
        <w:t xml:space="preserve"> </w:t>
      </w:r>
      <w:r>
        <w:rPr>
          <w:rFonts w:ascii="Arial" w:cs="Arial" w:eastAsia="Arial" w:hAnsi="Arial"/>
          <w:sz w:val="18"/>
          <w:szCs w:val="18"/>
          <w:color w:val="000000"/>
        </w:rPr>
        <w:t>involving fraud, dishonesty or moral turpitude; (ii) CMO’s attempted commission of or participation in a fraud or act of dishonesty against the Company that results in (or might have reasonably resulted in) material harm to the business of the Company; (iii) CMO’s intentional, material violation of any contract or agreement between CMO and the Company or any statutory duty CMO owes to the Company; or (iv) CMO’s conduct that constitutes gross insubordination, incompetence or habitual neglect of duties and that results in (or might have reasonably resulted in) material harm to the business of the Company; provided, however, that the action or conduct described in clauses (iii) and (iv) above will constitute “Cause” only if such action or conduct continues after the Company has provided CMO with written notice thereof and thirty (30) days to cure, or otherwise remedy to the extent possible under direct control of the CMO, the same. An occurrence of “Cause” as set forth in the preceding sentence shall be based upon a good faith determination by the Board. CMO’s Disability shall not constitute Cause as set forth herein. The determination that a termination is for Cause shall be by the Board in its sole and exclusive judgment and discretion.</w:t>
      </w:r>
    </w:p>
    <w:p>
      <w:pPr>
        <w:spacing w:after="0" w:line="16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0"/>
          <w:szCs w:val="20"/>
          <w:b w:val="1"/>
          <w:bCs w:val="1"/>
          <w:color w:val="010000"/>
        </w:rPr>
        <w:t>4.6.2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2006 Amended and Restated Equity Incentive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94" w:lineRule="exact"/>
        <w:rPr>
          <w:sz w:val="20"/>
          <w:szCs w:val="20"/>
          <w:color w:val="auto"/>
        </w:rPr>
      </w:pPr>
    </w:p>
    <w:p>
      <w:pPr>
        <w:jc w:val="both"/>
        <w:ind w:firstLine="1945"/>
        <w:spacing w:after="0" w:line="269" w:lineRule="auto"/>
        <w:rPr>
          <w:sz w:val="20"/>
          <w:szCs w:val="20"/>
          <w:color w:val="auto"/>
        </w:rPr>
      </w:pPr>
      <w:r>
        <w:rPr>
          <w:rFonts w:ascii="Arial" w:cs="Arial" w:eastAsia="Arial" w:hAnsi="Arial"/>
          <w:sz w:val="18"/>
          <w:szCs w:val="18"/>
          <w:b w:val="1"/>
          <w:bCs w:val="1"/>
          <w:color w:val="010000"/>
        </w:rPr>
        <w:t xml:space="preserve">4.6.3 </w:t>
      </w:r>
      <w:r>
        <w:rPr>
          <w:rFonts w:ascii="Arial" w:cs="Arial" w:eastAsia="Arial" w:hAnsi="Arial"/>
          <w:sz w:val="18"/>
          <w:szCs w:val="18"/>
          <w:color w:val="000000"/>
        </w:rPr>
        <w:t>“</w:t>
      </w:r>
      <w:r>
        <w:rPr>
          <w:rFonts w:ascii="Arial" w:cs="Arial" w:eastAsia="Arial" w:hAnsi="Arial"/>
          <w:sz w:val="18"/>
          <w:szCs w:val="18"/>
          <w:b w:val="1"/>
          <w:bCs w:val="1"/>
          <w:i w:val="1"/>
          <w:iCs w:val="1"/>
          <w:color w:val="000000"/>
        </w:rPr>
        <w:t>Good Reason</w:t>
      </w:r>
      <w:r>
        <w:rPr>
          <w:rFonts w:ascii="Arial" w:cs="Arial" w:eastAsia="Arial" w:hAnsi="Arial"/>
          <w:sz w:val="18"/>
          <w:szCs w:val="18"/>
          <w:color w:val="000000"/>
        </w:rPr>
        <w:t>” shall mean any of the following actions: (i) the assignment to CMO of any duties or</w:t>
      </w:r>
      <w:r>
        <w:rPr>
          <w:rFonts w:ascii="Arial" w:cs="Arial" w:eastAsia="Arial" w:hAnsi="Arial"/>
          <w:sz w:val="18"/>
          <w:szCs w:val="18"/>
          <w:b w:val="1"/>
          <w:bCs w:val="1"/>
          <w:color w:val="010000"/>
        </w:rPr>
        <w:t xml:space="preserve"> </w:t>
      </w:r>
      <w:r>
        <w:rPr>
          <w:rFonts w:ascii="Arial" w:cs="Arial" w:eastAsia="Arial" w:hAnsi="Arial"/>
          <w:sz w:val="18"/>
          <w:szCs w:val="18"/>
          <w:color w:val="000000"/>
        </w:rPr>
        <w:t>responsibilities that results in a material diminution in CMO’s function as in effect immediately prior to the effective date of the Change in Control; provided, however, that it will be considered a material diminution in CMO’s function if, following a Change in Control, the CMO is not reporting directly to the Chief Executive Officer who is in turn reporting to the Company’s (or if applicable ultimate parent entity’s) corporate board of directors; (ii) a reduction by the Company in CMO’s annual base salary as in effect on the effective date of the Change in Control; provided, however, that Good Reason shall not be deemed to have occurred in the event of a reduction in CMO’s annual base salary that is pursuant to a salary reduction program affecting substantially all of the employees of the Company and that does not adversely affect CMO to a greater extent than other similarly situated employees; or (iii) a relocation of CMO’s primary business office to a location more than 50 miles from the location of CMO’s primary business office as of the effective date of the Change in Control, except for required travel by CMO on the Company’s business to an extent substantially consistent with CMO’s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CMO must provide the Company with written notice of the condition constituting Good Reason within 90 days of the initial occurrence of such condition, and allow the Company a 30-day cure period in which to cure such condition, and the CMO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168" w:lineRule="exact"/>
        <w:rPr>
          <w:sz w:val="20"/>
          <w:szCs w:val="20"/>
          <w:color w:val="auto"/>
        </w:rPr>
      </w:pPr>
    </w:p>
    <w:p>
      <w:pPr>
        <w:ind w:left="1300"/>
        <w:spacing w:after="0"/>
        <w:tabs>
          <w:tab w:leader="none" w:pos="1760" w:val="left"/>
        </w:tabs>
        <w:rPr>
          <w:sz w:val="20"/>
          <w:szCs w:val="20"/>
          <w:color w:val="auto"/>
        </w:rPr>
      </w:pPr>
      <w:r>
        <w:rPr>
          <w:rFonts w:ascii="Arial" w:cs="Arial" w:eastAsia="Arial" w:hAnsi="Arial"/>
          <w:sz w:val="20"/>
          <w:szCs w:val="20"/>
          <w:b w:val="1"/>
          <w:bCs w:val="1"/>
          <w:color w:val="010000"/>
        </w:rPr>
        <w:t>4.7</w:t>
      </w:r>
      <w:r>
        <w:rPr>
          <w:sz w:val="20"/>
          <w:szCs w:val="20"/>
          <w:color w:val="auto"/>
        </w:rPr>
        <w:tab/>
      </w:r>
      <w:r>
        <w:rPr>
          <w:rFonts w:ascii="Arial" w:cs="Arial" w:eastAsia="Arial" w:hAnsi="Arial"/>
          <w:sz w:val="18"/>
          <w:szCs w:val="18"/>
          <w:b w:val="1"/>
          <w:bCs w:val="1"/>
          <w:color w:val="auto"/>
        </w:rPr>
        <w:t>Survival of Certain Sections</w:t>
      </w:r>
      <w:r>
        <w:rPr>
          <w:rFonts w:ascii="Arial" w:cs="Arial" w:eastAsia="Arial" w:hAnsi="Arial"/>
          <w:sz w:val="18"/>
          <w:szCs w:val="18"/>
          <w:color w:val="auto"/>
        </w:rPr>
        <w:t>. Sections 3.4, 3.6 and 4 through 18 of this Agreement will survive the termination of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9" w:right="239" w:bottom="1440" w:gutter="0" w:footer="0" w:header="0"/>
        </w:sectPr>
      </w:pPr>
    </w:p>
    <w:bookmarkStart w:id="127" w:name="page128"/>
    <w:bookmarkEnd w:id="127"/>
    <w:p>
      <w:pPr>
        <w:jc w:val="right"/>
        <w:spacing w:after="0"/>
        <w:tabs>
          <w:tab w:leader="none" w:pos="9580" w:val="left"/>
        </w:tabs>
        <w:rPr>
          <w:sz w:val="20"/>
          <w:szCs w:val="20"/>
          <w:color w:val="auto"/>
        </w:rPr>
      </w:pPr>
      <w:r>
        <w:rPr>
          <w:rFonts w:ascii="Arial" w:cs="Arial" w:eastAsia="Arial" w:hAnsi="Arial"/>
          <w:sz w:val="20"/>
          <w:szCs w:val="20"/>
          <w:b w:val="1"/>
          <w:bCs w:val="1"/>
          <w:color w:val="010000"/>
        </w:rPr>
        <w:t>4.8</w:t>
      </w:r>
      <w:r>
        <w:rPr>
          <w:sz w:val="20"/>
          <w:szCs w:val="20"/>
          <w:color w:val="auto"/>
        </w:rPr>
        <w:tab/>
      </w:r>
      <w:r>
        <w:rPr>
          <w:rFonts w:ascii="Arial" w:cs="Arial" w:eastAsia="Arial" w:hAnsi="Arial"/>
          <w:sz w:val="18"/>
          <w:szCs w:val="18"/>
          <w:b w:val="1"/>
          <w:bCs w:val="1"/>
          <w:color w:val="auto"/>
        </w:rPr>
        <w:t>Parachute Payment</w:t>
      </w:r>
      <w:r>
        <w:rPr>
          <w:rFonts w:ascii="Arial" w:cs="Arial" w:eastAsia="Arial" w:hAnsi="Arial"/>
          <w:sz w:val="18"/>
          <w:szCs w:val="18"/>
          <w:color w:val="auto"/>
        </w:rPr>
        <w:t>. If any payment or benefit CMO would receive pursuant to this Agreement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w:t>
      </w:r>
    </w:p>
    <w:p>
      <w:pPr>
        <w:spacing w:after="0" w:line="22" w:lineRule="exact"/>
        <w:rPr>
          <w:sz w:val="20"/>
          <w:szCs w:val="20"/>
          <w:color w:val="auto"/>
        </w:rPr>
      </w:pPr>
    </w:p>
    <w:p>
      <w:pPr>
        <w:jc w:val="both"/>
        <w:ind w:firstLine="8"/>
        <w:spacing w:after="0" w:line="270" w:lineRule="auto"/>
        <w:tabs>
          <w:tab w:leader="none" w:pos="2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constitute a “</w:t>
      </w:r>
      <w:r>
        <w:rPr>
          <w:rFonts w:ascii="Arial" w:cs="Arial" w:eastAsia="Arial" w:hAnsi="Arial"/>
          <w:sz w:val="18"/>
          <w:szCs w:val="18"/>
          <w:b w:val="1"/>
          <w:bCs w:val="1"/>
          <w:i w:val="1"/>
          <w:iCs w:val="1"/>
          <w:color w:val="auto"/>
        </w:rPr>
        <w:t>Parachute Payment</w:t>
      </w:r>
      <w:r>
        <w:rPr>
          <w:rFonts w:ascii="Arial" w:cs="Arial" w:eastAsia="Arial" w:hAnsi="Arial"/>
          <w:sz w:val="18"/>
          <w:szCs w:val="18"/>
          <w:color w:val="auto"/>
        </w:rPr>
        <w:t>” within the meaning of Section 280G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(ii) 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CMO’s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CMO. If more than one method of reduction will result in the same economic benefit, the items so reduced will be reduced pro rata.</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event it is subsequently determined by the Internal Revenue Service that some portion of the Reduced Amount (as determined pursuant to clause (x) in the preceding paragraph) is subject to the Excise Tax, CMO agrees to promptly return to the Company a sufficient amount of the Payment so that no portion of the Reduced Amount is subject to the Excise Tax. For the avoidance of doubt, if the Reduced Amount is determined in accordance with clause (y) in the preceding paragraph, CMO will have no obligation to return any portion of the Payment pursuant to the preceding sentence.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Unless CMO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shall use commercially reasonable efforts such that the accounting, law or consulting firm engaged to make the determinations hereunder shall provide its calculations, together with detailed supporting documentation, to CMO and the Company within 15 calendar days after the date on which CMO’s right to a Payment is triggered (if requested at that time by CMO or the Company) or such other time as requested by CMO or the Company.</w:t>
      </w:r>
    </w:p>
    <w:p>
      <w:pPr>
        <w:spacing w:after="0" w:line="18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b w:val="1"/>
          <w:bCs w:val="1"/>
          <w:color w:val="010000"/>
        </w:rPr>
        <w:t xml:space="preserve">4.9 </w:t>
      </w:r>
      <w:r>
        <w:rPr>
          <w:rFonts w:ascii="Arial" w:cs="Arial" w:eastAsia="Arial" w:hAnsi="Arial"/>
          <w:sz w:val="20"/>
          <w:szCs w:val="20"/>
          <w:b w:val="1"/>
          <w:bCs w:val="1"/>
          <w:color w:val="000000"/>
        </w:rPr>
        <w:t>Application of Internal Revenue Code Section 409A</w:t>
      </w:r>
      <w:r>
        <w:rPr>
          <w:rFonts w:ascii="Arial" w:cs="Arial" w:eastAsia="Arial" w:hAnsi="Arial"/>
          <w:sz w:val="20"/>
          <w:szCs w:val="20"/>
          <w:color w:val="000000"/>
        </w:rPr>
        <w:t>. Notwithstanding anything to the contrary set forth herein,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payments and benefits provided under this Agreement (the “</w:t>
      </w:r>
      <w:r>
        <w:rPr>
          <w:rFonts w:ascii="Arial" w:cs="Arial" w:eastAsia="Arial" w:hAnsi="Arial"/>
          <w:sz w:val="20"/>
          <w:szCs w:val="20"/>
          <w:b w:val="1"/>
          <w:bCs w:val="1"/>
          <w:i w:val="1"/>
          <w:iCs w:val="1"/>
          <w:color w:val="000000"/>
        </w:rPr>
        <w:t>Severance Benefits</w:t>
      </w:r>
      <w:r>
        <w:rPr>
          <w:rFonts w:ascii="Arial" w:cs="Arial" w:eastAsia="Arial" w:hAnsi="Arial"/>
          <w:sz w:val="20"/>
          <w:szCs w:val="20"/>
          <w:color w:val="000000"/>
        </w:rPr>
        <w:t>”) that constitute “deferred compensation” within the meaning of Section 409A of the Code and the regulations and other guidance thereunder and any state law of similar effect (collectively “</w:t>
      </w:r>
      <w:r>
        <w:rPr>
          <w:rFonts w:ascii="Arial" w:cs="Arial" w:eastAsia="Arial" w:hAnsi="Arial"/>
          <w:sz w:val="20"/>
          <w:szCs w:val="20"/>
          <w:b w:val="1"/>
          <w:bCs w:val="1"/>
          <w:i w:val="1"/>
          <w:iCs w:val="1"/>
          <w:color w:val="000000"/>
        </w:rPr>
        <w:t>Section 409A</w:t>
      </w:r>
      <w:r>
        <w:rPr>
          <w:rFonts w:ascii="Arial" w:cs="Arial" w:eastAsia="Arial" w:hAnsi="Arial"/>
          <w:sz w:val="20"/>
          <w:szCs w:val="20"/>
          <w:color w:val="000000"/>
        </w:rPr>
        <w:t>”) shall not commence in connection with CMO’s termination of employment unless and until CMO has also incurred a “separation from service” (as such term is defined in Treasury Regulation Section 1.409A-1(h) (“</w:t>
      </w:r>
      <w:r>
        <w:rPr>
          <w:rFonts w:ascii="Arial" w:cs="Arial" w:eastAsia="Arial" w:hAnsi="Arial"/>
          <w:sz w:val="20"/>
          <w:szCs w:val="20"/>
          <w:b w:val="1"/>
          <w:bCs w:val="1"/>
          <w:i w:val="1"/>
          <w:iCs w:val="1"/>
          <w:color w:val="000000"/>
        </w:rPr>
        <w:t>Separation From Service</w:t>
      </w:r>
      <w:r>
        <w:rPr>
          <w:rFonts w:ascii="Arial" w:cs="Arial" w:eastAsia="Arial" w:hAnsi="Arial"/>
          <w:sz w:val="20"/>
          <w:szCs w:val="20"/>
          <w:color w:val="000000"/>
        </w:rPr>
        <w:t>”), unless the Company reasonably determines that such amounts may be provided to CMO without causing CMO to incur the additional 20% tax under Section 409A.</w:t>
      </w:r>
    </w:p>
    <w:p>
      <w:pPr>
        <w:spacing w:after="0" w:line="19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9" w:right="239" w:bottom="1440" w:gutter="0" w:footer="0" w:header="0"/>
        </w:sectPr>
      </w:pPr>
    </w:p>
    <w:bookmarkStart w:id="128" w:name="page129"/>
    <w:bookmarkEnd w:id="128"/>
    <w:p>
      <w:pPr>
        <w:jc w:val="both"/>
        <w:spacing w:after="0" w:line="271" w:lineRule="auto"/>
        <w:rPr>
          <w:sz w:val="20"/>
          <w:szCs w:val="20"/>
          <w:color w:val="auto"/>
        </w:rPr>
      </w:pPr>
      <w:r>
        <w:rPr>
          <w:rFonts w:ascii="Arial" w:cs="Arial" w:eastAsia="Arial" w:hAnsi="Arial"/>
          <w:sz w:val="18"/>
          <w:szCs w:val="18"/>
          <w:color w:val="auto"/>
        </w:rPr>
        <w:t>Regulation Sections 1.409A-1(b)(4), 1.409A-1(b)(5) and 1.409A-1(b)(9). However, if the Company (or, if applicable, the successor entity thereto) determines that the Severance Benefits constitute “deferred compensation” under Section 409A and CMO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CMO’s Separation From Service, or (ii) the date of CMO’s death (such applicable date, the “</w:t>
      </w:r>
      <w:r>
        <w:rPr>
          <w:rFonts w:ascii="Arial" w:cs="Arial" w:eastAsia="Arial" w:hAnsi="Arial"/>
          <w:sz w:val="18"/>
          <w:szCs w:val="18"/>
          <w:b w:val="1"/>
          <w:bCs w:val="1"/>
          <w:i w:val="1"/>
          <w:iCs w:val="1"/>
          <w:color w:val="auto"/>
        </w:rPr>
        <w:t>Specified Employee Initial Payment Date</w:t>
      </w:r>
      <w:r>
        <w:rPr>
          <w:rFonts w:ascii="Arial" w:cs="Arial" w:eastAsia="Arial" w:hAnsi="Arial"/>
          <w:sz w:val="18"/>
          <w:szCs w:val="18"/>
          <w:color w:val="auto"/>
        </w:rPr>
        <w:t>”), the Company (or the successor entity thereto, as applicable) shall (A) pay to CMO a lump sum amount equal to the sum of the Severance Benefit payments that CMO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set forth herein, CMO shall receive the Severance Benefits described above, if and only if CMO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CMO the Severance Benefits CMO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79" w:lineRule="exact"/>
        <w:rPr>
          <w:sz w:val="20"/>
          <w:szCs w:val="20"/>
          <w:color w:val="auto"/>
        </w:rPr>
      </w:pPr>
    </w:p>
    <w:p>
      <w:pPr>
        <w:ind w:left="980" w:hanging="324"/>
        <w:spacing w:after="0"/>
        <w:tabs>
          <w:tab w:leader="none" w:pos="980" w:val="left"/>
        </w:tabs>
        <w:numPr>
          <w:ilvl w:val="0"/>
          <w:numId w:val="81"/>
        </w:numPr>
        <w:rPr>
          <w:rFonts w:ascii="Arial" w:cs="Arial" w:eastAsia="Arial" w:hAnsi="Arial"/>
          <w:sz w:val="20"/>
          <w:szCs w:val="20"/>
          <w:b w:val="1"/>
          <w:bCs w:val="1"/>
          <w:color w:val="010000"/>
        </w:rPr>
      </w:pPr>
      <w:r>
        <w:rPr>
          <w:rFonts w:ascii="Arial" w:cs="Arial" w:eastAsia="Arial" w:hAnsi="Arial"/>
          <w:sz w:val="20"/>
          <w:szCs w:val="20"/>
          <w:b w:val="1"/>
          <w:bCs w:val="1"/>
          <w:color w:val="auto"/>
        </w:rPr>
        <w:t>CONFIDENTIAL AND PROPRIETARY INFORMATION.</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CMO has already executed, as a condition of CMO’s employment with the Company, the Company’s standard form of Proprietary Information and Inventions Agreement (the “</w:t>
      </w:r>
      <w:r>
        <w:rPr>
          <w:rFonts w:ascii="Arial" w:cs="Arial" w:eastAsia="Arial" w:hAnsi="Arial"/>
          <w:sz w:val="20"/>
          <w:szCs w:val="20"/>
          <w:b w:val="1"/>
          <w:bCs w:val="1"/>
          <w:i w:val="1"/>
          <w:iCs w:val="1"/>
          <w:color w:val="auto"/>
        </w:rPr>
        <w:t>PIIA</w:t>
      </w:r>
      <w:r>
        <w:rPr>
          <w:rFonts w:ascii="Arial" w:cs="Arial" w:eastAsia="Arial" w:hAnsi="Arial"/>
          <w:sz w:val="20"/>
          <w:szCs w:val="20"/>
          <w:color w:val="auto"/>
        </w:rPr>
        <w:t>”). The PIIA remains in full force and effect.</w:t>
      </w:r>
    </w:p>
    <w:p>
      <w:pPr>
        <w:spacing w:after="0" w:line="171"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20"/>
          <w:szCs w:val="20"/>
          <w:b w:val="1"/>
          <w:bCs w:val="1"/>
          <w:color w:val="010000"/>
        </w:rPr>
      </w:pPr>
      <w:r>
        <w:rPr>
          <w:rFonts w:ascii="Arial" w:cs="Arial" w:eastAsia="Arial" w:hAnsi="Arial"/>
          <w:sz w:val="20"/>
          <w:szCs w:val="20"/>
          <w:b w:val="1"/>
          <w:bCs w:val="1"/>
          <w:color w:val="auto"/>
        </w:rPr>
        <w:t>ASSIGNMENT AND BINDING EFFECT.</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Agreement shall be binding upon and inure to the benefit of CMO and CMO’s heirs, executors, personal representatives, assigns, administrators and legal representatives. Because of the unique and personal nature of CMO’s duties under this Agreement, neither this Agreement nor any rights or obligations under this Agreement shall be assignable by CMO.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73" w:lineRule="exact"/>
        <w:rPr>
          <w:sz w:val="20"/>
          <w:szCs w:val="20"/>
          <w:color w:val="auto"/>
        </w:rPr>
      </w:pPr>
    </w:p>
    <w:p>
      <w:pPr>
        <w:ind w:left="980" w:hanging="324"/>
        <w:spacing w:after="0"/>
        <w:tabs>
          <w:tab w:leader="none" w:pos="980" w:val="left"/>
        </w:tabs>
        <w:numPr>
          <w:ilvl w:val="0"/>
          <w:numId w:val="83"/>
        </w:numPr>
        <w:rPr>
          <w:rFonts w:ascii="Arial" w:cs="Arial" w:eastAsia="Arial" w:hAnsi="Arial"/>
          <w:sz w:val="20"/>
          <w:szCs w:val="20"/>
          <w:b w:val="1"/>
          <w:bCs w:val="1"/>
          <w:color w:val="010000"/>
        </w:rPr>
      </w:pPr>
      <w:r>
        <w:rPr>
          <w:rFonts w:ascii="Arial" w:cs="Arial" w:eastAsia="Arial" w:hAnsi="Arial"/>
          <w:sz w:val="20"/>
          <w:szCs w:val="20"/>
          <w:b w:val="1"/>
          <w:bCs w:val="1"/>
          <w:color w:val="auto"/>
        </w:rPr>
        <w:t>NOTICES.</w:t>
      </w:r>
    </w:p>
    <w:p>
      <w:pPr>
        <w:spacing w:after="0" w:line="22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All notices or demands of any kind required or permitted to be given by the Company or CMO under this Agreement shall be given in writing and shall be personally delivered (and receipted for) or faxed during</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95" w:right="2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normal business hours or mailed by certified mail, return receipt requested, postage prepaid, addressed as follows:</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If to the Company:</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10421 Pacific Center Court, Suite 200</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San Diego, CA 92121</w:t>
      </w:r>
    </w:p>
    <w:p>
      <w:pPr>
        <w:ind w:left="1300"/>
        <w:spacing w:after="0"/>
        <w:rPr>
          <w:sz w:val="20"/>
          <w:szCs w:val="20"/>
          <w:color w:val="auto"/>
        </w:rPr>
      </w:pPr>
      <w:r>
        <w:rPr>
          <w:rFonts w:ascii="Arial" w:cs="Arial" w:eastAsia="Arial" w:hAnsi="Arial"/>
          <w:sz w:val="20"/>
          <w:szCs w:val="20"/>
          <w:color w:val="auto"/>
        </w:rPr>
        <w:t>Attention: Chief Executive Officer</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If to CMO:</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125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276225</wp:posOffset>
            </wp:positionV>
            <wp:extent cx="125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80" w:lineRule="exact"/>
        <w:rPr>
          <w:sz w:val="20"/>
          <w:szCs w:val="20"/>
          <w:color w:val="auto"/>
        </w:rPr>
      </w:pPr>
    </w:p>
    <w:p>
      <w:pPr>
        <w:ind w:left="980" w:hanging="324"/>
        <w:spacing w:after="0"/>
        <w:tabs>
          <w:tab w:leader="none" w:pos="980" w:val="left"/>
        </w:tabs>
        <w:numPr>
          <w:ilvl w:val="0"/>
          <w:numId w:val="84"/>
        </w:numPr>
        <w:rPr>
          <w:rFonts w:ascii="Arial" w:cs="Arial" w:eastAsia="Arial" w:hAnsi="Arial"/>
          <w:sz w:val="20"/>
          <w:szCs w:val="20"/>
          <w:b w:val="1"/>
          <w:bCs w:val="1"/>
          <w:color w:val="010000"/>
        </w:rPr>
      </w:pPr>
      <w:r>
        <w:rPr>
          <w:rFonts w:ascii="Arial" w:cs="Arial" w:eastAsia="Arial" w:hAnsi="Arial"/>
          <w:sz w:val="20"/>
          <w:szCs w:val="20"/>
          <w:b w:val="1"/>
          <w:bCs w:val="1"/>
          <w:color w:val="auto"/>
        </w:rPr>
        <w:t>CHOICE OF LAW.</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shall be construed and interpreted in accordance with the internal laws of the State of California without regard to its conflict of laws principles.</w:t>
      </w:r>
    </w:p>
    <w:p>
      <w:pPr>
        <w:spacing w:after="0" w:line="171" w:lineRule="exact"/>
        <w:rPr>
          <w:sz w:val="20"/>
          <w:szCs w:val="20"/>
          <w:color w:val="auto"/>
        </w:rPr>
      </w:pPr>
    </w:p>
    <w:p>
      <w:pPr>
        <w:ind w:left="980" w:hanging="324"/>
        <w:spacing w:after="0"/>
        <w:tabs>
          <w:tab w:leader="none" w:pos="980" w:val="left"/>
        </w:tabs>
        <w:numPr>
          <w:ilvl w:val="0"/>
          <w:numId w:val="85"/>
        </w:numPr>
        <w:rPr>
          <w:rFonts w:ascii="Arial" w:cs="Arial" w:eastAsia="Arial" w:hAnsi="Arial"/>
          <w:sz w:val="20"/>
          <w:szCs w:val="20"/>
          <w:b w:val="1"/>
          <w:bCs w:val="1"/>
          <w:color w:val="010000"/>
        </w:rPr>
      </w:pPr>
      <w:r>
        <w:rPr>
          <w:rFonts w:ascii="Arial" w:cs="Arial" w:eastAsia="Arial" w:hAnsi="Arial"/>
          <w:sz w:val="20"/>
          <w:szCs w:val="20"/>
          <w:b w:val="1"/>
          <w:bCs w:val="1"/>
          <w:color w:val="auto"/>
        </w:rPr>
        <w:t>INTEGRATION.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Agreement, including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and the PIIA, contains the complete, final and exclusive agreement of the Parties relating to the terms and conditions of CMO’s employment and the termination of CMO’s employment, and supersedes any and all prior and/or contemporaneous oral and written employment agreements or arrangements between the Parties.</w:t>
      </w:r>
    </w:p>
    <w:p>
      <w:pPr>
        <w:spacing w:after="0" w:line="178"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20"/>
          <w:szCs w:val="20"/>
          <w:b w:val="1"/>
          <w:bCs w:val="1"/>
          <w:color w:val="010000"/>
        </w:rPr>
      </w:pPr>
      <w:r>
        <w:rPr>
          <w:rFonts w:ascii="Arial" w:cs="Arial" w:eastAsia="Arial" w:hAnsi="Arial"/>
          <w:sz w:val="20"/>
          <w:szCs w:val="20"/>
          <w:b w:val="1"/>
          <w:bCs w:val="1"/>
          <w:color w:val="auto"/>
        </w:rPr>
        <w:t>AMENDMENT.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cannot be amended or modified except by a written agreement signed by CMO and the Company.</w:t>
      </w:r>
    </w:p>
    <w:p>
      <w:pPr>
        <w:spacing w:after="0" w:line="210"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20"/>
          <w:szCs w:val="20"/>
          <w:b w:val="1"/>
          <w:bCs w:val="1"/>
          <w:color w:val="010000"/>
        </w:rPr>
      </w:pPr>
      <w:r>
        <w:rPr>
          <w:rFonts w:ascii="Arial" w:cs="Arial" w:eastAsia="Arial" w:hAnsi="Arial"/>
          <w:sz w:val="20"/>
          <w:szCs w:val="20"/>
          <w:b w:val="1"/>
          <w:bCs w:val="1"/>
          <w:color w:val="auto"/>
        </w:rPr>
        <w:t>WAIVER.</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64"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20"/>
          <w:szCs w:val="20"/>
          <w:b w:val="1"/>
          <w:bCs w:val="1"/>
          <w:color w:val="010000"/>
        </w:rPr>
      </w:pPr>
      <w:r>
        <w:rPr>
          <w:rFonts w:ascii="Arial" w:cs="Arial" w:eastAsia="Arial" w:hAnsi="Arial"/>
          <w:sz w:val="20"/>
          <w:szCs w:val="20"/>
          <w:b w:val="1"/>
          <w:bCs w:val="1"/>
          <w:color w:val="auto"/>
        </w:rPr>
        <w:t>SEVERABILITY.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95" w:right="239" w:bottom="1440" w:gutter="0" w:footer="0" w:header="0"/>
        </w:sectPr>
      </w:pPr>
    </w:p>
    <w:bookmarkStart w:id="130" w:name="page131"/>
    <w:bookmarkEnd w:id="130"/>
    <w:p>
      <w:pPr>
        <w:ind w:left="1080" w:hanging="424"/>
        <w:spacing w:after="0"/>
        <w:tabs>
          <w:tab w:leader="none" w:pos="1080" w:val="left"/>
        </w:tabs>
        <w:numPr>
          <w:ilvl w:val="0"/>
          <w:numId w:val="89"/>
        </w:numPr>
        <w:rPr>
          <w:rFonts w:ascii="Arial" w:cs="Arial" w:eastAsia="Arial" w:hAnsi="Arial"/>
          <w:sz w:val="20"/>
          <w:szCs w:val="20"/>
          <w:b w:val="1"/>
          <w:bCs w:val="1"/>
          <w:color w:val="010000"/>
        </w:rPr>
      </w:pPr>
      <w:r>
        <w:rPr>
          <w:rFonts w:ascii="Arial" w:cs="Arial" w:eastAsia="Arial" w:hAnsi="Arial"/>
          <w:sz w:val="20"/>
          <w:szCs w:val="20"/>
          <w:b w:val="1"/>
          <w:bCs w:val="1"/>
          <w:color w:val="auto"/>
        </w:rPr>
        <w:t>INTERPRETATION; CONSTRUCTION.</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headings set forth in this Agreement are for convenience of reference only and shall not be used in interpreting this Agreement. This Agreement has been drafted by legal counsel representing the Company, but CMO has been encouraged to consult with, and has consulted with, CMO’s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59"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20"/>
          <w:szCs w:val="20"/>
          <w:b w:val="1"/>
          <w:bCs w:val="1"/>
          <w:color w:val="010000"/>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CMO represents and warrants that CMO is not restricted or prohibited, contractually or otherwise, from entering into and performing each of the terms and covenants contained in this Agreement, and that CMO’s execution and performance of this Agreement will not violate or breach any other agreements between CMO and any other person or entity.</w:t>
      </w:r>
    </w:p>
    <w:p>
      <w:pPr>
        <w:spacing w:after="0" w:line="180"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20"/>
          <w:szCs w:val="20"/>
          <w:b w:val="1"/>
          <w:bCs w:val="1"/>
          <w:color w:val="010000"/>
        </w:rPr>
      </w:pPr>
      <w:r>
        <w:rPr>
          <w:rFonts w:ascii="Arial" w:cs="Arial" w:eastAsia="Arial" w:hAnsi="Arial"/>
          <w:sz w:val="20"/>
          <w:szCs w:val="20"/>
          <w:b w:val="1"/>
          <w:bCs w:val="1"/>
          <w:color w:val="auto"/>
        </w:rPr>
        <w:t>COUNTERPARTS.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may be executed in two counterparts, each of which shall be deemed an original, all of which together shall contribute one and the same instrument.</w:t>
      </w:r>
    </w:p>
    <w:p>
      <w:pPr>
        <w:spacing w:after="0" w:line="171"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20"/>
          <w:szCs w:val="20"/>
          <w:b w:val="1"/>
          <w:bCs w:val="1"/>
          <w:color w:val="010000"/>
        </w:rPr>
      </w:pPr>
      <w:r>
        <w:rPr>
          <w:rFonts w:ascii="Arial" w:cs="Arial" w:eastAsia="Arial" w:hAnsi="Arial"/>
          <w:sz w:val="20"/>
          <w:szCs w:val="20"/>
          <w:b w:val="1"/>
          <w:bCs w:val="1"/>
          <w:color w:val="auto"/>
        </w:rPr>
        <w:t>ARBITRATION.</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To ensure the rapid and economical resolution of disputes that may arise in connection with CMO’s employment with the Company, CMO and the Company agree that any and all disputes, claims, or causes of action, in law or equity, arising from or relating to CMO’s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CMO and the Company hereby waive any right to a jury trial. Both CMO and the Company shall be entitled to all rights and remedies that either CMO or the Company would be entitled to pursue in a court of law. The Company shall pay any JAMS filing fee and shall pay the arbitrator’s fee. Nothing in this Agreement is intended to prevent either CMO or the Company from obtaining injunctive relief in court to prevent irreparable harm pending the conclusion of any such arbitration. Notwithstanding the foregoing, CMO and the Company each have the right to resolve any issue or dispute involving confidential, proprietary or trade secret information, or intellectual property rights, by Court action instead of arbitration.</w:t>
      </w:r>
    </w:p>
    <w:p>
      <w:pPr>
        <w:spacing w:after="0" w:line="168"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20"/>
          <w:szCs w:val="20"/>
          <w:b w:val="1"/>
          <w:bCs w:val="1"/>
          <w:color w:val="010000"/>
        </w:rPr>
      </w:pPr>
      <w:r>
        <w:rPr>
          <w:rFonts w:ascii="Arial" w:cs="Arial" w:eastAsia="Arial" w:hAnsi="Arial"/>
          <w:sz w:val="20"/>
          <w:szCs w:val="20"/>
          <w:b w:val="1"/>
          <w:bCs w:val="1"/>
          <w:color w:val="auto"/>
        </w:rPr>
        <w:t>TRADE SECRETS OF OTHERS.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It is the understanding of both the Company and CMO that CMO shall not divulge to the Company and/or its subsidiaries any confidential information or trade secrets belonging to others, including CMO’s former employers, nor shall the Company and/or its Affiliates seek to elicit from CMO any such information. Consistent with the foregoing, CMO shall not provide to the Company and/or its Affiliates, and the Company and/or its Affiliates shall not request, any documents or copies of documents containing such information.</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89" w:right="239" w:bottom="1440" w:gutter="0" w:footer="0" w:header="0"/>
        </w:sectPr>
      </w:pPr>
    </w:p>
    <w:bookmarkStart w:id="131" w:name="page132"/>
    <w:bookmarkEnd w:id="131"/>
    <w:p>
      <w:pPr>
        <w:ind w:left="424" w:hanging="424"/>
        <w:spacing w:after="0"/>
        <w:tabs>
          <w:tab w:leader="none" w:pos="424" w:val="left"/>
        </w:tabs>
        <w:numPr>
          <w:ilvl w:val="0"/>
          <w:numId w:val="94"/>
        </w:numPr>
        <w:rPr>
          <w:rFonts w:ascii="Arial" w:cs="Arial" w:eastAsia="Arial" w:hAnsi="Arial"/>
          <w:sz w:val="20"/>
          <w:szCs w:val="20"/>
          <w:b w:val="1"/>
          <w:bCs w:val="1"/>
          <w:color w:val="010000"/>
        </w:rPr>
      </w:pPr>
      <w:r>
        <w:rPr>
          <w:rFonts w:ascii="Arial" w:cs="Arial" w:eastAsia="Arial" w:hAnsi="Arial"/>
          <w:sz w:val="20"/>
          <w:szCs w:val="20"/>
          <w:b w:val="1"/>
          <w:bCs w:val="1"/>
          <w:color w:val="auto"/>
        </w:rPr>
        <w:t>ADVERTISING WAIVER.</w:t>
      </w:r>
    </w:p>
    <w:p>
      <w:pPr>
        <w:spacing w:after="0" w:line="215" w:lineRule="exact"/>
        <w:rPr>
          <w:rFonts w:ascii="Arial" w:cs="Arial" w:eastAsia="Arial" w:hAnsi="Arial"/>
          <w:sz w:val="20"/>
          <w:szCs w:val="20"/>
          <w:b w:val="1"/>
          <w:bCs w:val="1"/>
          <w:color w:val="010000"/>
        </w:rPr>
      </w:pPr>
    </w:p>
    <w:p>
      <w:pPr>
        <w:jc w:val="both"/>
        <w:ind w:left="4" w:hanging="4"/>
        <w:spacing w:after="0" w:line="244" w:lineRule="auto"/>
        <w:tabs>
          <w:tab w:leader="none" w:pos="485" w:val="left"/>
        </w:tabs>
        <w:numPr>
          <w:ilvl w:val="0"/>
          <w:numId w:val="94"/>
        </w:numPr>
        <w:rPr>
          <w:rFonts w:ascii="Arial" w:cs="Arial" w:eastAsia="Arial" w:hAnsi="Arial"/>
          <w:sz w:val="20"/>
          <w:szCs w:val="20"/>
          <w:b w:val="1"/>
          <w:bCs w:val="1"/>
          <w:color w:val="010000"/>
        </w:rPr>
      </w:pPr>
      <w:r>
        <w:rPr>
          <w:rFonts w:ascii="Arial" w:cs="Arial" w:eastAsia="Arial" w:hAnsi="Arial"/>
          <w:sz w:val="20"/>
          <w:szCs w:val="20"/>
          <w:b w:val="1"/>
          <w:bCs w:val="1"/>
          <w:color w:val="auto"/>
        </w:rPr>
        <w:t>CMO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CMO’S NAME AND/OR PICTURES OF CMO TAKEN IN THE COURSE OF CMO’S PROVISION OF SERVICES TO THE COMPANY APPEAR. CMO HEREBY WAIVES AND RELEASES ANY CLAIM OR RIGHT CMO MAY OTHERWISE HAVE ARISING OUT OF SUCH USE, PUBLICATION OR DISTRIBUTION.</w:t>
      </w:r>
    </w:p>
    <w:p>
      <w:pPr>
        <w:spacing w:after="0" w:line="193" w:lineRule="exact"/>
        <w:rPr>
          <w:sz w:val="20"/>
          <w:szCs w:val="20"/>
          <w:color w:val="auto"/>
        </w:rPr>
      </w:pPr>
    </w:p>
    <w:p>
      <w:pPr>
        <w:ind w:left="2304"/>
        <w:spacing w:after="0"/>
        <w:rPr>
          <w:sz w:val="20"/>
          <w:szCs w:val="20"/>
          <w:color w:val="auto"/>
        </w:rPr>
      </w:pPr>
      <w:r>
        <w:rPr>
          <w:rFonts w:ascii="Arial" w:cs="Arial" w:eastAsia="Arial" w:hAnsi="Arial"/>
          <w:sz w:val="20"/>
          <w:szCs w:val="20"/>
          <w:color w:val="auto"/>
        </w:rPr>
        <w:t>[REMAINDER OF THIS PAGE INTENTIONALLY LEFT BLANK]</w:t>
      </w:r>
    </w:p>
    <w:p>
      <w:pPr>
        <w:spacing w:after="0" w:line="243"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64"/>
          </w:cols>
          <w:pgMar w:left="896" w:top="589"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dates below.</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ANAPTYSBIO, INC.</w:t>
      </w:r>
    </w:p>
    <w:p>
      <w:pPr>
        <w:spacing w:after="0" w:line="330"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928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928370" cy="889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President &amp; CEO</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8"/>
          <w:szCs w:val="18"/>
          <w:color w:val="auto"/>
        </w:rPr>
        <w:t>March 1, 2018</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CMO</w:t>
      </w:r>
      <w:r>
        <w:rPr>
          <w:rFonts w:ascii="Arial" w:cs="Arial" w:eastAsia="Arial" w:hAnsi="Arial"/>
          <w:sz w:val="20"/>
          <w:szCs w:val="20"/>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 Marco Londei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912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5">
                      <a:extLst>
                        <a:ext uri="{28A0092B-C50C-407E-A947-70E740481C1C}"/>
                      </a:extLst>
                    </a:blip>
                    <a:srcRect/>
                    <a:stretch>
                      <a:fillRect/>
                    </a:stretch>
                  </pic:blipFill>
                  <pic:spPr bwMode="auto">
                    <a:xfrm>
                      <a:off x="0" y="0"/>
                      <a:ext cx="99123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MARCO LONDEI</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Dated: March 1, 2018</w:t>
      </w:r>
    </w:p>
    <w:p>
      <w:pPr>
        <w:spacing w:after="0" w:line="200" w:lineRule="exact"/>
        <w:rPr>
          <w:sz w:val="20"/>
          <w:szCs w:val="20"/>
          <w:color w:val="auto"/>
        </w:rPr>
      </w:pPr>
    </w:p>
    <w:p>
      <w:pPr>
        <w:spacing w:after="0" w:line="259" w:lineRule="exact"/>
        <w:rPr>
          <w:sz w:val="20"/>
          <w:szCs w:val="20"/>
          <w:color w:val="auto"/>
        </w:rPr>
      </w:pPr>
    </w:p>
    <w:p>
      <w:pPr>
        <w:jc w:val="right"/>
        <w:ind w:right="2119"/>
        <w:spacing w:after="0"/>
        <w:rPr>
          <w:sz w:val="20"/>
          <w:szCs w:val="20"/>
          <w:color w:val="auto"/>
        </w:rPr>
      </w:pPr>
      <w:r>
        <w:rPr>
          <w:rFonts w:ascii="Arial" w:cs="Arial" w:eastAsia="Arial" w:hAnsi="Arial"/>
          <w:sz w:val="20"/>
          <w:szCs w:val="20"/>
          <w:color w:val="auto"/>
        </w:rPr>
        <w:t>[SIGNATURE PAGE TO EMPLOYMENT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219"/>
          </w:cols>
          <w:pgMar w:left="240" w:top="589"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AND WAIVER OF CLAIMS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FOLLOWING THE SEPARATION DATE ONLY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consideration of the payments and other benefits set forth in the Employment Agreement effective January 26, 2018, to which this form is attached, I, Marco Londei, hereby furnish </w:t>
      </w:r>
      <w:r>
        <w:rPr>
          <w:rFonts w:ascii="Arial" w:cs="Arial" w:eastAsia="Arial" w:hAnsi="Arial"/>
          <w:sz w:val="20"/>
          <w:szCs w:val="20"/>
          <w:b w:val="1"/>
          <w:bCs w:val="1"/>
          <w:color w:val="auto"/>
        </w:rPr>
        <w:t>ANAPTYSBIO, INC</w:t>
      </w:r>
      <w:r>
        <w:rPr>
          <w:rFonts w:ascii="Arial" w:cs="Arial" w:eastAsia="Arial" w:hAnsi="Arial"/>
          <w:sz w:val="20"/>
          <w:szCs w:val="20"/>
          <w:color w:val="auto"/>
        </w:rPr>
        <w: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following release and waiver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and Waiver</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8"/>
          <w:szCs w:val="18"/>
          <w:b w:val="1"/>
          <w:bCs w:val="1"/>
          <w:i w:val="1"/>
          <w:iCs w:val="1"/>
          <w:color w:val="auto"/>
        </w:rPr>
        <w:t>Released Parties</w:t>
      </w:r>
      <w:r>
        <w:rPr>
          <w:rFonts w:ascii="Arial" w:cs="Arial" w:eastAsia="Arial" w:hAnsi="Arial"/>
          <w:sz w:val="18"/>
          <w:szCs w:val="18"/>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California Labor Code, and the California Fair Employment and Housing Act (as amended). 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I also acknowledge that I have read and understand Section 1542 of the California Civil Code which reads as follows: </w:t>
      </w:r>
      <w:r>
        <w:rPr>
          <w:rFonts w:ascii="Arial" w:cs="Arial" w:eastAsia="Arial" w:hAnsi="Arial"/>
          <w:sz w:val="20"/>
          <w:szCs w:val="20"/>
          <w:b w:val="1"/>
          <w:bCs w:val="1"/>
          <w:color w:val="auto"/>
        </w:rPr>
        <w:t>“A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release does not extend to claims which the creditor does not know or suspect to exist in his or her favor at the time of executing the release, which if known by him or her must have materially affected his or her settlement with the debtor.” </w:t>
      </w:r>
      <w:r>
        <w:rPr>
          <w:rFonts w:ascii="Arial" w:cs="Arial" w:eastAsia="Arial" w:hAnsi="Arial"/>
          <w:sz w:val="20"/>
          <w:szCs w:val="20"/>
          <w:color w:val="auto"/>
        </w:rPr>
        <w:t>I hereby expressly waive and</w:t>
      </w:r>
      <w:r>
        <w:rPr>
          <w:rFonts w:ascii="Arial" w:cs="Arial" w:eastAsia="Arial" w:hAnsi="Arial"/>
          <w:sz w:val="20"/>
          <w:szCs w:val="20"/>
          <w:b w:val="1"/>
          <w:bCs w:val="1"/>
          <w:color w:val="auto"/>
        </w:rPr>
        <w:t xml:space="preserve"> </w:t>
      </w:r>
      <w:r>
        <w:rPr>
          <w:rFonts w:ascii="Arial" w:cs="Arial" w:eastAsia="Arial" w:hAnsi="Arial"/>
          <w:sz w:val="20"/>
          <w:szCs w:val="20"/>
          <w:color w:val="auto"/>
        </w:rPr>
        <w:t>relinquish all rights and benefits under that Section and any law of any jurisdiction, including New York, of similar effect with respect to any claims I may have against the Company.</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05" w:right="239" w:bottom="1440" w:gutter="0" w:footer="0" w:header="0"/>
        </w:sectPr>
      </w:pPr>
    </w:p>
    <w:bookmarkStart w:id="134" w:name="page135"/>
    <w:bookmarkEnd w:id="134"/>
    <w:p>
      <w:pPr>
        <w:jc w:val="both"/>
        <w:spacing w:after="0" w:line="282" w:lineRule="auto"/>
        <w:rPr>
          <w:sz w:val="20"/>
          <w:szCs w:val="20"/>
          <w:color w:val="auto"/>
        </w:rPr>
      </w:pPr>
      <w:r>
        <w:rPr>
          <w:rFonts w:ascii="Arial" w:cs="Arial" w:eastAsia="Arial" w:hAnsi="Arial"/>
          <w:sz w:val="18"/>
          <w:szCs w:val="18"/>
          <w:color w:val="auto"/>
        </w:rPr>
        <w:t>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36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125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-14605</wp:posOffset>
            </wp:positionV>
            <wp:extent cx="125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7">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0"/>
          <w:szCs w:val="20"/>
          <w:color w:val="auto"/>
        </w:rPr>
        <w:t>Marco Londei</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135" w:name="page136"/>
    <w:bookmarkEnd w:id="135"/>
    <w:p>
      <w:pPr>
        <w:jc w:val="center"/>
        <w:ind w:right="40"/>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30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is made effective as of January 26, 2018 (the “Effective Date”) by and among </w:t>
      </w:r>
      <w:r>
        <w:rPr>
          <w:rFonts w:ascii="Arial" w:cs="Arial" w:eastAsia="Arial" w:hAnsi="Arial"/>
          <w:sz w:val="20"/>
          <w:szCs w:val="20"/>
          <w:b w:val="1"/>
          <w:bCs w:val="1"/>
          <w:color w:val="auto"/>
        </w:rPr>
        <w:t>ANAPTYSBIO, INC</w:t>
      </w:r>
      <w:r>
        <w:rPr>
          <w:rFonts w:ascii="Arial" w:cs="Arial" w:eastAsia="Arial" w:hAnsi="Arial"/>
          <w:sz w:val="20"/>
          <w:szCs w:val="20"/>
          <w:color w:val="auto"/>
        </w:rPr>
        <w: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Dominic Piscitelli (“</w:t>
      </w:r>
      <w:r>
        <w:rPr>
          <w:rFonts w:ascii="Arial" w:cs="Arial" w:eastAsia="Arial" w:hAnsi="Arial"/>
          <w:sz w:val="20"/>
          <w:szCs w:val="20"/>
          <w:b w:val="1"/>
          <w:bCs w:val="1"/>
          <w:i w:val="1"/>
          <w:iCs w:val="1"/>
          <w:color w:val="auto"/>
        </w:rPr>
        <w:t>CFO</w:t>
      </w:r>
      <w:r>
        <w:rPr>
          <w:rFonts w:ascii="Arial" w:cs="Arial" w:eastAsia="Arial" w:hAnsi="Arial"/>
          <w:sz w:val="20"/>
          <w:szCs w:val="20"/>
          <w:color w:val="auto"/>
        </w:rPr>
        <w:t>”). The Company and CFO are hereinafter collectively referred to as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and individually referred to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This Employment Agreement amends and restates any prior employment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desires to continue to employ CFO, and CFO is willing to continue to accept such employment by Company, on the terms and subject to the conditions set forth in this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consideration of the foregoing Recitals and the mutual promises and covenants herein contained, and for other good and valuable consideration, the Parties, intending to be legally bound, agree as follows:</w:t>
      </w:r>
    </w:p>
    <w:p>
      <w:pPr>
        <w:spacing w:after="0" w:line="184" w:lineRule="exact"/>
        <w:rPr>
          <w:sz w:val="20"/>
          <w:szCs w:val="20"/>
          <w:color w:val="auto"/>
        </w:rPr>
      </w:pPr>
    </w:p>
    <w:p>
      <w:pPr>
        <w:ind w:left="1460" w:hanging="804"/>
        <w:spacing w:after="0"/>
        <w:tabs>
          <w:tab w:leader="none" w:pos="1460" w:val="left"/>
        </w:tabs>
        <w:numPr>
          <w:ilvl w:val="0"/>
          <w:numId w:val="95"/>
        </w:numPr>
        <w:rPr>
          <w:rFonts w:ascii="Arial" w:cs="Arial" w:eastAsia="Arial" w:hAnsi="Arial"/>
          <w:sz w:val="20"/>
          <w:szCs w:val="20"/>
          <w:b w:val="1"/>
          <w:bCs w:val="1"/>
          <w:color w:val="010000"/>
        </w:rPr>
      </w:pPr>
      <w:r>
        <w:rPr>
          <w:rFonts w:ascii="Arial" w:cs="Arial" w:eastAsia="Arial" w:hAnsi="Arial"/>
          <w:sz w:val="20"/>
          <w:szCs w:val="20"/>
          <w:b w:val="1"/>
          <w:bCs w:val="1"/>
          <w:color w:val="auto"/>
        </w:rPr>
        <w:t>EMPLOYMENT.</w:t>
      </w:r>
    </w:p>
    <w:p>
      <w:pPr>
        <w:spacing w:after="0" w:line="23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1.1 </w:t>
      </w:r>
      <w:r>
        <w:rPr>
          <w:rFonts w:ascii="Arial" w:cs="Arial" w:eastAsia="Arial" w:hAnsi="Arial"/>
          <w:sz w:val="19"/>
          <w:szCs w:val="19"/>
          <w:b w:val="1"/>
          <w:bCs w:val="1"/>
          <w:color w:val="000000"/>
        </w:rPr>
        <w:t>Title</w:t>
      </w:r>
      <w:r>
        <w:rPr>
          <w:rFonts w:ascii="Arial" w:cs="Arial" w:eastAsia="Arial" w:hAnsi="Arial"/>
          <w:sz w:val="19"/>
          <w:szCs w:val="19"/>
          <w:color w:val="000000"/>
        </w:rPr>
        <w:t>. Effective as of the Effective Date, CFO’s position shall be Chief Financial Officer of the Company, subject to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terms and conditions set forth in this Agreement.</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1.2 </w:t>
      </w:r>
      <w:r>
        <w:rPr>
          <w:rFonts w:ascii="Arial" w:cs="Arial" w:eastAsia="Arial" w:hAnsi="Arial"/>
          <w:sz w:val="19"/>
          <w:szCs w:val="19"/>
          <w:b w:val="1"/>
          <w:bCs w:val="1"/>
          <w:color w:val="000000"/>
        </w:rPr>
        <w:t>Term</w:t>
      </w:r>
      <w:r>
        <w:rPr>
          <w:rFonts w:ascii="Arial" w:cs="Arial" w:eastAsia="Arial" w:hAnsi="Arial"/>
          <w:sz w:val="19"/>
          <w:szCs w:val="19"/>
          <w:color w:val="000000"/>
        </w:rPr>
        <w:t>. The term of this Agreement shall begin on the Effective Date and shall continue until it is terminated pursuant to</w:t>
      </w:r>
      <w:r>
        <w:rPr>
          <w:rFonts w:ascii="Arial" w:cs="Arial" w:eastAsia="Arial" w:hAnsi="Arial"/>
          <w:sz w:val="22"/>
          <w:szCs w:val="22"/>
          <w:b w:val="1"/>
          <w:bCs w:val="1"/>
          <w:color w:val="010000"/>
        </w:rPr>
        <w:t xml:space="preserve"> </w:t>
      </w:r>
      <w:r>
        <w:rPr>
          <w:rFonts w:ascii="Arial" w:cs="Arial" w:eastAsia="Arial" w:hAnsi="Arial"/>
          <w:sz w:val="19"/>
          <w:szCs w:val="19"/>
          <w:color w:val="000000"/>
        </w:rPr>
        <w:t>Section 4 herein (the “</w:t>
      </w:r>
      <w:r>
        <w:rPr>
          <w:rFonts w:ascii="Arial" w:cs="Arial" w:eastAsia="Arial" w:hAnsi="Arial"/>
          <w:sz w:val="19"/>
          <w:szCs w:val="19"/>
          <w:b w:val="1"/>
          <w:bCs w:val="1"/>
          <w:i w:val="1"/>
          <w:iCs w:val="1"/>
          <w:color w:val="000000"/>
        </w:rPr>
        <w:t>Term</w:t>
      </w:r>
      <w:r>
        <w:rPr>
          <w:rFonts w:ascii="Arial" w:cs="Arial" w:eastAsia="Arial" w:hAnsi="Arial"/>
          <w:sz w:val="19"/>
          <w:szCs w:val="19"/>
          <w:color w:val="000000"/>
        </w:rPr>
        <w:t>”).</w:t>
      </w:r>
    </w:p>
    <w:p>
      <w:pPr>
        <w:spacing w:after="0" w:line="188"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21"/>
          <w:szCs w:val="21"/>
          <w:b w:val="1"/>
          <w:bCs w:val="1"/>
          <w:color w:val="010000"/>
        </w:rPr>
        <w:t xml:space="preserve">1.3 </w:t>
      </w:r>
      <w:r>
        <w:rPr>
          <w:rFonts w:ascii="Arial" w:cs="Arial" w:eastAsia="Arial" w:hAnsi="Arial"/>
          <w:sz w:val="18"/>
          <w:szCs w:val="18"/>
          <w:b w:val="1"/>
          <w:bCs w:val="1"/>
          <w:color w:val="000000"/>
        </w:rPr>
        <w:t>Duties</w:t>
      </w:r>
      <w:r>
        <w:rPr>
          <w:rFonts w:ascii="Arial" w:cs="Arial" w:eastAsia="Arial" w:hAnsi="Arial"/>
          <w:sz w:val="18"/>
          <w:szCs w:val="18"/>
          <w:color w:val="000000"/>
        </w:rPr>
        <w:t>. CFO shall do and perform all services, acts or things necessary or advisable to manage and conduct the business</w:t>
      </w:r>
      <w:r>
        <w:rPr>
          <w:rFonts w:ascii="Arial" w:cs="Arial" w:eastAsia="Arial" w:hAnsi="Arial"/>
          <w:sz w:val="21"/>
          <w:szCs w:val="21"/>
          <w:b w:val="1"/>
          <w:bCs w:val="1"/>
          <w:color w:val="010000"/>
        </w:rPr>
        <w:t xml:space="preserve"> </w:t>
      </w:r>
      <w:r>
        <w:rPr>
          <w:rFonts w:ascii="Arial" w:cs="Arial" w:eastAsia="Arial" w:hAnsi="Arial"/>
          <w:sz w:val="18"/>
          <w:szCs w:val="18"/>
          <w:color w:val="000000"/>
        </w:rPr>
        <w:t>of the Company and that are normally associated with the position of Chief Financial Officer. CFO shall report to the Chief Executive Officer.</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b w:val="1"/>
          <w:bCs w:val="1"/>
          <w:color w:val="010000"/>
        </w:rPr>
        <w:t xml:space="preserve">1.4 </w:t>
      </w:r>
      <w:r>
        <w:rPr>
          <w:rFonts w:ascii="Arial" w:cs="Arial" w:eastAsia="Arial" w:hAnsi="Arial"/>
          <w:sz w:val="19"/>
          <w:szCs w:val="19"/>
          <w:b w:val="1"/>
          <w:bCs w:val="1"/>
          <w:color w:val="000000"/>
        </w:rPr>
        <w:t>Policies and Practices</w:t>
      </w:r>
      <w:r>
        <w:rPr>
          <w:rFonts w:ascii="Arial" w:cs="Arial" w:eastAsia="Arial" w:hAnsi="Arial"/>
          <w:sz w:val="19"/>
          <w:szCs w:val="19"/>
          <w:color w:val="000000"/>
        </w:rPr>
        <w:t>. The employment relationship between the Parties shall be governed by this Agreement and by</w:t>
      </w:r>
      <w:r>
        <w:rPr>
          <w:rFonts w:ascii="Arial" w:cs="Arial" w:eastAsia="Arial" w:hAnsi="Arial"/>
          <w:sz w:val="22"/>
          <w:szCs w:val="22"/>
          <w:b w:val="1"/>
          <w:bCs w:val="1"/>
          <w:color w:val="010000"/>
        </w:rPr>
        <w:t xml:space="preserve"> </w:t>
      </w:r>
      <w:r>
        <w:rPr>
          <w:rFonts w:ascii="Arial" w:cs="Arial" w:eastAsia="Arial" w:hAnsi="Arial"/>
          <w:sz w:val="19"/>
          <w:szCs w:val="19"/>
          <w:color w:val="000000"/>
        </w:rPr>
        <w:t>the policies and 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183"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b w:val="1"/>
          <w:bCs w:val="1"/>
          <w:color w:val="010000"/>
        </w:rPr>
        <w:t xml:space="preserve">1.5 </w:t>
      </w:r>
      <w:r>
        <w:rPr>
          <w:rFonts w:ascii="Arial" w:cs="Arial" w:eastAsia="Arial" w:hAnsi="Arial"/>
          <w:sz w:val="19"/>
          <w:szCs w:val="19"/>
          <w:b w:val="1"/>
          <w:bCs w:val="1"/>
          <w:color w:val="000000"/>
        </w:rPr>
        <w:t>Location</w:t>
      </w:r>
      <w:r>
        <w:rPr>
          <w:rFonts w:ascii="Arial" w:cs="Arial" w:eastAsia="Arial" w:hAnsi="Arial"/>
          <w:sz w:val="19"/>
          <w:szCs w:val="19"/>
          <w:color w:val="000000"/>
        </w:rPr>
        <w:t>. Unless the Parties otherwise agree in writing, during the Term CFO shall perform the services CFO is required</w:t>
      </w:r>
      <w:r>
        <w:rPr>
          <w:rFonts w:ascii="Arial" w:cs="Arial" w:eastAsia="Arial" w:hAnsi="Arial"/>
          <w:sz w:val="22"/>
          <w:szCs w:val="22"/>
          <w:b w:val="1"/>
          <w:bCs w:val="1"/>
          <w:color w:val="010000"/>
        </w:rPr>
        <w:t xml:space="preserve"> </w:t>
      </w:r>
      <w:r>
        <w:rPr>
          <w:rFonts w:ascii="Arial" w:cs="Arial" w:eastAsia="Arial" w:hAnsi="Arial"/>
          <w:sz w:val="19"/>
          <w:szCs w:val="19"/>
          <w:color w:val="000000"/>
        </w:rPr>
        <w:t>to perform pursuant to this Agreement at the Company’s offices in San Diego, California, provided, however, that the Company may from time to time require CFO to travel temporarily to other locations in connection with the Company’s business.</w:t>
      </w:r>
    </w:p>
    <w:p>
      <w:pPr>
        <w:spacing w:after="0" w:line="169" w:lineRule="exact"/>
        <w:rPr>
          <w:sz w:val="20"/>
          <w:szCs w:val="20"/>
          <w:color w:val="auto"/>
        </w:rPr>
      </w:pPr>
    </w:p>
    <w:p>
      <w:pPr>
        <w:ind w:left="980" w:hanging="324"/>
        <w:spacing w:after="0"/>
        <w:tabs>
          <w:tab w:leader="none" w:pos="980" w:val="left"/>
        </w:tabs>
        <w:numPr>
          <w:ilvl w:val="0"/>
          <w:numId w:val="96"/>
        </w:numPr>
        <w:rPr>
          <w:rFonts w:ascii="Arial" w:cs="Arial" w:eastAsia="Arial" w:hAnsi="Arial"/>
          <w:sz w:val="20"/>
          <w:szCs w:val="20"/>
          <w:b w:val="1"/>
          <w:bCs w:val="1"/>
          <w:color w:val="010000"/>
        </w:rPr>
      </w:pPr>
      <w:r>
        <w:rPr>
          <w:rFonts w:ascii="Arial" w:cs="Arial" w:eastAsia="Arial" w:hAnsi="Arial"/>
          <w:sz w:val="20"/>
          <w:szCs w:val="20"/>
          <w:b w:val="1"/>
          <w:bCs w:val="1"/>
          <w:color w:val="auto"/>
        </w:rPr>
        <w:t>LOYALTY; NONCOMPETITION; NONSOLICITATION.</w:t>
      </w:r>
    </w:p>
    <w:p>
      <w:pPr>
        <w:spacing w:after="0" w:line="22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b w:val="1"/>
          <w:bCs w:val="1"/>
          <w:color w:val="010000"/>
        </w:rPr>
        <w:t xml:space="preserve">2.1 </w:t>
      </w:r>
      <w:r>
        <w:rPr>
          <w:rFonts w:ascii="Arial" w:cs="Arial" w:eastAsia="Arial" w:hAnsi="Arial"/>
          <w:sz w:val="19"/>
          <w:szCs w:val="19"/>
          <w:b w:val="1"/>
          <w:bCs w:val="1"/>
          <w:color w:val="000000"/>
        </w:rPr>
        <w:t>Loyalty</w:t>
      </w:r>
      <w:r>
        <w:rPr>
          <w:rFonts w:ascii="Arial" w:cs="Arial" w:eastAsia="Arial" w:hAnsi="Arial"/>
          <w:sz w:val="19"/>
          <w:szCs w:val="19"/>
          <w:color w:val="000000"/>
        </w:rPr>
        <w:t>. During CFO’s employment with the Company, CFO shall devote CFO’s full business energies, interest, abilities</w:t>
      </w:r>
      <w:r>
        <w:rPr>
          <w:rFonts w:ascii="Arial" w:cs="Arial" w:eastAsia="Arial" w:hAnsi="Arial"/>
          <w:sz w:val="22"/>
          <w:szCs w:val="22"/>
          <w:b w:val="1"/>
          <w:bCs w:val="1"/>
          <w:color w:val="010000"/>
        </w:rPr>
        <w:t xml:space="preserve"> </w:t>
      </w:r>
      <w:r>
        <w:rPr>
          <w:rFonts w:ascii="Arial" w:cs="Arial" w:eastAsia="Arial" w:hAnsi="Arial"/>
          <w:sz w:val="19"/>
          <w:szCs w:val="19"/>
          <w:color w:val="000000"/>
        </w:rPr>
        <w:t>and productive time to the proper and efficient performance of CFO’s duties under this Agreement.</w:t>
      </w:r>
    </w:p>
    <w:p>
      <w:pPr>
        <w:spacing w:after="0" w:line="188"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b w:val="1"/>
          <w:bCs w:val="1"/>
          <w:color w:val="010000"/>
        </w:rPr>
        <w:t xml:space="preserve">2.2 </w:t>
      </w:r>
      <w:r>
        <w:rPr>
          <w:rFonts w:ascii="Arial" w:cs="Arial" w:eastAsia="Arial" w:hAnsi="Arial"/>
          <w:sz w:val="19"/>
          <w:szCs w:val="19"/>
          <w:b w:val="1"/>
          <w:bCs w:val="1"/>
          <w:color w:val="000000"/>
        </w:rPr>
        <w:t>Agreement not to Participate in Company’s Competitors</w:t>
      </w:r>
      <w:r>
        <w:rPr>
          <w:rFonts w:ascii="Arial" w:cs="Arial" w:eastAsia="Arial" w:hAnsi="Arial"/>
          <w:sz w:val="19"/>
          <w:szCs w:val="19"/>
          <w:color w:val="000000"/>
        </w:rPr>
        <w:t>. During CFO’s employment with the Company, CFO agrees</w:t>
      </w:r>
      <w:r>
        <w:rPr>
          <w:rFonts w:ascii="Arial" w:cs="Arial" w:eastAsia="Arial" w:hAnsi="Arial"/>
          <w:sz w:val="22"/>
          <w:szCs w:val="22"/>
          <w:b w:val="1"/>
          <w:bCs w:val="1"/>
          <w:color w:val="010000"/>
        </w:rPr>
        <w:t xml:space="preserve"> </w:t>
      </w:r>
      <w:r>
        <w:rPr>
          <w:rFonts w:ascii="Arial" w:cs="Arial" w:eastAsia="Arial" w:hAnsi="Arial"/>
          <w:sz w:val="19"/>
          <w:szCs w:val="19"/>
          <w:color w:val="000000"/>
        </w:rPr>
        <w:t>not to acquire, assume or participate in, directly or indirectly,</w:t>
      </w:r>
    </w:p>
    <w:p>
      <w:pPr>
        <w:spacing w:after="0" w:line="200" w:lineRule="exact"/>
        <w:rPr>
          <w:sz w:val="20"/>
          <w:szCs w:val="20"/>
          <w:color w:val="auto"/>
        </w:rPr>
      </w:pPr>
    </w:p>
    <w:p>
      <w:pPr>
        <w:spacing w:after="0" w:line="237"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2" w:right="239" w:bottom="1440" w:gutter="0" w:footer="0" w:header="0"/>
        </w:sectPr>
      </w:pPr>
    </w:p>
    <w:bookmarkStart w:id="136" w:name="page137"/>
    <w:bookmarkEnd w:id="136"/>
    <w:p>
      <w:pPr>
        <w:jc w:val="both"/>
        <w:spacing w:after="0" w:line="242" w:lineRule="auto"/>
        <w:rPr>
          <w:sz w:val="20"/>
          <w:szCs w:val="20"/>
          <w:color w:val="auto"/>
        </w:rPr>
      </w:pPr>
      <w:r>
        <w:rPr>
          <w:rFonts w:ascii="Arial" w:cs="Arial" w:eastAsia="Arial" w:hAnsi="Arial"/>
          <w:sz w:val="20"/>
          <w:szCs w:val="20"/>
          <w:color w:val="auto"/>
        </w:rPr>
        <w:t>any position, investment or interest known by CFO to be adverse or antagonistic to the Company, its business, or prospects, financial or otherwise, or in any company, person, or entity that is, directly or indirectly, in competition with the business of the Company or any of its Affiliates (as defined below). Ownership by CFO, in professionally managed funds over which CFO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“Affiliate,” means, with respect to any specific entity, any other entity that, directly or indirectly, through one or more intermediaries, controls, is controlled by or is under common control with such specified entity.</w:t>
      </w:r>
    </w:p>
    <w:p>
      <w:pPr>
        <w:spacing w:after="0" w:line="201"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22"/>
          <w:szCs w:val="22"/>
          <w:b w:val="1"/>
          <w:bCs w:val="1"/>
          <w:color w:val="010000"/>
        </w:rPr>
        <w:t xml:space="preserve">2.3 </w:t>
      </w:r>
      <w:r>
        <w:rPr>
          <w:rFonts w:ascii="Arial" w:cs="Arial" w:eastAsia="Arial" w:hAnsi="Arial"/>
          <w:sz w:val="19"/>
          <w:szCs w:val="19"/>
          <w:b w:val="1"/>
          <w:bCs w:val="1"/>
          <w:color w:val="000000"/>
        </w:rPr>
        <w:t>Covenant not to Compete</w:t>
      </w:r>
      <w:r>
        <w:rPr>
          <w:rFonts w:ascii="Arial" w:cs="Arial" w:eastAsia="Arial" w:hAnsi="Arial"/>
          <w:sz w:val="19"/>
          <w:szCs w:val="19"/>
          <w:color w:val="000000"/>
        </w:rPr>
        <w:t>. During CFO’s employment with the Company, CFO shall not engage in competition with the</w:t>
      </w:r>
      <w:r>
        <w:rPr>
          <w:rFonts w:ascii="Arial" w:cs="Arial" w:eastAsia="Arial" w:hAnsi="Arial"/>
          <w:sz w:val="22"/>
          <w:szCs w:val="22"/>
          <w:b w:val="1"/>
          <w:bCs w:val="1"/>
          <w:color w:val="010000"/>
        </w:rPr>
        <w:t xml:space="preserve"> </w:t>
      </w:r>
      <w:r>
        <w:rPr>
          <w:rFonts w:ascii="Arial" w:cs="Arial" w:eastAsia="Arial" w:hAnsi="Arial"/>
          <w:sz w:val="19"/>
          <w:szCs w:val="19"/>
          <w:color w:val="000000"/>
        </w:rPr>
        <w:t>Company and/or any of its Affiliates in any manner or capacity, as adviser, principal, agent, affiliate, promoter, partner, officer, director, employee, owner, co-owner, consultant, in any phase of the business of developing, manufacturing and marketing of products or services that directly compete with the products or services of the Company, except with the prior written consent of the CEO. CFO shall be entitled to request written consent of the CEO with respect to potential advisory and/or director opportunities presented to CFO by a third party, which CFO believes in good faith will not interfere or compete with the on-going business of the Company.</w:t>
      </w:r>
    </w:p>
    <w:p>
      <w:pPr>
        <w:spacing w:after="0" w:line="173" w:lineRule="exact"/>
        <w:rPr>
          <w:sz w:val="20"/>
          <w:szCs w:val="20"/>
          <w:color w:val="auto"/>
        </w:rPr>
      </w:pPr>
    </w:p>
    <w:p>
      <w:pPr>
        <w:ind w:left="980" w:hanging="324"/>
        <w:spacing w:after="0"/>
        <w:tabs>
          <w:tab w:leader="none" w:pos="980" w:val="left"/>
        </w:tabs>
        <w:numPr>
          <w:ilvl w:val="0"/>
          <w:numId w:val="97"/>
        </w:numPr>
        <w:rPr>
          <w:rFonts w:ascii="Arial" w:cs="Arial" w:eastAsia="Arial" w:hAnsi="Arial"/>
          <w:sz w:val="20"/>
          <w:szCs w:val="20"/>
          <w:b w:val="1"/>
          <w:bCs w:val="1"/>
          <w:color w:val="010000"/>
        </w:rPr>
      </w:pPr>
      <w:r>
        <w:rPr>
          <w:rFonts w:ascii="Arial" w:cs="Arial" w:eastAsia="Arial" w:hAnsi="Arial"/>
          <w:sz w:val="20"/>
          <w:szCs w:val="20"/>
          <w:b w:val="1"/>
          <w:bCs w:val="1"/>
          <w:color w:val="auto"/>
        </w:rPr>
        <w:t>COMPENSATION OF CFO.</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b w:val="1"/>
          <w:bCs w:val="1"/>
          <w:color w:val="010000"/>
        </w:rPr>
        <w:t xml:space="preserve">3.1 </w:t>
      </w:r>
      <w:r>
        <w:rPr>
          <w:rFonts w:ascii="Arial" w:cs="Arial" w:eastAsia="Arial" w:hAnsi="Arial"/>
          <w:sz w:val="19"/>
          <w:szCs w:val="19"/>
          <w:b w:val="1"/>
          <w:bCs w:val="1"/>
          <w:color w:val="000000"/>
        </w:rPr>
        <w:t>Base Salary</w:t>
      </w:r>
      <w:r>
        <w:rPr>
          <w:rFonts w:ascii="Arial" w:cs="Arial" w:eastAsia="Arial" w:hAnsi="Arial"/>
          <w:sz w:val="19"/>
          <w:szCs w:val="19"/>
          <w:color w:val="000000"/>
        </w:rPr>
        <w:t>. The Company shall pay CFO a base salary at the annualized rate of $397,000 (the “</w:t>
      </w:r>
      <w:r>
        <w:rPr>
          <w:rFonts w:ascii="Arial" w:cs="Arial" w:eastAsia="Arial" w:hAnsi="Arial"/>
          <w:sz w:val="19"/>
          <w:szCs w:val="19"/>
          <w:b w:val="1"/>
          <w:bCs w:val="1"/>
          <w:i w:val="1"/>
          <w:iCs w:val="1"/>
          <w:color w:val="000000"/>
        </w:rPr>
        <w:t>Base Salary</w:t>
      </w:r>
      <w:r>
        <w:rPr>
          <w:rFonts w:ascii="Arial" w:cs="Arial" w:eastAsia="Arial" w:hAnsi="Arial"/>
          <w:sz w:val="19"/>
          <w:szCs w:val="19"/>
          <w:color w:val="000000"/>
        </w:rPr>
        <w:t>”), less</w:t>
      </w:r>
      <w:r>
        <w:rPr>
          <w:rFonts w:ascii="Arial" w:cs="Arial" w:eastAsia="Arial" w:hAnsi="Arial"/>
          <w:sz w:val="22"/>
          <w:szCs w:val="22"/>
          <w:b w:val="1"/>
          <w:bCs w:val="1"/>
          <w:color w:val="010000"/>
        </w:rPr>
        <w:t xml:space="preserve"> </w:t>
      </w:r>
      <w:r>
        <w:rPr>
          <w:rFonts w:ascii="Arial" w:cs="Arial" w:eastAsia="Arial" w:hAnsi="Arial"/>
          <w:sz w:val="19"/>
          <w:szCs w:val="19"/>
          <w:color w:val="000000"/>
        </w:rPr>
        <w:t>payroll deductions and all required withholdings, payable in regular periodic installments in accordance with the Company’s normal payroll practices. The Base Salary shall be prorated for any partial year of employment on the basis of a 365-day fiscal year.</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22"/>
          <w:szCs w:val="22"/>
          <w:b w:val="1"/>
          <w:bCs w:val="1"/>
          <w:color w:val="010000"/>
        </w:rPr>
        <w:t xml:space="preserve">3.2 </w:t>
      </w:r>
      <w:r>
        <w:rPr>
          <w:rFonts w:ascii="Arial" w:cs="Arial" w:eastAsia="Arial" w:hAnsi="Arial"/>
          <w:sz w:val="19"/>
          <w:szCs w:val="19"/>
          <w:b w:val="1"/>
          <w:bCs w:val="1"/>
          <w:color w:val="000000"/>
        </w:rPr>
        <w:t>Discretionary Bonus</w:t>
      </w:r>
      <w:r>
        <w:rPr>
          <w:rFonts w:ascii="Arial" w:cs="Arial" w:eastAsia="Arial" w:hAnsi="Arial"/>
          <w:sz w:val="19"/>
          <w:szCs w:val="19"/>
          <w:color w:val="000000"/>
        </w:rPr>
        <w:t>. At the sole discretion of the Board and Chief Executive Officer, promptly following each calendar</w:t>
      </w:r>
      <w:r>
        <w:rPr>
          <w:rFonts w:ascii="Arial" w:cs="Arial" w:eastAsia="Arial" w:hAnsi="Arial"/>
          <w:sz w:val="22"/>
          <w:szCs w:val="22"/>
          <w:b w:val="1"/>
          <w:bCs w:val="1"/>
          <w:color w:val="010000"/>
        </w:rPr>
        <w:t xml:space="preserve"> </w:t>
      </w:r>
      <w:r>
        <w:rPr>
          <w:rFonts w:ascii="Arial" w:cs="Arial" w:eastAsia="Arial" w:hAnsi="Arial"/>
          <w:sz w:val="19"/>
          <w:szCs w:val="19"/>
          <w:color w:val="000000"/>
        </w:rPr>
        <w:t>year of employment CFO shall be eligible to receive a discretionary cash bonus of up to 40% of CFO’s then-current base salary (the “</w:t>
      </w:r>
      <w:r>
        <w:rPr>
          <w:rFonts w:ascii="Arial" w:cs="Arial" w:eastAsia="Arial" w:hAnsi="Arial"/>
          <w:sz w:val="19"/>
          <w:szCs w:val="19"/>
          <w:b w:val="1"/>
          <w:bCs w:val="1"/>
          <w:i w:val="1"/>
          <w:iCs w:val="1"/>
          <w:color w:val="000000"/>
        </w:rPr>
        <w:t>Bonus</w:t>
      </w:r>
      <w:r>
        <w:rPr>
          <w:rFonts w:ascii="Arial" w:cs="Arial" w:eastAsia="Arial" w:hAnsi="Arial"/>
          <w:sz w:val="19"/>
          <w:szCs w:val="19"/>
          <w:color w:val="000000"/>
        </w:rPr>
        <w:t>”), based on CFO’s achievement relative to certain performance goals (“</w:t>
      </w:r>
      <w:r>
        <w:rPr>
          <w:rFonts w:ascii="Arial" w:cs="Arial" w:eastAsia="Arial" w:hAnsi="Arial"/>
          <w:sz w:val="19"/>
          <w:szCs w:val="19"/>
          <w:b w:val="1"/>
          <w:bCs w:val="1"/>
          <w:i w:val="1"/>
          <w:iCs w:val="1"/>
          <w:color w:val="000000"/>
        </w:rPr>
        <w:t>Performance Goals</w:t>
      </w:r>
      <w:r>
        <w:rPr>
          <w:rFonts w:ascii="Arial" w:cs="Arial" w:eastAsia="Arial" w:hAnsi="Arial"/>
          <w:sz w:val="19"/>
          <w:szCs w:val="19"/>
          <w:color w:val="000000"/>
        </w:rPr>
        <w:t>”) to be established by the Chief Executive Officer in writing in a manner reasonably consistent with the Company’s priorities. The determination of whether CFO has met the Performance Goals for any given year, and if so, the amount of any Bonus that will be paid for such year (if any), shall be determined by the Board and Chief Executive Officer in their sole and absolute discretion. In order to be eligible to earn or receive any Bonus, CFO must remain employed by the Company through and including the date of payment of such Bonus.</w:t>
      </w:r>
    </w:p>
    <w:p>
      <w:pPr>
        <w:spacing w:after="0" w:line="18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b w:val="1"/>
          <w:bCs w:val="1"/>
          <w:color w:val="010000"/>
        </w:rPr>
        <w:t xml:space="preserve">3.3 </w:t>
      </w:r>
      <w:r>
        <w:rPr>
          <w:rFonts w:ascii="Arial" w:cs="Arial" w:eastAsia="Arial" w:hAnsi="Arial"/>
          <w:sz w:val="19"/>
          <w:szCs w:val="19"/>
          <w:b w:val="1"/>
          <w:bCs w:val="1"/>
          <w:color w:val="000000"/>
        </w:rPr>
        <w:t>Stock Option</w:t>
      </w:r>
      <w:r>
        <w:rPr>
          <w:rFonts w:ascii="Arial" w:cs="Arial" w:eastAsia="Arial" w:hAnsi="Arial"/>
          <w:sz w:val="19"/>
          <w:szCs w:val="19"/>
          <w:color w:val="000000"/>
        </w:rPr>
        <w:t>. CFO has been granted options to purchase shares of the Company’s Common Stock and will continue to</w:t>
      </w:r>
      <w:r>
        <w:rPr>
          <w:rFonts w:ascii="Arial" w:cs="Arial" w:eastAsia="Arial" w:hAnsi="Arial"/>
          <w:sz w:val="22"/>
          <w:szCs w:val="22"/>
          <w:b w:val="1"/>
          <w:bCs w:val="1"/>
          <w:color w:val="010000"/>
        </w:rPr>
        <w:t xml:space="preserve"> </w:t>
      </w:r>
      <w:r>
        <w:rPr>
          <w:rFonts w:ascii="Arial" w:cs="Arial" w:eastAsia="Arial" w:hAnsi="Arial"/>
          <w:sz w:val="19"/>
          <w:szCs w:val="19"/>
          <w:color w:val="000000"/>
        </w:rPr>
        <w:t>be eligible for additional equity awards pursuant to the terms of the Company’s 2017 Equity Incentive Plan, as amended from time to time (the “</w:t>
      </w:r>
      <w:r>
        <w:rPr>
          <w:rFonts w:ascii="Arial" w:cs="Arial" w:eastAsia="Arial" w:hAnsi="Arial"/>
          <w:sz w:val="19"/>
          <w:szCs w:val="19"/>
          <w:b w:val="1"/>
          <w:bCs w:val="1"/>
          <w:i w:val="1"/>
          <w:iCs w:val="1"/>
          <w:color w:val="000000"/>
        </w:rPr>
        <w:t>Plan</w:t>
      </w:r>
      <w:r>
        <w:rPr>
          <w:rFonts w:ascii="Arial" w:cs="Arial" w:eastAsia="Arial" w:hAnsi="Arial"/>
          <w:sz w:val="19"/>
          <w:szCs w:val="19"/>
          <w:color w:val="000000"/>
        </w:rPr>
        <w:t>”).</w:t>
      </w:r>
    </w:p>
    <w:p>
      <w:pPr>
        <w:spacing w:after="0" w:line="1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22"/>
          <w:szCs w:val="22"/>
          <w:b w:val="1"/>
          <w:bCs w:val="1"/>
          <w:color w:val="010000"/>
        </w:rPr>
        <w:t xml:space="preserve">3.4 </w:t>
      </w:r>
      <w:r>
        <w:rPr>
          <w:rFonts w:ascii="Arial" w:cs="Arial" w:eastAsia="Arial" w:hAnsi="Arial"/>
          <w:sz w:val="19"/>
          <w:szCs w:val="19"/>
          <w:b w:val="1"/>
          <w:bCs w:val="1"/>
          <w:color w:val="000000"/>
        </w:rPr>
        <w:t>Expense Reimbursements</w:t>
      </w:r>
      <w:r>
        <w:rPr>
          <w:rFonts w:ascii="Arial" w:cs="Arial" w:eastAsia="Arial" w:hAnsi="Arial"/>
          <w:sz w:val="19"/>
          <w:szCs w:val="19"/>
          <w:color w:val="000000"/>
        </w:rPr>
        <w:t>. The Company will reimburse CFO for all reasonable business expenses CFO incurs in</w:t>
      </w:r>
      <w:r>
        <w:rPr>
          <w:rFonts w:ascii="Arial" w:cs="Arial" w:eastAsia="Arial" w:hAnsi="Arial"/>
          <w:sz w:val="22"/>
          <w:szCs w:val="22"/>
          <w:b w:val="1"/>
          <w:bCs w:val="1"/>
          <w:color w:val="010000"/>
        </w:rPr>
        <w:t xml:space="preserve"> </w:t>
      </w:r>
      <w:r>
        <w:rPr>
          <w:rFonts w:ascii="Arial" w:cs="Arial" w:eastAsia="Arial" w:hAnsi="Arial"/>
          <w:sz w:val="19"/>
          <w:szCs w:val="19"/>
          <w:color w:val="000000"/>
        </w:rPr>
        <w:t>conducting his duties hereunder, pursuant to the Company’s usual expense reimbursement policies; provided that CFO supplies the appropriate substantiation for such expenses no later than the end of the calendar month following the month in which such expenses were incurred by CFO.</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3.5 </w:t>
      </w:r>
      <w:r>
        <w:rPr>
          <w:rFonts w:ascii="Arial" w:cs="Arial" w:eastAsia="Arial" w:hAnsi="Arial"/>
          <w:sz w:val="19"/>
          <w:szCs w:val="19"/>
          <w:b w:val="1"/>
          <w:bCs w:val="1"/>
          <w:color w:val="000000"/>
        </w:rPr>
        <w:t>Changes to Compensation</w:t>
      </w:r>
      <w:r>
        <w:rPr>
          <w:rFonts w:ascii="Arial" w:cs="Arial" w:eastAsia="Arial" w:hAnsi="Arial"/>
          <w:sz w:val="19"/>
          <w:szCs w:val="19"/>
          <w:color w:val="000000"/>
        </w:rPr>
        <w:t>. CFO’s compensation will be reviewed annually and may be changed from time to time in</w:t>
      </w:r>
      <w:r>
        <w:rPr>
          <w:rFonts w:ascii="Arial" w:cs="Arial" w:eastAsia="Arial" w:hAnsi="Arial"/>
          <w:sz w:val="22"/>
          <w:szCs w:val="22"/>
          <w:b w:val="1"/>
          <w:bCs w:val="1"/>
          <w:color w:val="010000"/>
        </w:rPr>
        <w:t xml:space="preserve"> </w:t>
      </w:r>
      <w:r>
        <w:rPr>
          <w:rFonts w:ascii="Arial" w:cs="Arial" w:eastAsia="Arial" w:hAnsi="Arial"/>
          <w:sz w:val="19"/>
          <w:szCs w:val="19"/>
          <w:color w:val="000000"/>
        </w:rPr>
        <w:t>the Company’s sole discretion.</w:t>
      </w:r>
    </w:p>
    <w:p>
      <w:pPr>
        <w:spacing w:after="0" w:line="200" w:lineRule="exact"/>
        <w:rPr>
          <w:sz w:val="20"/>
          <w:szCs w:val="20"/>
          <w:color w:val="auto"/>
        </w:rPr>
      </w:pPr>
    </w:p>
    <w:p>
      <w:pPr>
        <w:spacing w:after="0" w:line="237"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2" w:right="239" w:bottom="1440" w:gutter="0" w:footer="0" w:header="0"/>
        </w:sectPr>
      </w:pPr>
    </w:p>
    <w:bookmarkStart w:id="137" w:name="page138"/>
    <w:bookmarkEnd w:id="137"/>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3.6 </w:t>
      </w:r>
      <w:r>
        <w:rPr>
          <w:rFonts w:ascii="Arial" w:cs="Arial" w:eastAsia="Arial" w:hAnsi="Arial"/>
          <w:sz w:val="19"/>
          <w:szCs w:val="19"/>
          <w:b w:val="1"/>
          <w:bCs w:val="1"/>
          <w:color w:val="000000"/>
        </w:rPr>
        <w:t>Employment Taxes</w:t>
      </w:r>
      <w:r>
        <w:rPr>
          <w:rFonts w:ascii="Arial" w:cs="Arial" w:eastAsia="Arial" w:hAnsi="Arial"/>
          <w:sz w:val="19"/>
          <w:szCs w:val="19"/>
          <w:color w:val="000000"/>
        </w:rPr>
        <w:t>. All of CFO’s compensation shall be subject to customary withholding taxes and any other</w:t>
      </w:r>
      <w:r>
        <w:rPr>
          <w:rFonts w:ascii="Arial" w:cs="Arial" w:eastAsia="Arial" w:hAnsi="Arial"/>
          <w:sz w:val="22"/>
          <w:szCs w:val="22"/>
          <w:b w:val="1"/>
          <w:bCs w:val="1"/>
          <w:color w:val="010000"/>
        </w:rPr>
        <w:t xml:space="preserve"> </w:t>
      </w:r>
      <w:r>
        <w:rPr>
          <w:rFonts w:ascii="Arial" w:cs="Arial" w:eastAsia="Arial" w:hAnsi="Arial"/>
          <w:sz w:val="19"/>
          <w:szCs w:val="19"/>
          <w:color w:val="000000"/>
        </w:rPr>
        <w:t>employment taxes as are commonly required to be collected or withheld by the Company.</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b w:val="1"/>
          <w:bCs w:val="1"/>
          <w:color w:val="010000"/>
        </w:rPr>
        <w:t xml:space="preserve">3.7 </w:t>
      </w:r>
      <w:r>
        <w:rPr>
          <w:rFonts w:ascii="Arial" w:cs="Arial" w:eastAsia="Arial" w:hAnsi="Arial"/>
          <w:sz w:val="19"/>
          <w:szCs w:val="19"/>
          <w:b w:val="1"/>
          <w:bCs w:val="1"/>
          <w:color w:val="000000"/>
        </w:rPr>
        <w:t>Benefits</w:t>
      </w:r>
      <w:r>
        <w:rPr>
          <w:rFonts w:ascii="Arial" w:cs="Arial" w:eastAsia="Arial" w:hAnsi="Arial"/>
          <w:sz w:val="19"/>
          <w:szCs w:val="19"/>
          <w:color w:val="000000"/>
        </w:rPr>
        <w:t>. CFO shall, in accordance with Company policy and the terms of the applicable plan documents, be eligible to</w:t>
      </w:r>
      <w:r>
        <w:rPr>
          <w:rFonts w:ascii="Arial" w:cs="Arial" w:eastAsia="Arial" w:hAnsi="Arial"/>
          <w:sz w:val="22"/>
          <w:szCs w:val="22"/>
          <w:b w:val="1"/>
          <w:bCs w:val="1"/>
          <w:color w:val="010000"/>
        </w:rPr>
        <w:t xml:space="preserve"> </w:t>
      </w:r>
      <w:r>
        <w:rPr>
          <w:rFonts w:ascii="Arial" w:cs="Arial" w:eastAsia="Arial" w:hAnsi="Arial"/>
          <w:sz w:val="19"/>
          <w:szCs w:val="19"/>
          <w:color w:val="000000"/>
        </w:rPr>
        <w:t>participate in benefits under any benefit plan or arrangement that may be in effect from time to time and made available to the Company’s senior management employees.</w:t>
      </w:r>
    </w:p>
    <w:p>
      <w:pPr>
        <w:spacing w:after="0" w:line="178"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b w:val="1"/>
          <w:bCs w:val="1"/>
          <w:color w:val="010000"/>
        </w:rPr>
        <w:t xml:space="preserve">3.8 </w:t>
      </w:r>
      <w:r>
        <w:rPr>
          <w:rFonts w:ascii="Arial" w:cs="Arial" w:eastAsia="Arial" w:hAnsi="Arial"/>
          <w:sz w:val="19"/>
          <w:szCs w:val="19"/>
          <w:b w:val="1"/>
          <w:bCs w:val="1"/>
          <w:color w:val="000000"/>
        </w:rPr>
        <w:t>Holidays and Vacation</w:t>
      </w:r>
      <w:r>
        <w:rPr>
          <w:rFonts w:ascii="Arial" w:cs="Arial" w:eastAsia="Arial" w:hAnsi="Arial"/>
          <w:sz w:val="19"/>
          <w:szCs w:val="19"/>
          <w:color w:val="000000"/>
        </w:rPr>
        <w:t>. CFO shall be eligible for paid holiday and vacation time in accordance with Company policy as</w:t>
      </w:r>
      <w:r>
        <w:rPr>
          <w:rFonts w:ascii="Arial" w:cs="Arial" w:eastAsia="Arial" w:hAnsi="Arial"/>
          <w:sz w:val="22"/>
          <w:szCs w:val="22"/>
          <w:b w:val="1"/>
          <w:bCs w:val="1"/>
          <w:color w:val="010000"/>
        </w:rPr>
        <w:t xml:space="preserve"> </w:t>
      </w:r>
      <w:r>
        <w:rPr>
          <w:rFonts w:ascii="Arial" w:cs="Arial" w:eastAsia="Arial" w:hAnsi="Arial"/>
          <w:sz w:val="19"/>
          <w:szCs w:val="19"/>
          <w:color w:val="000000"/>
        </w:rPr>
        <w:t>in effect from time to time.</w:t>
      </w:r>
    </w:p>
    <w:p>
      <w:pPr>
        <w:spacing w:after="0" w:line="179"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20"/>
          <w:szCs w:val="20"/>
          <w:b w:val="1"/>
          <w:bCs w:val="1"/>
          <w:color w:val="010000"/>
        </w:rPr>
      </w:pPr>
      <w:r>
        <w:rPr>
          <w:rFonts w:ascii="Arial" w:cs="Arial" w:eastAsia="Arial" w:hAnsi="Arial"/>
          <w:sz w:val="20"/>
          <w:szCs w:val="20"/>
          <w:b w:val="1"/>
          <w:bCs w:val="1"/>
          <w:color w:val="auto"/>
        </w:rPr>
        <w:t>TERMINATION.</w:t>
      </w:r>
    </w:p>
    <w:p>
      <w:pPr>
        <w:spacing w:after="0" w:line="22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4.1 </w:t>
      </w:r>
      <w:r>
        <w:rPr>
          <w:rFonts w:ascii="Arial" w:cs="Arial" w:eastAsia="Arial" w:hAnsi="Arial"/>
          <w:sz w:val="19"/>
          <w:szCs w:val="19"/>
          <w:b w:val="1"/>
          <w:bCs w:val="1"/>
          <w:color w:val="000000"/>
        </w:rPr>
        <w:t>Termination by the Company</w:t>
      </w:r>
      <w:r>
        <w:rPr>
          <w:rFonts w:ascii="Arial" w:cs="Arial" w:eastAsia="Arial" w:hAnsi="Arial"/>
          <w:sz w:val="19"/>
          <w:szCs w:val="19"/>
          <w:color w:val="000000"/>
        </w:rPr>
        <w:t>. CFO’s employment with the Company is at will and may be terminated by the Company</w:t>
      </w:r>
      <w:r>
        <w:rPr>
          <w:rFonts w:ascii="Arial" w:cs="Arial" w:eastAsia="Arial" w:hAnsi="Arial"/>
          <w:sz w:val="22"/>
          <w:szCs w:val="22"/>
          <w:b w:val="1"/>
          <w:bCs w:val="1"/>
          <w:color w:val="010000"/>
        </w:rPr>
        <w:t xml:space="preserve"> </w:t>
      </w:r>
      <w:r>
        <w:rPr>
          <w:rFonts w:ascii="Arial" w:cs="Arial" w:eastAsia="Arial" w:hAnsi="Arial"/>
          <w:sz w:val="19"/>
          <w:szCs w:val="19"/>
          <w:color w:val="000000"/>
        </w:rPr>
        <w:t>at any time and for any reason, or for no reason, including, but not limited to, under the following conditions:</w:t>
      </w:r>
    </w:p>
    <w:p>
      <w:pPr>
        <w:spacing w:after="0" w:line="179"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4.1.1 </w:t>
      </w:r>
      <w:r>
        <w:rPr>
          <w:rFonts w:ascii="Arial" w:cs="Arial" w:eastAsia="Arial" w:hAnsi="Arial"/>
          <w:sz w:val="20"/>
          <w:szCs w:val="20"/>
          <w:b w:val="1"/>
          <w:bCs w:val="1"/>
          <w:color w:val="000000"/>
        </w:rPr>
        <w:t>Termination by the Company for Cause</w:t>
      </w:r>
      <w:r>
        <w:rPr>
          <w:rFonts w:ascii="Arial" w:cs="Arial" w:eastAsia="Arial" w:hAnsi="Arial"/>
          <w:sz w:val="20"/>
          <w:szCs w:val="20"/>
          <w:color w:val="000000"/>
        </w:rPr>
        <w:t>. The Company may terminate CFO’s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for “</w:t>
      </w:r>
      <w:r>
        <w:rPr>
          <w:rFonts w:ascii="Arial" w:cs="Arial" w:eastAsia="Arial" w:hAnsi="Arial"/>
          <w:sz w:val="20"/>
          <w:szCs w:val="20"/>
          <w:b w:val="1"/>
          <w:bCs w:val="1"/>
          <w:i w:val="1"/>
          <w:iCs w:val="1"/>
          <w:color w:val="000000"/>
        </w:rPr>
        <w:t>Cause</w:t>
      </w:r>
      <w:r>
        <w:rPr>
          <w:rFonts w:ascii="Arial" w:cs="Arial" w:eastAsia="Arial" w:hAnsi="Arial"/>
          <w:sz w:val="20"/>
          <w:szCs w:val="20"/>
          <w:color w:val="000000"/>
        </w:rPr>
        <w:t>” (as defined below) by delivery of written notice to CFO. Any notice of termination given pursuant to this section shall effect termination as of the date of the notice, or as of such other date specified in the notice.</w:t>
      </w:r>
    </w:p>
    <w:p>
      <w:pPr>
        <w:spacing w:after="0" w:line="178"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4.1.2 </w:t>
      </w:r>
      <w:r>
        <w:rPr>
          <w:rFonts w:ascii="Arial" w:cs="Arial" w:eastAsia="Arial" w:hAnsi="Arial"/>
          <w:sz w:val="20"/>
          <w:szCs w:val="20"/>
          <w:b w:val="1"/>
          <w:bCs w:val="1"/>
          <w:color w:val="000000"/>
        </w:rPr>
        <w:t>Termination by the Company without Cause</w:t>
      </w:r>
      <w:r>
        <w:rPr>
          <w:rFonts w:ascii="Arial" w:cs="Arial" w:eastAsia="Arial" w:hAnsi="Arial"/>
          <w:sz w:val="20"/>
          <w:szCs w:val="20"/>
          <w:color w:val="000000"/>
        </w:rPr>
        <w:t>. The Company may terminate CFO’s employment under this</w:t>
      </w:r>
      <w:r>
        <w:rPr>
          <w:rFonts w:ascii="Arial" w:cs="Arial" w:eastAsia="Arial" w:hAnsi="Arial"/>
          <w:sz w:val="20"/>
          <w:szCs w:val="20"/>
          <w:b w:val="1"/>
          <w:bCs w:val="1"/>
          <w:color w:val="010000"/>
        </w:rPr>
        <w:t xml:space="preserve"> </w:t>
      </w:r>
      <w:r>
        <w:rPr>
          <w:rFonts w:ascii="Arial" w:cs="Arial" w:eastAsia="Arial" w:hAnsi="Arial"/>
          <w:sz w:val="20"/>
          <w:szCs w:val="20"/>
          <w:color w:val="000000"/>
        </w:rPr>
        <w:t>Agreement without Cause at any time and for any reason, or for no reason. Such termination shall be effective on the date CFO is so informed, or as otherwise specified by the Company.</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4.2 </w:t>
      </w:r>
      <w:r>
        <w:rPr>
          <w:rFonts w:ascii="Arial" w:cs="Arial" w:eastAsia="Arial" w:hAnsi="Arial"/>
          <w:sz w:val="19"/>
          <w:szCs w:val="19"/>
          <w:b w:val="1"/>
          <w:bCs w:val="1"/>
          <w:color w:val="000000"/>
        </w:rPr>
        <w:t>Termination by CFO</w:t>
      </w:r>
      <w:r>
        <w:rPr>
          <w:rFonts w:ascii="Arial" w:cs="Arial" w:eastAsia="Arial" w:hAnsi="Arial"/>
          <w:sz w:val="19"/>
          <w:szCs w:val="19"/>
          <w:color w:val="000000"/>
        </w:rPr>
        <w:t>. CFO may terminate his employment with the Company at any time and for any reason, or for no</w:t>
      </w:r>
      <w:r>
        <w:rPr>
          <w:rFonts w:ascii="Arial" w:cs="Arial" w:eastAsia="Arial" w:hAnsi="Arial"/>
          <w:sz w:val="22"/>
          <w:szCs w:val="22"/>
          <w:b w:val="1"/>
          <w:bCs w:val="1"/>
          <w:color w:val="010000"/>
        </w:rPr>
        <w:t xml:space="preserve"> </w:t>
      </w:r>
      <w:r>
        <w:rPr>
          <w:rFonts w:ascii="Arial" w:cs="Arial" w:eastAsia="Arial" w:hAnsi="Arial"/>
          <w:sz w:val="19"/>
          <w:szCs w:val="19"/>
          <w:color w:val="000000"/>
        </w:rPr>
        <w:t>reason, upon thirty (30) days written notice to the Company.</w:t>
      </w:r>
    </w:p>
    <w:p>
      <w:pPr>
        <w:spacing w:after="0" w:line="18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b w:val="1"/>
          <w:bCs w:val="1"/>
          <w:color w:val="010000"/>
        </w:rPr>
        <w:t xml:space="preserve">4.3 </w:t>
      </w:r>
      <w:r>
        <w:rPr>
          <w:rFonts w:ascii="Arial" w:cs="Arial" w:eastAsia="Arial" w:hAnsi="Arial"/>
          <w:sz w:val="19"/>
          <w:szCs w:val="19"/>
          <w:b w:val="1"/>
          <w:bCs w:val="1"/>
          <w:color w:val="000000"/>
        </w:rPr>
        <w:t>Termination for Death or Disability</w:t>
      </w:r>
      <w:r>
        <w:rPr>
          <w:rFonts w:ascii="Arial" w:cs="Arial" w:eastAsia="Arial" w:hAnsi="Arial"/>
          <w:sz w:val="19"/>
          <w:szCs w:val="19"/>
          <w:color w:val="000000"/>
        </w:rPr>
        <w:t>. CFO’s employment with the Company shall automatically terminate effective</w:t>
      </w:r>
      <w:r>
        <w:rPr>
          <w:rFonts w:ascii="Arial" w:cs="Arial" w:eastAsia="Arial" w:hAnsi="Arial"/>
          <w:sz w:val="22"/>
          <w:szCs w:val="22"/>
          <w:b w:val="1"/>
          <w:bCs w:val="1"/>
          <w:color w:val="010000"/>
        </w:rPr>
        <w:t xml:space="preserve"> </w:t>
      </w:r>
      <w:r>
        <w:rPr>
          <w:rFonts w:ascii="Arial" w:cs="Arial" w:eastAsia="Arial" w:hAnsi="Arial"/>
          <w:sz w:val="19"/>
          <w:szCs w:val="19"/>
          <w:color w:val="000000"/>
        </w:rPr>
        <w:t>upon the date of CFO’s death or Disability (as defined in the Plan).</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22"/>
          <w:szCs w:val="22"/>
          <w:b w:val="1"/>
          <w:bCs w:val="1"/>
          <w:color w:val="010000"/>
        </w:rPr>
        <w:t xml:space="preserve">4.4 </w:t>
      </w:r>
      <w:r>
        <w:rPr>
          <w:rFonts w:ascii="Arial" w:cs="Arial" w:eastAsia="Arial" w:hAnsi="Arial"/>
          <w:sz w:val="19"/>
          <w:szCs w:val="19"/>
          <w:b w:val="1"/>
          <w:bCs w:val="1"/>
          <w:color w:val="000000"/>
        </w:rPr>
        <w:t>Termination by Mutual Agreement of the Parties</w:t>
      </w:r>
      <w:r>
        <w:rPr>
          <w:rFonts w:ascii="Arial" w:cs="Arial" w:eastAsia="Arial" w:hAnsi="Arial"/>
          <w:sz w:val="19"/>
          <w:szCs w:val="19"/>
          <w:color w:val="000000"/>
        </w:rPr>
        <w:t>. CFO’s employment with the Company may be terminated at any</w:t>
      </w:r>
      <w:r>
        <w:rPr>
          <w:rFonts w:ascii="Arial" w:cs="Arial" w:eastAsia="Arial" w:hAnsi="Arial"/>
          <w:sz w:val="22"/>
          <w:szCs w:val="22"/>
          <w:b w:val="1"/>
          <w:bCs w:val="1"/>
          <w:color w:val="010000"/>
        </w:rPr>
        <w:t xml:space="preserve"> </w:t>
      </w:r>
      <w:r>
        <w:rPr>
          <w:rFonts w:ascii="Arial" w:cs="Arial" w:eastAsia="Arial" w:hAnsi="Arial"/>
          <w:sz w:val="19"/>
          <w:szCs w:val="19"/>
          <w:color w:val="000000"/>
        </w:rPr>
        <w:t>time upon a mutual agreement in writing of the Parties. Any such termination of employment shall have the consequences specified in such agreement.</w:t>
      </w:r>
    </w:p>
    <w:p>
      <w:pPr>
        <w:spacing w:after="0" w:line="178"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b w:val="1"/>
          <w:bCs w:val="1"/>
          <w:color w:val="010000"/>
        </w:rPr>
        <w:t>4.5</w:t>
      </w:r>
      <w:r>
        <w:rPr>
          <w:sz w:val="20"/>
          <w:szCs w:val="20"/>
          <w:color w:val="auto"/>
        </w:rPr>
        <w:tab/>
      </w:r>
      <w:r>
        <w:rPr>
          <w:rFonts w:ascii="Arial" w:cs="Arial" w:eastAsia="Arial" w:hAnsi="Arial"/>
          <w:sz w:val="16"/>
          <w:szCs w:val="16"/>
          <w:b w:val="1"/>
          <w:bCs w:val="1"/>
          <w:color w:val="auto"/>
        </w:rPr>
        <w:t>Compensation upon Termination</w:t>
      </w:r>
      <w:r>
        <w:rPr>
          <w:rFonts w:ascii="Arial" w:cs="Arial" w:eastAsia="Arial" w:hAnsi="Arial"/>
          <w:sz w:val="16"/>
          <w:szCs w:val="16"/>
          <w:color w:val="auto"/>
        </w:rPr>
        <w:t>.</w:t>
      </w:r>
    </w:p>
    <w:p>
      <w:pPr>
        <w:spacing w:after="0" w:line="224" w:lineRule="exact"/>
        <w:rPr>
          <w:sz w:val="20"/>
          <w:szCs w:val="20"/>
          <w:color w:val="auto"/>
        </w:rPr>
      </w:pPr>
    </w:p>
    <w:p>
      <w:pPr>
        <w:jc w:val="both"/>
        <w:ind w:firstLine="1945"/>
        <w:spacing w:after="0" w:line="266" w:lineRule="auto"/>
        <w:rPr>
          <w:sz w:val="20"/>
          <w:szCs w:val="20"/>
          <w:color w:val="auto"/>
        </w:rPr>
      </w:pPr>
      <w:r>
        <w:rPr>
          <w:rFonts w:ascii="Arial" w:cs="Arial" w:eastAsia="Arial" w:hAnsi="Arial"/>
          <w:sz w:val="19"/>
          <w:szCs w:val="19"/>
          <w:b w:val="1"/>
          <w:bCs w:val="1"/>
          <w:color w:val="010000"/>
        </w:rPr>
        <w:t xml:space="preserve">4.5.1 </w:t>
      </w:r>
      <w:r>
        <w:rPr>
          <w:rFonts w:ascii="Arial" w:cs="Arial" w:eastAsia="Arial" w:hAnsi="Arial"/>
          <w:sz w:val="19"/>
          <w:szCs w:val="19"/>
          <w:b w:val="1"/>
          <w:bCs w:val="1"/>
          <w:color w:val="000000"/>
        </w:rPr>
        <w:t>Death or Disability</w:t>
      </w:r>
      <w:r>
        <w:rPr>
          <w:rFonts w:ascii="Arial" w:cs="Arial" w:eastAsia="Arial" w:hAnsi="Arial"/>
          <w:sz w:val="19"/>
          <w:szCs w:val="19"/>
          <w:color w:val="000000"/>
        </w:rPr>
        <w:t>. If CFO’s employment is terminated by death or Disability, the Company shall pay to CFO,</w:t>
      </w:r>
      <w:r>
        <w:rPr>
          <w:rFonts w:ascii="Arial" w:cs="Arial" w:eastAsia="Arial" w:hAnsi="Arial"/>
          <w:sz w:val="19"/>
          <w:szCs w:val="19"/>
          <w:b w:val="1"/>
          <w:bCs w:val="1"/>
          <w:color w:val="010000"/>
        </w:rPr>
        <w:t xml:space="preserve"> </w:t>
      </w:r>
      <w:r>
        <w:rPr>
          <w:rFonts w:ascii="Arial" w:cs="Arial" w:eastAsia="Arial" w:hAnsi="Arial"/>
          <w:sz w:val="19"/>
          <w:szCs w:val="19"/>
          <w:color w:val="000000"/>
        </w:rPr>
        <w:t>or to CFO’s heirs, CFO’s accrued and unpaid base salary and accrued and unused vacation benefits earned through the date of termination at the rate in effect at the time of termination, less standard deductions and withholdings. The Company shall thereafter have no further obligations to CFO and/or CFO’s heirs under this Agreement, except as otherwise provided by law.</w:t>
      </w:r>
    </w:p>
    <w:p>
      <w:pPr>
        <w:spacing w:after="0" w:line="166" w:lineRule="exact"/>
        <w:rPr>
          <w:sz w:val="20"/>
          <w:szCs w:val="20"/>
          <w:color w:val="auto"/>
        </w:rPr>
      </w:pPr>
    </w:p>
    <w:p>
      <w:pPr>
        <w:jc w:val="both"/>
        <w:ind w:firstLine="1945"/>
        <w:spacing w:after="0" w:line="253" w:lineRule="auto"/>
        <w:rPr>
          <w:sz w:val="20"/>
          <w:szCs w:val="20"/>
          <w:color w:val="auto"/>
        </w:rPr>
      </w:pPr>
      <w:r>
        <w:rPr>
          <w:rFonts w:ascii="Arial" w:cs="Arial" w:eastAsia="Arial" w:hAnsi="Arial"/>
          <w:sz w:val="20"/>
          <w:szCs w:val="20"/>
          <w:b w:val="1"/>
          <w:bCs w:val="1"/>
          <w:color w:val="010000"/>
        </w:rPr>
        <w:t xml:space="preserve">4.5.2 </w:t>
      </w:r>
      <w:r>
        <w:rPr>
          <w:rFonts w:ascii="Arial" w:cs="Arial" w:eastAsia="Arial" w:hAnsi="Arial"/>
          <w:sz w:val="20"/>
          <w:szCs w:val="20"/>
          <w:b w:val="1"/>
          <w:bCs w:val="1"/>
          <w:color w:val="000000"/>
        </w:rPr>
        <w:t>Termination for Cause</w:t>
      </w:r>
      <w:r>
        <w:rPr>
          <w:rFonts w:ascii="Arial" w:cs="Arial" w:eastAsia="Arial" w:hAnsi="Arial"/>
          <w:sz w:val="20"/>
          <w:szCs w:val="20"/>
          <w:color w:val="000000"/>
        </w:rPr>
        <w:t>. If the Company terminates CFO’s employment for Cause, then the Company shall pay</w:t>
      </w:r>
      <w:r>
        <w:rPr>
          <w:rFonts w:ascii="Arial" w:cs="Arial" w:eastAsia="Arial" w:hAnsi="Arial"/>
          <w:sz w:val="20"/>
          <w:szCs w:val="20"/>
          <w:b w:val="1"/>
          <w:bCs w:val="1"/>
          <w:color w:val="010000"/>
        </w:rPr>
        <w:t xml:space="preserve"> </w:t>
      </w:r>
      <w:r>
        <w:rPr>
          <w:rFonts w:ascii="Arial" w:cs="Arial" w:eastAsia="Arial" w:hAnsi="Arial"/>
          <w:sz w:val="20"/>
          <w:szCs w:val="20"/>
          <w:color w:val="000000"/>
        </w:rPr>
        <w:t>CFO’s accrued and unpaid base salary and accrued and unused vacation benefits earned through the date of termination, at the rate in effect at the time of termination, less</w:t>
      </w:r>
    </w:p>
    <w:p>
      <w:pPr>
        <w:spacing w:after="0" w:line="200" w:lineRule="exact"/>
        <w:rPr>
          <w:sz w:val="20"/>
          <w:szCs w:val="20"/>
          <w:color w:val="auto"/>
        </w:rPr>
      </w:pPr>
    </w:p>
    <w:p>
      <w:pPr>
        <w:spacing w:after="0" w:line="236"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38" w:name="page139"/>
    <w:bookmarkEnd w:id="138"/>
    <w:p>
      <w:pPr>
        <w:jc w:val="both"/>
        <w:ind w:right="20"/>
        <w:spacing w:after="0" w:line="260" w:lineRule="auto"/>
        <w:rPr>
          <w:sz w:val="20"/>
          <w:szCs w:val="20"/>
          <w:color w:val="auto"/>
        </w:rPr>
      </w:pPr>
      <w:r>
        <w:rPr>
          <w:rFonts w:ascii="Arial" w:cs="Arial" w:eastAsia="Arial" w:hAnsi="Arial"/>
          <w:sz w:val="20"/>
          <w:szCs w:val="20"/>
          <w:color w:val="auto"/>
        </w:rPr>
        <w:t>standard deductions and withholdings. The Company shall thereafter have no further obligations to CFO under this Agreement, except as otherwise provided by law.</w:t>
      </w:r>
    </w:p>
    <w:p>
      <w:pPr>
        <w:spacing w:after="0" w:line="171" w:lineRule="exact"/>
        <w:rPr>
          <w:sz w:val="20"/>
          <w:szCs w:val="20"/>
          <w:color w:val="auto"/>
        </w:rPr>
      </w:pPr>
    </w:p>
    <w:p>
      <w:pPr>
        <w:jc w:val="both"/>
        <w:ind w:firstLine="1945"/>
        <w:spacing w:after="0" w:line="268" w:lineRule="auto"/>
        <w:rPr>
          <w:sz w:val="20"/>
          <w:szCs w:val="20"/>
          <w:color w:val="auto"/>
        </w:rPr>
      </w:pPr>
      <w:r>
        <w:rPr>
          <w:rFonts w:ascii="Arial" w:cs="Arial" w:eastAsia="Arial" w:hAnsi="Arial"/>
          <w:sz w:val="18"/>
          <w:szCs w:val="18"/>
          <w:b w:val="1"/>
          <w:bCs w:val="1"/>
          <w:color w:val="010000"/>
        </w:rPr>
        <w:t xml:space="preserve">4.5.3 </w:t>
      </w:r>
      <w:r>
        <w:rPr>
          <w:rFonts w:ascii="Arial" w:cs="Arial" w:eastAsia="Arial" w:hAnsi="Arial"/>
          <w:sz w:val="18"/>
          <w:szCs w:val="18"/>
          <w:b w:val="1"/>
          <w:bCs w:val="1"/>
          <w:color w:val="000000"/>
        </w:rPr>
        <w:t>Termination by Company without Cause or by CFO for Good Reason Not In Connection with a Change</w:t>
      </w:r>
      <w:r>
        <w:rPr>
          <w:rFonts w:ascii="Arial" w:cs="Arial" w:eastAsia="Arial" w:hAnsi="Arial"/>
          <w:sz w:val="18"/>
          <w:szCs w:val="18"/>
          <w:b w:val="1"/>
          <w:bCs w:val="1"/>
          <w:color w:val="010000"/>
        </w:rPr>
        <w:t xml:space="preserve"> </w:t>
      </w:r>
      <w:r>
        <w:rPr>
          <w:rFonts w:ascii="Arial" w:cs="Arial" w:eastAsia="Arial" w:hAnsi="Arial"/>
          <w:sz w:val="18"/>
          <w:szCs w:val="18"/>
          <w:b w:val="1"/>
          <w:bCs w:val="1"/>
          <w:color w:val="000000"/>
        </w:rPr>
        <w:t>in Control</w:t>
      </w:r>
      <w:r>
        <w:rPr>
          <w:rFonts w:ascii="Arial" w:cs="Arial" w:eastAsia="Arial" w:hAnsi="Arial"/>
          <w:sz w:val="18"/>
          <w:szCs w:val="18"/>
          <w:color w:val="000000"/>
        </w:rPr>
        <w:t>. If the Company terminates CFO’s employment without Cause or if CFO resigns his employment for “</w:t>
      </w:r>
      <w:r>
        <w:rPr>
          <w:rFonts w:ascii="Arial" w:cs="Arial" w:eastAsia="Arial" w:hAnsi="Arial"/>
          <w:sz w:val="18"/>
          <w:szCs w:val="18"/>
          <w:b w:val="1"/>
          <w:bCs w:val="1"/>
          <w:i w:val="1"/>
          <w:iCs w:val="1"/>
          <w:color w:val="000000"/>
        </w:rPr>
        <w:t>Good Reason</w:t>
      </w:r>
      <w:r>
        <w:rPr>
          <w:rFonts w:ascii="Arial" w:cs="Arial" w:eastAsia="Arial" w:hAnsi="Arial"/>
          <w:sz w:val="18"/>
          <w:szCs w:val="18"/>
          <w:color w:val="000000"/>
        </w:rPr>
        <w:t>” (as defined</w:t>
      </w:r>
      <w:r>
        <w:rPr>
          <w:rFonts w:ascii="Arial" w:cs="Arial" w:eastAsia="Arial" w:hAnsi="Arial"/>
          <w:sz w:val="18"/>
          <w:szCs w:val="18"/>
          <w:b w:val="1"/>
          <w:bCs w:val="1"/>
          <w:color w:val="000000"/>
        </w:rPr>
        <w:t xml:space="preserve"> </w:t>
      </w:r>
      <w:r>
        <w:rPr>
          <w:rFonts w:ascii="Arial" w:cs="Arial" w:eastAsia="Arial" w:hAnsi="Arial"/>
          <w:sz w:val="18"/>
          <w:szCs w:val="18"/>
          <w:color w:val="000000"/>
        </w:rPr>
        <w:t>below), in either case at any time other than upon the occurrence of, or within the 13 months immediately following, the effective date of a “</w:t>
      </w:r>
      <w:r>
        <w:rPr>
          <w:rFonts w:ascii="Arial" w:cs="Arial" w:eastAsia="Arial" w:hAnsi="Arial"/>
          <w:sz w:val="18"/>
          <w:szCs w:val="18"/>
          <w:b w:val="1"/>
          <w:bCs w:val="1"/>
          <w:i w:val="1"/>
          <w:iCs w:val="1"/>
          <w:color w:val="000000"/>
        </w:rPr>
        <w:t>Change in Control</w:t>
      </w:r>
      <w:r>
        <w:rPr>
          <w:rFonts w:ascii="Arial" w:cs="Arial" w:eastAsia="Arial" w:hAnsi="Arial"/>
          <w:sz w:val="18"/>
          <w:szCs w:val="18"/>
          <w:color w:val="000000"/>
        </w:rPr>
        <w:t xml:space="preserve">” (as defined below), the Company shall pay CFO’s accrued and unpaid base salary and accrued and unused vacation benefits earned through the date of termination, at the rate in effect at the time of termination, less standard deductions and withholdings. In addition to the above, if CFO furnishes to the Company an executed waiver and release of claims in the form attached hereto as </w:t>
      </w:r>
      <w:r>
        <w:rPr>
          <w:rFonts w:ascii="Arial" w:cs="Arial" w:eastAsia="Arial" w:hAnsi="Arial"/>
          <w:sz w:val="18"/>
          <w:szCs w:val="18"/>
          <w:b w:val="1"/>
          <w:bCs w:val="1"/>
          <w:color w:val="000000"/>
        </w:rPr>
        <w:t>Exhibit A</w:t>
      </w:r>
      <w:r>
        <w:rPr>
          <w:rFonts w:ascii="Arial" w:cs="Arial" w:eastAsia="Arial" w:hAnsi="Arial"/>
          <w:sz w:val="18"/>
          <w:szCs w:val="18"/>
          <w:color w:val="000000"/>
        </w:rPr>
        <w:t xml:space="preserve"> (or in such other form as may be specified by the Company) (the “</w:t>
      </w:r>
      <w:r>
        <w:rPr>
          <w:rFonts w:ascii="Arial" w:cs="Arial" w:eastAsia="Arial" w:hAnsi="Arial"/>
          <w:sz w:val="18"/>
          <w:szCs w:val="18"/>
          <w:b w:val="1"/>
          <w:bCs w:val="1"/>
          <w:i w:val="1"/>
          <w:iCs w:val="1"/>
          <w:color w:val="000000"/>
        </w:rPr>
        <w:t>Release</w:t>
      </w:r>
      <w:r>
        <w:rPr>
          <w:rFonts w:ascii="Arial" w:cs="Arial" w:eastAsia="Arial" w:hAnsi="Arial"/>
          <w:sz w:val="18"/>
          <w:szCs w:val="18"/>
          <w:color w:val="000000"/>
        </w:rPr>
        <w:t>”) within the time period specified therein, but in no event later than 45 days following CFO’s termination, and if CFO allows such Release to become effective in accordance with its terms, then (i) CFO shall be entitled to severance in the form of continuation of his base salary, at the base salary rate equal to the greater of the rate in effect at the time of termination or the rate immediately prior to the event giving rise to Good Reason (the “</w:t>
      </w:r>
      <w:r>
        <w:rPr>
          <w:rFonts w:ascii="Arial" w:cs="Arial" w:eastAsia="Arial" w:hAnsi="Arial"/>
          <w:sz w:val="18"/>
          <w:szCs w:val="18"/>
          <w:b w:val="1"/>
          <w:bCs w:val="1"/>
          <w:i w:val="1"/>
          <w:iCs w:val="1"/>
          <w:color w:val="000000"/>
        </w:rPr>
        <w:t>Severance Payments</w:t>
      </w:r>
      <w:r>
        <w:rPr>
          <w:rFonts w:ascii="Arial" w:cs="Arial" w:eastAsia="Arial" w:hAnsi="Arial"/>
          <w:sz w:val="18"/>
          <w:szCs w:val="18"/>
          <w:color w:val="000000"/>
        </w:rPr>
        <w:t>”), for a period of nine (9) months following the termination date (the “Severance Period”), and (ii) the Company will pay directly to the insurance provider the premium for COBRA continuation coverage for CFO and CFO’s family during the Severance Period or until he obtains new employment, whichever comes first (the “</w:t>
      </w:r>
      <w:r>
        <w:rPr>
          <w:rFonts w:ascii="Arial" w:cs="Arial" w:eastAsia="Arial" w:hAnsi="Arial"/>
          <w:sz w:val="18"/>
          <w:szCs w:val="18"/>
          <w:b w:val="1"/>
          <w:bCs w:val="1"/>
          <w:i w:val="1"/>
          <w:iCs w:val="1"/>
          <w:color w:val="000000"/>
        </w:rPr>
        <w:t>COBRA Coverage</w:t>
      </w:r>
      <w:r>
        <w:rPr>
          <w:rFonts w:ascii="Arial" w:cs="Arial" w:eastAsia="Arial" w:hAnsi="Arial"/>
          <w:sz w:val="18"/>
          <w:szCs w:val="18"/>
          <w:color w:val="000000"/>
        </w:rPr>
        <w:t>”); provided that, if the Company determines that it cannot provide the COBRA Coverage without potentially violating applicable law or incurring additional expense under applicable law (including, without limitation, Section 2716 of the Public Health Service Act), the Company will provide CFO, in lieu thereof, taxable, continued installment payments equal to the COBRA premium, payable on the last day of a given month, for 9 months (measured from the termination date), which payments will be made regardless of whether CFO elects COBRA continuation coverage (the “</w:t>
      </w:r>
      <w:r>
        <w:rPr>
          <w:rFonts w:ascii="Arial" w:cs="Arial" w:eastAsia="Arial" w:hAnsi="Arial"/>
          <w:sz w:val="18"/>
          <w:szCs w:val="18"/>
          <w:b w:val="1"/>
          <w:bCs w:val="1"/>
          <w:i w:val="1"/>
          <w:iCs w:val="1"/>
          <w:color w:val="000000"/>
        </w:rPr>
        <w:t>COBRA Bonus</w:t>
      </w:r>
      <w:r>
        <w:rPr>
          <w:rFonts w:ascii="Arial" w:cs="Arial" w:eastAsia="Arial" w:hAnsi="Arial"/>
          <w:sz w:val="18"/>
          <w:szCs w:val="18"/>
          <w:color w:val="000000"/>
        </w:rPr>
        <w:t xml:space="preserve">”). Notwithstanding the foregoing, the number of months of COBRA Bonus to be paid, in any case, shall be reduced by the number of months of COBRA Coverage previously paid by the Company.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w:t>
      </w:r>
      <w:r>
        <w:rPr>
          <w:rFonts w:ascii="Arial" w:cs="Arial" w:eastAsia="Arial" w:hAnsi="Arial"/>
          <w:sz w:val="18"/>
          <w:szCs w:val="18"/>
          <w:i w:val="1"/>
          <w:iCs w:val="1"/>
          <w:color w:val="000000"/>
        </w:rPr>
        <w:t>provided, further</w:t>
      </w:r>
      <w:r>
        <w:rPr>
          <w:rFonts w:ascii="Arial" w:cs="Arial" w:eastAsia="Arial" w:hAnsi="Arial"/>
          <w:sz w:val="18"/>
          <w:szCs w:val="18"/>
          <w:color w:val="000000"/>
        </w:rPr>
        <w:t>, that if the 45 day period to execute the Release spans two calendar years, no Severance Payments will be made until the later calendar year. The Company shall thereafter have no further obligations to CFO under this Agreement, except as otherwise provided by law.</w:t>
      </w:r>
    </w:p>
    <w:p>
      <w:pPr>
        <w:spacing w:after="0" w:line="181" w:lineRule="exact"/>
        <w:rPr>
          <w:sz w:val="20"/>
          <w:szCs w:val="20"/>
          <w:color w:val="auto"/>
        </w:rPr>
      </w:pPr>
    </w:p>
    <w:p>
      <w:pPr>
        <w:jc w:val="both"/>
        <w:ind w:firstLine="1945"/>
        <w:spacing w:after="0" w:line="255" w:lineRule="auto"/>
        <w:rPr>
          <w:sz w:val="20"/>
          <w:szCs w:val="20"/>
          <w:color w:val="auto"/>
        </w:rPr>
      </w:pPr>
      <w:r>
        <w:rPr>
          <w:rFonts w:ascii="Arial" w:cs="Arial" w:eastAsia="Arial" w:hAnsi="Arial"/>
          <w:sz w:val="19"/>
          <w:szCs w:val="19"/>
          <w:b w:val="1"/>
          <w:bCs w:val="1"/>
          <w:color w:val="010000"/>
        </w:rPr>
        <w:t xml:space="preserve">4.5.4 </w:t>
      </w:r>
      <w:r>
        <w:rPr>
          <w:rFonts w:ascii="Arial" w:cs="Arial" w:eastAsia="Arial" w:hAnsi="Arial"/>
          <w:sz w:val="19"/>
          <w:szCs w:val="19"/>
          <w:b w:val="1"/>
          <w:bCs w:val="1"/>
          <w:color w:val="000000"/>
        </w:rPr>
        <w:t>Termination by Company without Cause or by CFO for Good Reason In Connection with a Change in</w:t>
      </w:r>
      <w:r>
        <w:rPr>
          <w:rFonts w:ascii="Arial" w:cs="Arial" w:eastAsia="Arial" w:hAnsi="Arial"/>
          <w:sz w:val="19"/>
          <w:szCs w:val="19"/>
          <w:b w:val="1"/>
          <w:bCs w:val="1"/>
          <w:color w:val="010000"/>
        </w:rPr>
        <w:t xml:space="preserve"> </w:t>
      </w:r>
      <w:r>
        <w:rPr>
          <w:rFonts w:ascii="Arial" w:cs="Arial" w:eastAsia="Arial" w:hAnsi="Arial"/>
          <w:sz w:val="19"/>
          <w:szCs w:val="19"/>
          <w:b w:val="1"/>
          <w:bCs w:val="1"/>
          <w:color w:val="000000"/>
        </w:rPr>
        <w:t>Control</w:t>
      </w:r>
      <w:r>
        <w:rPr>
          <w:rFonts w:ascii="Arial" w:cs="Arial" w:eastAsia="Arial" w:hAnsi="Arial"/>
          <w:sz w:val="19"/>
          <w:szCs w:val="19"/>
          <w:color w:val="000000"/>
        </w:rPr>
        <w:t>. If the Company terminates CFO’s employment without Cause or if CFO resigns his employment for Good Reason, in either case upon</w:t>
      </w:r>
      <w:r>
        <w:rPr>
          <w:rFonts w:ascii="Arial" w:cs="Arial" w:eastAsia="Arial" w:hAnsi="Arial"/>
          <w:sz w:val="19"/>
          <w:szCs w:val="19"/>
          <w:b w:val="1"/>
          <w:bCs w:val="1"/>
          <w:color w:val="000000"/>
        </w:rPr>
        <w:t xml:space="preserve"> </w:t>
      </w:r>
      <w:r>
        <w:rPr>
          <w:rFonts w:ascii="Arial" w:cs="Arial" w:eastAsia="Arial" w:hAnsi="Arial"/>
          <w:sz w:val="19"/>
          <w:szCs w:val="19"/>
          <w:color w:val="000000"/>
        </w:rPr>
        <w:t>the occurrence of, or within the 13 months immediately following, the effective date of a Change in Control, the Company shall pay CFO’s accrued and unpaid base salary and accrued and unused vacation benefits earned through the date of termination, at the rate in effect at the time of termination, less standard deductions and withholdings. In addition, if CFO furnishes to the Company an executed Release within the time period specified therein, but in no event later than 45 days following CFO’s termination, and if CFO allows such Release to become effective in accordance with its terms, then CFO shall be entitled to: (1) the Severance Payments and COBRA payments described in Section 4.5.3 above; provided, however, that the Severance Payments and COBRA payments shall be increased from 9 months to 12 months and (2) accelerated vesting of all of CFO’s unvested Company equity awards, such that CFO shall become vested in 100% of the shares subject to all such equity awards on the effective date of the Release; provided, however, that the vesting of any performance-based awards shall be as if all applicable performance criteria were achieved at target levels. The Company shall thereafter have no further obligations to CFO under this Agreement, except as otherwise provided by law.</w:t>
      </w:r>
    </w:p>
    <w:p>
      <w:pPr>
        <w:spacing w:after="0" w:line="200" w:lineRule="exact"/>
        <w:rPr>
          <w:sz w:val="20"/>
          <w:szCs w:val="20"/>
          <w:color w:val="auto"/>
        </w:rPr>
      </w:pPr>
    </w:p>
    <w:p>
      <w:pPr>
        <w:spacing w:after="0" w:line="243"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2" w:right="239" w:bottom="1440" w:gutter="0" w:footer="0" w:header="0"/>
        </w:sectPr>
      </w:pPr>
    </w:p>
    <w:bookmarkStart w:id="139" w:name="page140"/>
    <w:bookmarkEnd w:id="139"/>
    <w:p>
      <w:pPr>
        <w:ind w:left="1300"/>
        <w:spacing w:after="0"/>
        <w:tabs>
          <w:tab w:leader="none" w:pos="1740" w:val="left"/>
        </w:tabs>
        <w:rPr>
          <w:sz w:val="20"/>
          <w:szCs w:val="20"/>
          <w:color w:val="auto"/>
        </w:rPr>
      </w:pPr>
      <w:r>
        <w:rPr>
          <w:rFonts w:ascii="Arial" w:cs="Arial" w:eastAsia="Arial" w:hAnsi="Arial"/>
          <w:sz w:val="22"/>
          <w:szCs w:val="22"/>
          <w:b w:val="1"/>
          <w:bCs w:val="1"/>
          <w:color w:val="010000"/>
        </w:rPr>
        <w:t>4.6</w:t>
      </w:r>
      <w:r>
        <w:rPr>
          <w:sz w:val="20"/>
          <w:szCs w:val="20"/>
          <w:color w:val="auto"/>
        </w:rPr>
        <w:tab/>
      </w: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Agreement, the following terms shall have the following meanings:</w:t>
      </w:r>
    </w:p>
    <w:p>
      <w:pPr>
        <w:spacing w:after="0" w:line="224" w:lineRule="exact"/>
        <w:rPr>
          <w:sz w:val="20"/>
          <w:szCs w:val="20"/>
          <w:color w:val="auto"/>
        </w:rPr>
      </w:pPr>
    </w:p>
    <w:p>
      <w:pPr>
        <w:jc w:val="both"/>
        <w:ind w:firstLine="1945"/>
        <w:spacing w:after="0" w:line="272" w:lineRule="auto"/>
        <w:rPr>
          <w:sz w:val="20"/>
          <w:szCs w:val="20"/>
          <w:color w:val="auto"/>
        </w:rPr>
      </w:pPr>
      <w:r>
        <w:rPr>
          <w:rFonts w:ascii="Arial" w:cs="Arial" w:eastAsia="Arial" w:hAnsi="Arial"/>
          <w:sz w:val="18"/>
          <w:szCs w:val="18"/>
          <w:b w:val="1"/>
          <w:bCs w:val="1"/>
          <w:color w:val="010000"/>
        </w:rPr>
        <w:t xml:space="preserve">4.6.1 </w:t>
      </w:r>
      <w:r>
        <w:rPr>
          <w:rFonts w:ascii="Arial" w:cs="Arial" w:eastAsia="Arial" w:hAnsi="Arial"/>
          <w:sz w:val="18"/>
          <w:szCs w:val="18"/>
          <w:color w:val="000000"/>
        </w:rPr>
        <w:t>“</w:t>
      </w:r>
      <w:r>
        <w:rPr>
          <w:rFonts w:ascii="Arial" w:cs="Arial" w:eastAsia="Arial" w:hAnsi="Arial"/>
          <w:sz w:val="18"/>
          <w:szCs w:val="18"/>
          <w:b w:val="1"/>
          <w:bCs w:val="1"/>
          <w:i w:val="1"/>
          <w:iCs w:val="1"/>
          <w:color w:val="000000"/>
        </w:rPr>
        <w:t>Cause</w:t>
      </w:r>
      <w:r>
        <w:rPr>
          <w:rFonts w:ascii="Arial" w:cs="Arial" w:eastAsia="Arial" w:hAnsi="Arial"/>
          <w:sz w:val="18"/>
          <w:szCs w:val="18"/>
          <w:color w:val="000000"/>
        </w:rPr>
        <w:t>” shall mean the occurrence of any one or more of the following: (i) CFO’s commission of any crime</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involving fraud, dishonesty or moral turpitude; (ii) CFO’s attempted commission of or participation in a fraud or act of dishonesty against the Company that results in (or might have reasonably resulted in) material harm to the business of the Company; (iii) CFO’s intentional, material violation of any contract or agreement between CFO and the Company or any statutory duty CFO owes to the Company; or (iv) CFO’s conduct that constitutes gross insubordination, incompetence or habitual neglect of duties and that results in (or might have reasonably resulted in) material harm to the business of the Company; </w:t>
      </w:r>
      <w:r>
        <w:rPr>
          <w:rFonts w:ascii="Arial" w:cs="Arial" w:eastAsia="Arial" w:hAnsi="Arial"/>
          <w:sz w:val="18"/>
          <w:szCs w:val="18"/>
          <w:i w:val="1"/>
          <w:iCs w:val="1"/>
          <w:color w:val="000000"/>
        </w:rPr>
        <w:t>provided, however</w:t>
      </w:r>
      <w:r>
        <w:rPr>
          <w:rFonts w:ascii="Arial" w:cs="Arial" w:eastAsia="Arial" w:hAnsi="Arial"/>
          <w:sz w:val="18"/>
          <w:szCs w:val="18"/>
          <w:color w:val="000000"/>
        </w:rPr>
        <w:t>, that the action or conduct described in clauses (iii) and (iv) above will constitute “Cause” only if such action or conduct continues after the Company has provided CFO with written notice thereof and thirty (30) days to cure, or otherwise remedy to the extent possible under direct control of the CFO, the same. An occurrence of “Cause” as set forth in the preceding sentence shall be based upon a good faith determination by the Board. CFO’s Disability shall not constitute Cause as set forth herein. The determination that a termination is for Cause shall be by the Board in its sole and exclusive judgment and discretion.</w:t>
      </w:r>
    </w:p>
    <w:p>
      <w:pPr>
        <w:spacing w:after="0" w:line="166"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0"/>
          <w:szCs w:val="20"/>
          <w:b w:val="1"/>
          <w:bCs w:val="1"/>
          <w:color w:val="010000"/>
        </w:rPr>
        <w:t>4.6.2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have the meaning set forth in the Amended and Restated 2006 Equity Incentive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7" w:lineRule="exact"/>
        <w:rPr>
          <w:sz w:val="20"/>
          <w:szCs w:val="20"/>
          <w:color w:val="auto"/>
        </w:rPr>
      </w:pPr>
    </w:p>
    <w:p>
      <w:pPr>
        <w:jc w:val="both"/>
        <w:ind w:firstLine="1945"/>
        <w:spacing w:after="0" w:line="301" w:lineRule="auto"/>
        <w:rPr>
          <w:sz w:val="20"/>
          <w:szCs w:val="20"/>
          <w:color w:val="auto"/>
        </w:rPr>
      </w:pPr>
      <w:r>
        <w:rPr>
          <w:rFonts w:ascii="Arial" w:cs="Arial" w:eastAsia="Arial" w:hAnsi="Arial"/>
          <w:sz w:val="18"/>
          <w:szCs w:val="18"/>
          <w:b w:val="1"/>
          <w:bCs w:val="1"/>
          <w:color w:val="010000"/>
        </w:rPr>
        <w:t xml:space="preserve">4.6.3 </w:t>
      </w:r>
      <w:r>
        <w:rPr>
          <w:rFonts w:ascii="Arial" w:cs="Arial" w:eastAsia="Arial" w:hAnsi="Arial"/>
          <w:sz w:val="18"/>
          <w:szCs w:val="18"/>
          <w:color w:val="000000"/>
        </w:rPr>
        <w:t>“</w:t>
      </w:r>
      <w:r>
        <w:rPr>
          <w:rFonts w:ascii="Arial" w:cs="Arial" w:eastAsia="Arial" w:hAnsi="Arial"/>
          <w:sz w:val="18"/>
          <w:szCs w:val="18"/>
          <w:b w:val="1"/>
          <w:bCs w:val="1"/>
          <w:i w:val="1"/>
          <w:iCs w:val="1"/>
          <w:color w:val="000000"/>
        </w:rPr>
        <w:t>Good Reason</w:t>
      </w:r>
      <w:r>
        <w:rPr>
          <w:rFonts w:ascii="Arial" w:cs="Arial" w:eastAsia="Arial" w:hAnsi="Arial"/>
          <w:sz w:val="18"/>
          <w:szCs w:val="18"/>
          <w:color w:val="000000"/>
        </w:rPr>
        <w:t>” shall mean any of the following actions: (i) the assignment to CFO of any duties or</w:t>
      </w:r>
      <w:r>
        <w:rPr>
          <w:rFonts w:ascii="Arial" w:cs="Arial" w:eastAsia="Arial" w:hAnsi="Arial"/>
          <w:sz w:val="18"/>
          <w:szCs w:val="18"/>
          <w:b w:val="1"/>
          <w:bCs w:val="1"/>
          <w:color w:val="010000"/>
        </w:rPr>
        <w:t xml:space="preserve"> </w:t>
      </w:r>
      <w:r>
        <w:rPr>
          <w:rFonts w:ascii="Arial" w:cs="Arial" w:eastAsia="Arial" w:hAnsi="Arial"/>
          <w:sz w:val="18"/>
          <w:szCs w:val="18"/>
          <w:color w:val="000000"/>
        </w:rPr>
        <w:t>responsibilities that results in a material diminution in CFO’s function as in effect immediately prior to the effective date of the Change in Control; provided, however, that it will be considered a material diminution in CFO’s function if, following a Change in Control, the CFO is not reporting directly to the Chief Executive Officer who is in turn reporting to the Company’s (or if applicable ultimate parent entity’s) corporate board of directors; (ii) a reduction by the Company in CFO’s annual base salary as in effect on the effective date of the Change in Control; provided, however, that Good Reason shall not be deemed to have occurred in the event of a reduction in CFO’s annual base salary that is pursuant to a salary reduction program affecting substantially all of the employees of the Company and that does not adversely affect CFO to a greater extent than other similarly situated employees; or (iii) a relocation of CFO’s primary business office to a location more than 50 miles from the location of CFO’s primary business office as of the effective date of the Change in Control, except for required travel by CFO on the Company’s business to an extent substantially consistent with CFO’s business travel obligations prior to the effective date of the Change in Control. For the purposes of application of this definition of Good Reason to Section 4.5.3, the words “as in effect immediately prior to the effective date of the Change in Control” shall be read to mean as of, or immediately prior to, the date of the event giving rise to Good Reason. In all events, in order for a termination for Good Reason to occur, the CFO must provide the Company with written notice of the condition constituting Good Reason within 90 days of the initial occurrence of such condition, and allow the Company a 30-day cure period in which to cure such condition, and the CFO must resign employment within 10 days of the end of such 30-day cure period if the Company does not cure the condition in such cure period. For clarity, “corporate board of directors” as used in the definition of Good Reason means the Company’s (or if applicable ultimate parent entity’s) board of directors as such term is used in Section 141 of the Delaware General Corporation Law, or if the Company (or if applicable ultimate parent entity) is not a corporation organized under Delaware law, the most senior governing body of the Company (or if applicable ultimate parent entity) the majority of which is comprised of non-employee and independent members and has responsibility and authority for managing the business and affairs of the Company (or if applicable ultimate parent entity).</w:t>
      </w:r>
    </w:p>
    <w:p>
      <w:pPr>
        <w:spacing w:after="0" w:line="200" w:lineRule="exact"/>
        <w:rPr>
          <w:sz w:val="20"/>
          <w:szCs w:val="20"/>
          <w:color w:val="auto"/>
        </w:rPr>
      </w:pPr>
    </w:p>
    <w:p>
      <w:pPr>
        <w:spacing w:after="0" w:line="214"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40" w:name="page141"/>
    <w:bookmarkEnd w:id="140"/>
    <w:p>
      <w:pPr>
        <w:ind w:left="1300"/>
        <w:spacing w:after="0"/>
        <w:tabs>
          <w:tab w:leader="none" w:pos="1760" w:val="left"/>
        </w:tabs>
        <w:rPr>
          <w:sz w:val="20"/>
          <w:szCs w:val="20"/>
          <w:color w:val="auto"/>
        </w:rPr>
      </w:pPr>
      <w:r>
        <w:rPr>
          <w:rFonts w:ascii="Arial" w:cs="Arial" w:eastAsia="Arial" w:hAnsi="Arial"/>
          <w:sz w:val="22"/>
          <w:szCs w:val="22"/>
          <w:b w:val="1"/>
          <w:bCs w:val="1"/>
          <w:color w:val="010000"/>
        </w:rPr>
        <w:t>4.7</w:t>
      </w:r>
      <w:r>
        <w:rPr>
          <w:sz w:val="20"/>
          <w:szCs w:val="20"/>
          <w:color w:val="auto"/>
        </w:rPr>
        <w:tab/>
      </w:r>
      <w:r>
        <w:rPr>
          <w:rFonts w:ascii="Arial" w:cs="Arial" w:eastAsia="Arial" w:hAnsi="Arial"/>
          <w:sz w:val="18"/>
          <w:szCs w:val="18"/>
          <w:b w:val="1"/>
          <w:bCs w:val="1"/>
          <w:color w:val="auto"/>
        </w:rPr>
        <w:t>Survival of Certain Sections</w:t>
      </w:r>
      <w:r>
        <w:rPr>
          <w:rFonts w:ascii="Arial" w:cs="Arial" w:eastAsia="Arial" w:hAnsi="Arial"/>
          <w:sz w:val="18"/>
          <w:szCs w:val="18"/>
          <w:color w:val="auto"/>
        </w:rPr>
        <w:t>. Sections 3.4, 3.6 and 4 through 18 of this Agreement will survive the termination of this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32" w:lineRule="exact"/>
        <w:rPr>
          <w:sz w:val="20"/>
          <w:szCs w:val="20"/>
          <w:color w:val="auto"/>
        </w:rPr>
      </w:pPr>
    </w:p>
    <w:p>
      <w:pPr>
        <w:ind w:firstLine="1297"/>
        <w:spacing w:after="0" w:line="267" w:lineRule="auto"/>
        <w:rPr>
          <w:sz w:val="20"/>
          <w:szCs w:val="20"/>
          <w:color w:val="auto"/>
        </w:rPr>
      </w:pPr>
      <w:r>
        <w:rPr>
          <w:rFonts w:ascii="Arial" w:cs="Arial" w:eastAsia="Arial" w:hAnsi="Arial"/>
          <w:sz w:val="21"/>
          <w:szCs w:val="21"/>
          <w:b w:val="1"/>
          <w:bCs w:val="1"/>
          <w:color w:val="010000"/>
        </w:rPr>
        <w:t xml:space="preserve">4.8 </w:t>
      </w:r>
      <w:r>
        <w:rPr>
          <w:rFonts w:ascii="Arial" w:cs="Arial" w:eastAsia="Arial" w:hAnsi="Arial"/>
          <w:sz w:val="18"/>
          <w:szCs w:val="18"/>
          <w:b w:val="1"/>
          <w:bCs w:val="1"/>
          <w:color w:val="000000"/>
        </w:rPr>
        <w:t>Parachute Payment</w:t>
      </w:r>
      <w:r>
        <w:rPr>
          <w:rFonts w:ascii="Arial" w:cs="Arial" w:eastAsia="Arial" w:hAnsi="Arial"/>
          <w:sz w:val="18"/>
          <w:szCs w:val="18"/>
          <w:color w:val="000000"/>
        </w:rPr>
        <w:t>. If any payment or benefit CFO would receive pursuant to this Agreement (“</w:t>
      </w:r>
      <w:r>
        <w:rPr>
          <w:rFonts w:ascii="Arial" w:cs="Arial" w:eastAsia="Arial" w:hAnsi="Arial"/>
          <w:sz w:val="18"/>
          <w:szCs w:val="18"/>
          <w:b w:val="1"/>
          <w:bCs w:val="1"/>
          <w:i w:val="1"/>
          <w:iCs w:val="1"/>
          <w:color w:val="000000"/>
        </w:rPr>
        <w:t>Payment</w:t>
      </w:r>
      <w:r>
        <w:rPr>
          <w:rFonts w:ascii="Arial" w:cs="Arial" w:eastAsia="Arial" w:hAnsi="Arial"/>
          <w:sz w:val="18"/>
          <w:szCs w:val="18"/>
          <w:color w:val="000000"/>
        </w:rPr>
        <w:t>”) would (i)</w:t>
      </w:r>
      <w:r>
        <w:rPr>
          <w:rFonts w:ascii="Arial" w:cs="Arial" w:eastAsia="Arial" w:hAnsi="Arial"/>
          <w:sz w:val="21"/>
          <w:szCs w:val="21"/>
          <w:b w:val="1"/>
          <w:bCs w:val="1"/>
          <w:color w:val="010000"/>
        </w:rPr>
        <w:t xml:space="preserve"> </w:t>
      </w:r>
      <w:r>
        <w:rPr>
          <w:rFonts w:ascii="Arial" w:cs="Arial" w:eastAsia="Arial" w:hAnsi="Arial"/>
          <w:sz w:val="18"/>
          <w:szCs w:val="18"/>
          <w:color w:val="000000"/>
        </w:rPr>
        <w:t>constitute a “</w:t>
      </w:r>
      <w:r>
        <w:rPr>
          <w:rFonts w:ascii="Arial" w:cs="Arial" w:eastAsia="Arial" w:hAnsi="Arial"/>
          <w:sz w:val="18"/>
          <w:szCs w:val="18"/>
          <w:b w:val="1"/>
          <w:bCs w:val="1"/>
          <w:i w:val="1"/>
          <w:iCs w:val="1"/>
          <w:color w:val="000000"/>
        </w:rPr>
        <w:t>Parachute Payment</w:t>
      </w:r>
      <w:r>
        <w:rPr>
          <w:rFonts w:ascii="Arial" w:cs="Arial" w:eastAsia="Arial" w:hAnsi="Arial"/>
          <w:sz w:val="18"/>
          <w:szCs w:val="18"/>
          <w:color w:val="000000"/>
        </w:rPr>
        <w:t>” within the meaning of Section 280G of the Internal Revenue Code of 1986, as amended (the “</w:t>
      </w:r>
      <w:r>
        <w:rPr>
          <w:rFonts w:ascii="Arial" w:cs="Arial" w:eastAsia="Arial" w:hAnsi="Arial"/>
          <w:sz w:val="18"/>
          <w:szCs w:val="18"/>
          <w:b w:val="1"/>
          <w:bCs w:val="1"/>
          <w:i w:val="1"/>
          <w:iCs w:val="1"/>
          <w:color w:val="000000"/>
        </w:rPr>
        <w:t>Code</w:t>
      </w:r>
      <w:r>
        <w:rPr>
          <w:rFonts w:ascii="Arial" w:cs="Arial" w:eastAsia="Arial" w:hAnsi="Arial"/>
          <w:sz w:val="18"/>
          <w:szCs w:val="18"/>
          <w:color w:val="000000"/>
        </w:rPr>
        <w:t>”), and</w:t>
      </w:r>
    </w:p>
    <w:p>
      <w:pPr>
        <w:jc w:val="both"/>
        <w:ind w:firstLine="8"/>
        <w:spacing w:after="0" w:line="304" w:lineRule="auto"/>
        <w:tabs>
          <w:tab w:leader="none" w:pos="31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but for this sentence,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such Payment shall be equal to the Reduced Amount.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shall be either (x) the largest portion of the Payment that would result in no portion of the Payment being subject to the Excise Tax or (y) the largest portion, up to and including the total of the Payment, whichever amount, after taking into account all applicable federal, state and local employment taxes, income taxes, and the Excise Tax (all computed at the highest applicable marginal rate), results in CFO’s receipt, on an after-tax basis, of the greatest economic benefit notwithstanding that all or some portion of the Payment may be subject to the Excise Tax. If a reduction in payments or benefits constituting Parachute Payments is necessary so that the Payment equals the Reduced Amount, reduction shall occur in the manner that results in the greatest economic benefit for CFO. If more than one method of reduction will result in the same economic benefit, the items so reduced will be reduced pro rata.</w:t>
      </w:r>
    </w:p>
    <w:p>
      <w:pPr>
        <w:spacing w:after="0" w:line="15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the event it is subsequently determined by the Internal Revenue Service that some portion of the Reduced Amount (as determined pursuant to clause (x) in the preceding paragraph) is subject to the Excise Tax, CFO agrees to promptly return to the Company a sufficient amount of the Payment so that no portion of the Reduced Amount is subject to the Excise Tax. For the avoidance of doubt, if the Reduced Amount is determined in accordance with clause (y) in the preceding paragraph, CFO will have no obligation to return any portion of the Payment pursuant to the preceding sentence.</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Unless CFO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shall use commercially reasonable efforts such that the accounting, law or consulting firm engaged to make the determinations hereunder shall provide its calculations, together with detailed supporting documentation, to CFO and the Company within 15 calendar days after the date on which CFO’s right to a Payment is triggered (if requested at that time by CFO or the Company) or such other time as requested by CFO or the Company.</w:t>
      </w:r>
    </w:p>
    <w:p>
      <w:pPr>
        <w:spacing w:after="0" w:line="19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21"/>
          <w:szCs w:val="21"/>
          <w:b w:val="1"/>
          <w:bCs w:val="1"/>
          <w:color w:val="010000"/>
        </w:rPr>
        <w:t xml:space="preserve">4.9 </w:t>
      </w:r>
      <w:r>
        <w:rPr>
          <w:rFonts w:ascii="Arial" w:cs="Arial" w:eastAsia="Arial" w:hAnsi="Arial"/>
          <w:sz w:val="18"/>
          <w:szCs w:val="18"/>
          <w:b w:val="1"/>
          <w:bCs w:val="1"/>
          <w:color w:val="000000"/>
        </w:rPr>
        <w:t>Application of Internal Revenue Code Section 409A</w:t>
      </w:r>
      <w:r>
        <w:rPr>
          <w:rFonts w:ascii="Arial" w:cs="Arial" w:eastAsia="Arial" w:hAnsi="Arial"/>
          <w:sz w:val="18"/>
          <w:szCs w:val="18"/>
          <w:color w:val="000000"/>
        </w:rPr>
        <w:t>. Notwithstanding anything to the contrary set forth herein, any</w:t>
      </w:r>
      <w:r>
        <w:rPr>
          <w:rFonts w:ascii="Arial" w:cs="Arial" w:eastAsia="Arial" w:hAnsi="Arial"/>
          <w:sz w:val="21"/>
          <w:szCs w:val="21"/>
          <w:b w:val="1"/>
          <w:bCs w:val="1"/>
          <w:color w:val="010000"/>
        </w:rPr>
        <w:t xml:space="preserve"> </w:t>
      </w:r>
      <w:r>
        <w:rPr>
          <w:rFonts w:ascii="Arial" w:cs="Arial" w:eastAsia="Arial" w:hAnsi="Arial"/>
          <w:sz w:val="18"/>
          <w:szCs w:val="18"/>
          <w:color w:val="000000"/>
        </w:rPr>
        <w:t>payments and benefits provided under this Agreement (the “</w:t>
      </w:r>
      <w:r>
        <w:rPr>
          <w:rFonts w:ascii="Arial" w:cs="Arial" w:eastAsia="Arial" w:hAnsi="Arial"/>
          <w:sz w:val="18"/>
          <w:szCs w:val="18"/>
          <w:b w:val="1"/>
          <w:bCs w:val="1"/>
          <w:i w:val="1"/>
          <w:iCs w:val="1"/>
          <w:color w:val="000000"/>
        </w:rPr>
        <w:t>Severance Benefits</w:t>
      </w:r>
      <w:r>
        <w:rPr>
          <w:rFonts w:ascii="Arial" w:cs="Arial" w:eastAsia="Arial" w:hAnsi="Arial"/>
          <w:sz w:val="18"/>
          <w:szCs w:val="18"/>
          <w:color w:val="000000"/>
        </w:rPr>
        <w:t>”) that constitute “deferred compensation” within the meaning of Section 409A of the Code and the regulations and other guidance thereunder and any state law of similar effect (collectively “</w:t>
      </w:r>
      <w:r>
        <w:rPr>
          <w:rFonts w:ascii="Arial" w:cs="Arial" w:eastAsia="Arial" w:hAnsi="Arial"/>
          <w:sz w:val="18"/>
          <w:szCs w:val="18"/>
          <w:b w:val="1"/>
          <w:bCs w:val="1"/>
          <w:i w:val="1"/>
          <w:iCs w:val="1"/>
          <w:color w:val="000000"/>
        </w:rPr>
        <w:t>Section</w:t>
      </w:r>
      <w:r>
        <w:rPr>
          <w:rFonts w:ascii="Arial" w:cs="Arial" w:eastAsia="Arial" w:hAnsi="Arial"/>
          <w:sz w:val="18"/>
          <w:szCs w:val="18"/>
          <w:color w:val="000000"/>
        </w:rPr>
        <w:t xml:space="preserve"> </w:t>
      </w:r>
      <w:r>
        <w:rPr>
          <w:rFonts w:ascii="Arial" w:cs="Arial" w:eastAsia="Arial" w:hAnsi="Arial"/>
          <w:sz w:val="18"/>
          <w:szCs w:val="18"/>
          <w:b w:val="1"/>
          <w:bCs w:val="1"/>
          <w:i w:val="1"/>
          <w:iCs w:val="1"/>
          <w:color w:val="000000"/>
        </w:rPr>
        <w:t>409A</w:t>
      </w:r>
      <w:r>
        <w:rPr>
          <w:rFonts w:ascii="Arial" w:cs="Arial" w:eastAsia="Arial" w:hAnsi="Arial"/>
          <w:sz w:val="18"/>
          <w:szCs w:val="18"/>
          <w:color w:val="000000"/>
        </w:rPr>
        <w:t>”) shall not commence in connection with CFO’s termination of employment unless and until CFO has also incurred a “separation from</w:t>
      </w:r>
      <w:r>
        <w:rPr>
          <w:rFonts w:ascii="Arial" w:cs="Arial" w:eastAsia="Arial" w:hAnsi="Arial"/>
          <w:sz w:val="18"/>
          <w:szCs w:val="18"/>
          <w:b w:val="1"/>
          <w:bCs w:val="1"/>
          <w:i w:val="1"/>
          <w:iCs w:val="1"/>
          <w:color w:val="000000"/>
        </w:rPr>
        <w:t xml:space="preserve"> </w:t>
      </w:r>
      <w:r>
        <w:rPr>
          <w:rFonts w:ascii="Arial" w:cs="Arial" w:eastAsia="Arial" w:hAnsi="Arial"/>
          <w:sz w:val="18"/>
          <w:szCs w:val="18"/>
          <w:color w:val="000000"/>
        </w:rPr>
        <w:t>service” (as such term is defined in Treasury Regulation Section 1.409A-1(h) (“</w:t>
      </w:r>
      <w:r>
        <w:rPr>
          <w:rFonts w:ascii="Arial" w:cs="Arial" w:eastAsia="Arial" w:hAnsi="Arial"/>
          <w:sz w:val="18"/>
          <w:szCs w:val="18"/>
          <w:b w:val="1"/>
          <w:bCs w:val="1"/>
          <w:i w:val="1"/>
          <w:iCs w:val="1"/>
          <w:color w:val="000000"/>
        </w:rPr>
        <w:t>Separation From Service</w:t>
      </w:r>
      <w:r>
        <w:rPr>
          <w:rFonts w:ascii="Arial" w:cs="Arial" w:eastAsia="Arial" w:hAnsi="Arial"/>
          <w:sz w:val="18"/>
          <w:szCs w:val="18"/>
          <w:color w:val="000000"/>
        </w:rPr>
        <w:t>”), unless the Company reasonably determines that such amounts may be provided to CFO without causing CFO to incur the additional 20% tax under Section 409A.</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It is intended that each installment of the Severance Benefits payments provided for in this Agreement is a separate “payment” for purposes of Treasury Regulation Section 1.409A-2(b)(2)(i). For the avoidance</w:t>
      </w:r>
    </w:p>
    <w:p>
      <w:pPr>
        <w:spacing w:after="0" w:line="200" w:lineRule="exact"/>
        <w:rPr>
          <w:sz w:val="20"/>
          <w:szCs w:val="20"/>
          <w:color w:val="auto"/>
        </w:rPr>
      </w:pPr>
    </w:p>
    <w:p>
      <w:pPr>
        <w:spacing w:after="0" w:line="229"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41" w:name="page142"/>
    <w:bookmarkEnd w:id="141"/>
    <w:p>
      <w:pPr>
        <w:jc w:val="both"/>
        <w:spacing w:after="0" w:line="271" w:lineRule="auto"/>
        <w:rPr>
          <w:sz w:val="20"/>
          <w:szCs w:val="20"/>
          <w:color w:val="auto"/>
        </w:rPr>
      </w:pPr>
      <w:r>
        <w:rPr>
          <w:rFonts w:ascii="Arial" w:cs="Arial" w:eastAsia="Arial" w:hAnsi="Arial"/>
          <w:sz w:val="18"/>
          <w:szCs w:val="18"/>
          <w:color w:val="auto"/>
        </w:rPr>
        <w:t>of doubt, it is intended that payments of the Severance Benefits set forth in this Agreement satisfy, to the greatest extent possible, the exemptions from the application of Section 409A provided under Treasury Regulation Sections 1.409A-1(b)(4), 1.409A-1(b)(5) and 1.409A-1(b)(9). However, if the Company (or, if applicable, the successor entity thereto) determines that the Severance Benefits constitute “deferred compensation” under Section 409A and CFO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CFO’s Separation From Service, or (ii) the date of CFO’s death (such applicable date, the “</w:t>
      </w:r>
      <w:r>
        <w:rPr>
          <w:rFonts w:ascii="Arial" w:cs="Arial" w:eastAsia="Arial" w:hAnsi="Arial"/>
          <w:sz w:val="18"/>
          <w:szCs w:val="18"/>
          <w:b w:val="1"/>
          <w:bCs w:val="1"/>
          <w:i w:val="1"/>
          <w:iCs w:val="1"/>
          <w:color w:val="auto"/>
        </w:rPr>
        <w:t>Specified Employee Initial Payment Date</w:t>
      </w:r>
      <w:r>
        <w:rPr>
          <w:rFonts w:ascii="Arial" w:cs="Arial" w:eastAsia="Arial" w:hAnsi="Arial"/>
          <w:sz w:val="18"/>
          <w:szCs w:val="18"/>
          <w:color w:val="auto"/>
        </w:rPr>
        <w:t>”), the Company (or the successor entity thereto, as applicable) shall (A) pay to CFO a lump sum amount equal to the sum of the Severance Benefit payments that CFO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set forth herein, CFO shall receive the Severance Benefits described above, if and only if CFO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CFO the Severance Benefits CFO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pacing w:after="0" w:line="179" w:lineRule="exact"/>
        <w:rPr>
          <w:sz w:val="20"/>
          <w:szCs w:val="20"/>
          <w:color w:val="auto"/>
        </w:rPr>
      </w:pPr>
    </w:p>
    <w:p>
      <w:pPr>
        <w:ind w:left="980" w:hanging="324"/>
        <w:spacing w:after="0"/>
        <w:tabs>
          <w:tab w:leader="none" w:pos="980" w:val="left"/>
        </w:tabs>
        <w:numPr>
          <w:ilvl w:val="0"/>
          <w:numId w:val="100"/>
        </w:numPr>
        <w:rPr>
          <w:rFonts w:ascii="Arial" w:cs="Arial" w:eastAsia="Arial" w:hAnsi="Arial"/>
          <w:sz w:val="20"/>
          <w:szCs w:val="20"/>
          <w:b w:val="1"/>
          <w:bCs w:val="1"/>
          <w:color w:val="010000"/>
        </w:rPr>
      </w:pPr>
      <w:r>
        <w:rPr>
          <w:rFonts w:ascii="Arial" w:cs="Arial" w:eastAsia="Arial" w:hAnsi="Arial"/>
          <w:sz w:val="20"/>
          <w:szCs w:val="20"/>
          <w:b w:val="1"/>
          <w:bCs w:val="1"/>
          <w:color w:val="auto"/>
        </w:rPr>
        <w:t>CONFIDENTIAL AND PROPRIETARY INFORMATION</w:t>
      </w:r>
      <w:r>
        <w:rPr>
          <w:rFonts w:ascii="Arial" w:cs="Arial" w:eastAsia="Arial" w:hAnsi="Arial"/>
          <w:sz w:val="20"/>
          <w:szCs w:val="20"/>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CFO has already executed, as a condition of CFO’s employment with the Company, the Company’s standard form of Proprietary Information and Inventions Agreement (the “</w:t>
      </w:r>
      <w:r>
        <w:rPr>
          <w:rFonts w:ascii="Arial" w:cs="Arial" w:eastAsia="Arial" w:hAnsi="Arial"/>
          <w:sz w:val="20"/>
          <w:szCs w:val="20"/>
          <w:b w:val="1"/>
          <w:bCs w:val="1"/>
          <w:i w:val="1"/>
          <w:iCs w:val="1"/>
          <w:color w:val="auto"/>
        </w:rPr>
        <w:t>PIIA</w:t>
      </w:r>
      <w:r>
        <w:rPr>
          <w:rFonts w:ascii="Arial" w:cs="Arial" w:eastAsia="Arial" w:hAnsi="Arial"/>
          <w:sz w:val="20"/>
          <w:szCs w:val="20"/>
          <w:color w:val="auto"/>
        </w:rPr>
        <w:t>”). The PIIA remains in full force and effect.</w:t>
      </w:r>
    </w:p>
    <w:p>
      <w:pPr>
        <w:spacing w:after="0" w:line="171" w:lineRule="exact"/>
        <w:rPr>
          <w:sz w:val="20"/>
          <w:szCs w:val="20"/>
          <w:color w:val="auto"/>
        </w:rPr>
      </w:pPr>
    </w:p>
    <w:p>
      <w:pPr>
        <w:ind w:left="980" w:hanging="324"/>
        <w:spacing w:after="0"/>
        <w:tabs>
          <w:tab w:leader="none" w:pos="980" w:val="left"/>
        </w:tabs>
        <w:numPr>
          <w:ilvl w:val="0"/>
          <w:numId w:val="101"/>
        </w:numPr>
        <w:rPr>
          <w:rFonts w:ascii="Arial" w:cs="Arial" w:eastAsia="Arial" w:hAnsi="Arial"/>
          <w:sz w:val="20"/>
          <w:szCs w:val="20"/>
          <w:b w:val="1"/>
          <w:bCs w:val="1"/>
          <w:color w:val="010000"/>
        </w:rPr>
      </w:pPr>
      <w:r>
        <w:rPr>
          <w:rFonts w:ascii="Arial" w:cs="Arial" w:eastAsia="Arial" w:hAnsi="Arial"/>
          <w:sz w:val="20"/>
          <w:szCs w:val="20"/>
          <w:color w:val="auto"/>
        </w:rPr>
        <w:t>A</w:t>
      </w:r>
      <w:r>
        <w:rPr>
          <w:rFonts w:ascii="Arial" w:cs="Arial" w:eastAsia="Arial" w:hAnsi="Arial"/>
          <w:sz w:val="20"/>
          <w:szCs w:val="20"/>
          <w:b w:val="1"/>
          <w:bCs w:val="1"/>
          <w:color w:val="auto"/>
        </w:rPr>
        <w:t>SSIGNMENT AND BINDING EFFECT.</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This Agreement shall be binding upon and inure to the benefit of CFO and CFO’s heirs, executors, personal representatives, assigns, administrators and legal representatives. Because of the unique and personal nature of CFO’s duties under this Agreement, neither this Agreement nor any rights or obligations under this Agreement shall be assignable by CFO.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173" w:lineRule="exact"/>
        <w:rPr>
          <w:sz w:val="20"/>
          <w:szCs w:val="20"/>
          <w:color w:val="auto"/>
        </w:rPr>
      </w:pPr>
    </w:p>
    <w:p>
      <w:pPr>
        <w:ind w:left="980" w:hanging="324"/>
        <w:spacing w:after="0"/>
        <w:tabs>
          <w:tab w:leader="none" w:pos="980" w:val="left"/>
        </w:tabs>
        <w:numPr>
          <w:ilvl w:val="0"/>
          <w:numId w:val="102"/>
        </w:numPr>
        <w:rPr>
          <w:rFonts w:ascii="Arial" w:cs="Arial" w:eastAsia="Arial" w:hAnsi="Arial"/>
          <w:sz w:val="20"/>
          <w:szCs w:val="20"/>
          <w:b w:val="1"/>
          <w:bCs w:val="1"/>
          <w:color w:val="010000"/>
        </w:rPr>
      </w:pPr>
      <w:r>
        <w:rPr>
          <w:rFonts w:ascii="Arial" w:cs="Arial" w:eastAsia="Arial" w:hAnsi="Arial"/>
          <w:sz w:val="20"/>
          <w:szCs w:val="20"/>
          <w:b w:val="1"/>
          <w:bCs w:val="1"/>
          <w:color w:val="auto"/>
        </w:rPr>
        <w:t>NOTICES</w:t>
      </w:r>
      <w:r>
        <w:rPr>
          <w:rFonts w:ascii="Arial" w:cs="Arial" w:eastAsia="Arial" w:hAnsi="Arial"/>
          <w:sz w:val="20"/>
          <w:szCs w:val="20"/>
          <w:color w:val="auto"/>
        </w:rPr>
        <w:t>.</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All notices or demands of any kind required or permitted to be given by the Company or CFO under this Agreement shall be given in writing and shall be personally delivered (and receipted for) or faxed during</w:t>
      </w:r>
    </w:p>
    <w:p>
      <w:pPr>
        <w:spacing w:after="0" w:line="200" w:lineRule="exact"/>
        <w:rPr>
          <w:sz w:val="20"/>
          <w:szCs w:val="20"/>
          <w:color w:val="auto"/>
        </w:rPr>
      </w:pPr>
    </w:p>
    <w:p>
      <w:pPr>
        <w:spacing w:after="0" w:line="229"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color w:val="auto"/>
        </w:rPr>
        <w:t>normal business hours or mailed by certified mail, return receipt requested, postage prepaid, addressed as follows: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If to the Company:</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10421 Pacific Center Court, Suite 200</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San Diego, CA 92121</w:t>
      </w:r>
    </w:p>
    <w:p>
      <w:pPr>
        <w:ind w:left="660"/>
        <w:spacing w:after="0"/>
        <w:rPr>
          <w:sz w:val="20"/>
          <w:szCs w:val="20"/>
          <w:color w:val="auto"/>
        </w:rPr>
      </w:pPr>
      <w:r>
        <w:rPr>
          <w:rFonts w:ascii="Arial" w:cs="Arial" w:eastAsia="Arial" w:hAnsi="Arial"/>
          <w:sz w:val="20"/>
          <w:szCs w:val="20"/>
          <w:color w:val="auto"/>
        </w:rPr>
        <w:t>Attention: Chief Executive Officer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If to CFO:</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502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a:extLst>
                        <a:ext uri="{28A0092B-C50C-407E-A947-70E740481C1C}"/>
                      </a:extLst>
                    </a:blip>
                    <a:srcRect/>
                    <a:stretch>
                      <a:fillRect/>
                    </a:stretch>
                  </pic:blipFill>
                  <pic:spPr bwMode="auto">
                    <a:xfrm>
                      <a:off x="0" y="0"/>
                      <a:ext cx="50292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276225</wp:posOffset>
            </wp:positionV>
            <wp:extent cx="502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9">
                      <a:extLst>
                        <a:ext uri="{28A0092B-C50C-407E-A947-70E740481C1C}"/>
                      </a:extLst>
                    </a:blip>
                    <a:srcRect/>
                    <a:stretch>
                      <a:fillRect/>
                    </a:stretch>
                  </pic:blipFill>
                  <pic:spPr bwMode="auto">
                    <a:xfrm>
                      <a:off x="0" y="0"/>
                      <a:ext cx="50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180"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20"/>
          <w:szCs w:val="20"/>
          <w:b w:val="1"/>
          <w:bCs w:val="1"/>
          <w:color w:val="010000"/>
        </w:rPr>
      </w:pPr>
      <w:r>
        <w:rPr>
          <w:rFonts w:ascii="Arial" w:cs="Arial" w:eastAsia="Arial" w:hAnsi="Arial"/>
          <w:sz w:val="20"/>
          <w:szCs w:val="20"/>
          <w:b w:val="1"/>
          <w:bCs w:val="1"/>
          <w:color w:val="auto"/>
        </w:rPr>
        <w:t>CHOICE OF LAW.</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shall be construed and interpreted in accordance with the internal laws of the State of California without regard to its conflict of laws principles.</w:t>
      </w:r>
    </w:p>
    <w:p>
      <w:pPr>
        <w:spacing w:after="0" w:line="171" w:lineRule="exact"/>
        <w:rPr>
          <w:sz w:val="20"/>
          <w:szCs w:val="20"/>
          <w:color w:val="auto"/>
        </w:rPr>
      </w:pPr>
    </w:p>
    <w:p>
      <w:pPr>
        <w:ind w:left="980" w:hanging="324"/>
        <w:spacing w:after="0"/>
        <w:tabs>
          <w:tab w:leader="none" w:pos="980" w:val="left"/>
        </w:tabs>
        <w:numPr>
          <w:ilvl w:val="0"/>
          <w:numId w:val="104"/>
        </w:numPr>
        <w:rPr>
          <w:rFonts w:ascii="Arial" w:cs="Arial" w:eastAsia="Arial" w:hAnsi="Arial"/>
          <w:sz w:val="20"/>
          <w:szCs w:val="20"/>
          <w:b w:val="1"/>
          <w:bCs w:val="1"/>
          <w:color w:val="010000"/>
        </w:rPr>
      </w:pPr>
      <w:r>
        <w:rPr>
          <w:rFonts w:ascii="Arial" w:cs="Arial" w:eastAsia="Arial" w:hAnsi="Arial"/>
          <w:sz w:val="20"/>
          <w:szCs w:val="20"/>
          <w:b w:val="1"/>
          <w:bCs w:val="1"/>
          <w:color w:val="auto"/>
        </w:rPr>
        <w:t>INTEGRATION.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Agreement, including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and the PIIA, contains the complete, final and exclusive agreement of the Parties relating to the terms and conditions of CFO’s employment and the termination of CFO’s employment, and supersedes any and all prior and/or contemporaneous oral and written employment agreements or arrangements between the Parties.</w:t>
      </w:r>
    </w:p>
    <w:p>
      <w:pPr>
        <w:spacing w:after="0" w:line="178"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20"/>
          <w:szCs w:val="20"/>
          <w:b w:val="1"/>
          <w:bCs w:val="1"/>
          <w:color w:val="010000"/>
        </w:rPr>
      </w:pPr>
      <w:r>
        <w:rPr>
          <w:rFonts w:ascii="Arial" w:cs="Arial" w:eastAsia="Arial" w:hAnsi="Arial"/>
          <w:sz w:val="20"/>
          <w:szCs w:val="20"/>
          <w:b w:val="1"/>
          <w:bCs w:val="1"/>
          <w:color w:val="auto"/>
        </w:rPr>
        <w:t>AMENDMENT.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Agreement cannot be amended or modified except by a written agreement signed by CFO and the Company.</w:t>
      </w:r>
    </w:p>
    <w:p>
      <w:pPr>
        <w:spacing w:after="0" w:line="210"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20"/>
          <w:szCs w:val="20"/>
          <w:b w:val="1"/>
          <w:bCs w:val="1"/>
          <w:color w:val="010000"/>
        </w:rPr>
      </w:pPr>
      <w:r>
        <w:rPr>
          <w:rFonts w:ascii="Arial" w:cs="Arial" w:eastAsia="Arial" w:hAnsi="Arial"/>
          <w:sz w:val="20"/>
          <w:szCs w:val="20"/>
          <w:b w:val="1"/>
          <w:bCs w:val="1"/>
          <w:color w:val="auto"/>
        </w:rPr>
        <w:t>WAIVER.</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164" w:lineRule="exact"/>
        <w:rPr>
          <w:sz w:val="20"/>
          <w:szCs w:val="20"/>
          <w:color w:val="auto"/>
        </w:rPr>
      </w:pPr>
    </w:p>
    <w:p>
      <w:pPr>
        <w:ind w:left="1080" w:hanging="424"/>
        <w:spacing w:after="0"/>
        <w:tabs>
          <w:tab w:leader="none" w:pos="1080" w:val="left"/>
        </w:tabs>
        <w:numPr>
          <w:ilvl w:val="0"/>
          <w:numId w:val="107"/>
        </w:numPr>
        <w:rPr>
          <w:rFonts w:ascii="Arial" w:cs="Arial" w:eastAsia="Arial" w:hAnsi="Arial"/>
          <w:sz w:val="20"/>
          <w:szCs w:val="20"/>
          <w:b w:val="1"/>
          <w:bCs w:val="1"/>
          <w:color w:val="010000"/>
        </w:rPr>
      </w:pPr>
      <w:r>
        <w:rPr>
          <w:rFonts w:ascii="Arial" w:cs="Arial" w:eastAsia="Arial" w:hAnsi="Arial"/>
          <w:sz w:val="20"/>
          <w:szCs w:val="20"/>
          <w:b w:val="1"/>
          <w:bCs w:val="1"/>
          <w:color w:val="auto"/>
        </w:rPr>
        <w:t>SEVERABILITY.</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200" w:lineRule="exact"/>
        <w:rPr>
          <w:sz w:val="20"/>
          <w:szCs w:val="20"/>
          <w:color w:val="auto"/>
        </w:rPr>
      </w:pPr>
    </w:p>
    <w:p>
      <w:pPr>
        <w:spacing w:after="0" w:line="244"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2" w:right="239" w:bottom="1440" w:gutter="0" w:footer="0" w:header="0"/>
        </w:sectPr>
      </w:pPr>
    </w:p>
    <w:bookmarkStart w:id="143" w:name="page144"/>
    <w:bookmarkEnd w:id="143"/>
    <w:p>
      <w:pPr>
        <w:ind w:left="1080" w:hanging="424"/>
        <w:spacing w:after="0"/>
        <w:tabs>
          <w:tab w:leader="none" w:pos="1080" w:val="left"/>
        </w:tabs>
        <w:numPr>
          <w:ilvl w:val="0"/>
          <w:numId w:val="108"/>
        </w:numPr>
        <w:rPr>
          <w:rFonts w:ascii="Arial" w:cs="Arial" w:eastAsia="Arial" w:hAnsi="Arial"/>
          <w:sz w:val="20"/>
          <w:szCs w:val="20"/>
          <w:b w:val="1"/>
          <w:bCs w:val="1"/>
          <w:color w:val="010000"/>
        </w:rPr>
      </w:pPr>
      <w:r>
        <w:rPr>
          <w:rFonts w:ascii="Arial" w:cs="Arial" w:eastAsia="Arial" w:hAnsi="Arial"/>
          <w:sz w:val="20"/>
          <w:szCs w:val="20"/>
          <w:b w:val="1"/>
          <w:bCs w:val="1"/>
          <w:color w:val="auto"/>
        </w:rPr>
        <w:t>INTERPRETATION; CONSTRUCTION.</w:t>
      </w:r>
    </w:p>
    <w:p>
      <w:pPr>
        <w:spacing w:after="0" w:line="22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headings set forth in this Agreement are for convenience of reference only and shall not be used in interpreting this Agreement. This Agreement has been drafted by legal counsel representing the Company, but CFO has been encouraged to consult with, and has consulted with, CFO’s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159"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20"/>
          <w:szCs w:val="20"/>
          <w:b w:val="1"/>
          <w:bCs w:val="1"/>
          <w:color w:val="010000"/>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CFO represents and warrants that CFO is not restricted or prohibited, contractually or otherwise, from entering into and performing each of the terms and covenants contained in this Agreement, and that CFO’s execution and performance of this Agreement will not violate or breach any other agreements between CFO and any other person or entity.</w:t>
      </w:r>
    </w:p>
    <w:p>
      <w:pPr>
        <w:spacing w:after="0" w:line="180"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20"/>
          <w:szCs w:val="20"/>
          <w:b w:val="1"/>
          <w:bCs w:val="1"/>
          <w:color w:val="010000"/>
        </w:rPr>
      </w:pPr>
      <w:r>
        <w:rPr>
          <w:rFonts w:ascii="Arial" w:cs="Arial" w:eastAsia="Arial" w:hAnsi="Arial"/>
          <w:sz w:val="20"/>
          <w:szCs w:val="20"/>
          <w:b w:val="1"/>
          <w:bCs w:val="1"/>
          <w:color w:val="auto"/>
        </w:rPr>
        <w:t>COUNTERPARTS.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may be executed in two counterparts, each of which shall be deemed an original, all of which together shall contribute one and the same instrument.</w:t>
      </w:r>
    </w:p>
    <w:p>
      <w:pPr>
        <w:spacing w:after="0" w:line="171"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20"/>
          <w:szCs w:val="20"/>
          <w:b w:val="1"/>
          <w:bCs w:val="1"/>
          <w:color w:val="010000"/>
        </w:rPr>
      </w:pPr>
      <w:r>
        <w:rPr>
          <w:rFonts w:ascii="Arial" w:cs="Arial" w:eastAsia="Arial" w:hAnsi="Arial"/>
          <w:sz w:val="20"/>
          <w:szCs w:val="20"/>
          <w:b w:val="1"/>
          <w:bCs w:val="1"/>
          <w:color w:val="auto"/>
        </w:rPr>
        <w:t>ARBITRATION.</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To ensure the rapid and economical resolution of disputes that may arise in connection with CFO’s employment with the Company, CFO and the Company agree that any and all disputes, claims, or causes of action, in law or equity, arising from or relating to CFO’s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CFO and the Company hereby waive any right to a jury trial. Both CFO and the Company shall be entitled to all rights and remedies that either CFO or the Company would be entitled to pursue in a court of law. The Company shall pay any JAMS filing fee and shall pay the arbitrator’s fee. Nothing in this Agreement is intended to prevent either CFO or the Company from obtaining injunctive relief in court to prevent irreparable harm pending the conclusion of any such arbitration. Notwithstanding the foregoing, CFO and the Company each have the right to resolve any issue or dispute involving confidential, proprietary or trade secret information, or intellectual property rights, by Court action instead of arbitration.</w:t>
      </w:r>
    </w:p>
    <w:p>
      <w:pPr>
        <w:spacing w:after="0" w:line="168"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20"/>
          <w:szCs w:val="20"/>
          <w:b w:val="1"/>
          <w:bCs w:val="1"/>
          <w:color w:val="010000"/>
        </w:rPr>
      </w:pPr>
      <w:r>
        <w:rPr>
          <w:rFonts w:ascii="Arial" w:cs="Arial" w:eastAsia="Arial" w:hAnsi="Arial"/>
          <w:sz w:val="20"/>
          <w:szCs w:val="20"/>
          <w:b w:val="1"/>
          <w:bCs w:val="1"/>
          <w:color w:val="auto"/>
        </w:rPr>
        <w:t>TRADE SECRETS OF OTHERS.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It is the understanding of both the Company and CFO that CFO shall not divulge to the Company and/or its subsidiaries any confidential information or trade secrets belonging to others, including CFO’s former employers, nor shall the Company and/or its Affiliates seek to elicit from CFO any such information. Consistent with the foregoing, CFO shall not provide to the Company and/or its Affiliates, and the Company and/or its Affiliates shall not request, any documents or copies of documents containing such information.</w:t>
      </w:r>
    </w:p>
    <w:p>
      <w:pPr>
        <w:spacing w:after="0" w:line="200" w:lineRule="exact"/>
        <w:rPr>
          <w:sz w:val="20"/>
          <w:szCs w:val="20"/>
          <w:color w:val="auto"/>
        </w:rPr>
      </w:pPr>
    </w:p>
    <w:p>
      <w:pPr>
        <w:spacing w:after="0" w:line="229"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16" w:right="239" w:bottom="1440" w:gutter="0" w:footer="0" w:header="0"/>
        </w:sectPr>
      </w:pPr>
    </w:p>
    <w:bookmarkStart w:id="144" w:name="page145"/>
    <w:bookmarkEnd w:id="144"/>
    <w:p>
      <w:pPr>
        <w:ind w:left="1080" w:hanging="424"/>
        <w:spacing w:after="0"/>
        <w:tabs>
          <w:tab w:leader="none" w:pos="1080" w:val="left"/>
        </w:tabs>
        <w:numPr>
          <w:ilvl w:val="0"/>
          <w:numId w:val="113"/>
        </w:numPr>
        <w:rPr>
          <w:rFonts w:ascii="Arial" w:cs="Arial" w:eastAsia="Arial" w:hAnsi="Arial"/>
          <w:sz w:val="20"/>
          <w:szCs w:val="20"/>
          <w:b w:val="1"/>
          <w:bCs w:val="1"/>
          <w:color w:val="010000"/>
        </w:rPr>
      </w:pPr>
      <w:r>
        <w:rPr>
          <w:rFonts w:ascii="Arial" w:cs="Arial" w:eastAsia="Arial" w:hAnsi="Arial"/>
          <w:sz w:val="20"/>
          <w:szCs w:val="20"/>
          <w:b w:val="1"/>
          <w:bCs w:val="1"/>
          <w:color w:val="auto"/>
        </w:rPr>
        <w:t>ADVERTISING WAIVER</w:t>
      </w:r>
      <w:r>
        <w:rPr>
          <w:rFonts w:ascii="Arial" w:cs="Arial" w:eastAsia="Arial" w:hAnsi="Arial"/>
          <w:sz w:val="20"/>
          <w:szCs w:val="20"/>
          <w:color w:val="auto"/>
        </w:rPr>
        <w:t>.</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CFO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CFO’s name and/or pictures of CFO taken in the course of CFO’s provision of services to the Company appear. CFO hereby waives and releases any claim or right CFO may otherwise have arising out of such use, publication or distribution.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81"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16" w:right="239" w:bottom="1440" w:gutter="0" w:footer="0" w:header="0"/>
        </w:sectPr>
      </w:pPr>
    </w:p>
    <w:bookmarkStart w:id="145" w:name="page146"/>
    <w:bookmarkEnd w:id="145"/>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the Agreement as of the date below.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ANAPTYSBIO, INC</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9601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20"/>
          <w:szCs w:val="20"/>
          <w:color w:val="auto"/>
        </w:rPr>
        <w:t>Its:</w:t>
      </w:r>
      <w:r>
        <w:rPr>
          <w:sz w:val="20"/>
          <w:szCs w:val="20"/>
          <w:color w:val="auto"/>
        </w:rPr>
        <w:tab/>
      </w:r>
      <w:r>
        <w:rPr>
          <w:rFonts w:ascii="Arial" w:cs="Arial" w:eastAsia="Arial" w:hAnsi="Arial"/>
          <w:sz w:val="18"/>
          <w:szCs w:val="18"/>
          <w:color w:val="auto"/>
        </w:rPr>
        <w:t>President &amp; CEO</w:t>
      </w:r>
    </w:p>
    <w:p>
      <w:pPr>
        <w:spacing w:after="0"/>
        <w:tabs>
          <w:tab w:leader="none" w:pos="7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8"/>
          <w:szCs w:val="18"/>
          <w:color w:val="auto"/>
        </w:rPr>
        <w:t>March 1, 2018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CFO: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185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12185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DOMINIC PISCITELLI</w:t>
      </w:r>
    </w:p>
    <w:p>
      <w:pPr>
        <w:spacing w:after="0" w:line="200"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Dated:</w:t>
      </w:r>
      <w:r>
        <w:rPr>
          <w:sz w:val="20"/>
          <w:szCs w:val="20"/>
          <w:color w:val="auto"/>
        </w:rPr>
        <w:tab/>
      </w:r>
      <w:r>
        <w:rPr>
          <w:rFonts w:ascii="Arial" w:cs="Arial" w:eastAsia="Arial" w:hAnsi="Arial"/>
          <w:sz w:val="18"/>
          <w:szCs w:val="18"/>
          <w:color w:val="auto"/>
        </w:rPr>
        <w:t>March 1, 2018</w:t>
      </w:r>
    </w:p>
    <w:p>
      <w:pPr>
        <w:spacing w:after="0" w:line="200" w:lineRule="exact"/>
        <w:rPr>
          <w:sz w:val="20"/>
          <w:szCs w:val="20"/>
          <w:color w:val="auto"/>
        </w:rPr>
      </w:pPr>
    </w:p>
    <w:p>
      <w:pPr>
        <w:spacing w:after="0" w:line="232"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[SIGNATURE PAGE TO EMPLOYMENT AGREEMENT]</w:t>
      </w:r>
    </w:p>
    <w:p>
      <w:pPr>
        <w:spacing w:after="0" w:line="200" w:lineRule="exact"/>
        <w:rPr>
          <w:sz w:val="20"/>
          <w:szCs w:val="20"/>
          <w:color w:val="auto"/>
        </w:rPr>
      </w:pPr>
    </w:p>
    <w:p>
      <w:pPr>
        <w:spacing w:after="0" w:line="281" w:lineRule="exact"/>
        <w:rPr>
          <w:sz w:val="20"/>
          <w:szCs w:val="20"/>
          <w:color w:val="auto"/>
        </w:rPr>
      </w:pPr>
    </w:p>
    <w:p>
      <w:pPr>
        <w:jc w:val="right"/>
        <w:ind w:right="13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219"/>
          </w:cols>
          <w:pgMar w:left="240" w:top="616" w:right="1440"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 AND WAIVER OF CLAIMS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BE SIGNED ON OR FOLLOWING THE SEPARATION DATE ONLY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In consideration of the payments and other benefits set forth in the Employment Agreement effective January 26, 2018, to which this form is attached, I, Dominic Piscitelli, hereby furnish </w:t>
      </w:r>
      <w:r>
        <w:rPr>
          <w:rFonts w:ascii="Arial" w:cs="Arial" w:eastAsia="Arial" w:hAnsi="Arial"/>
          <w:sz w:val="20"/>
          <w:szCs w:val="20"/>
          <w:b w:val="1"/>
          <w:bCs w:val="1"/>
          <w:color w:val="auto"/>
        </w:rPr>
        <w:t>ANAPTYSBIO, INC.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with the following release and waiver (“</w:t>
      </w:r>
      <w:r>
        <w:rPr>
          <w:rFonts w:ascii="Arial" w:cs="Arial" w:eastAsia="Arial" w:hAnsi="Arial"/>
          <w:sz w:val="20"/>
          <w:szCs w:val="20"/>
          <w:b w:val="1"/>
          <w:bCs w:val="1"/>
          <w:i w:val="1"/>
          <w:iCs w:val="1"/>
          <w:color w:val="auto"/>
        </w:rPr>
        <w:t>Release and Waiver</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In exchange for the consideration provided to me by the Employment Agreement that I am not otherwise entitled to receive, I hereby generally and completely release the Company and its current and former directors, officers, employees, stockholders, partners, agents, attorneys, predecessors, successors, parent and subsidiary entities, insurers, affiliates, and assigns (collectively, the “</w:t>
      </w:r>
      <w:r>
        <w:rPr>
          <w:rFonts w:ascii="Arial" w:cs="Arial" w:eastAsia="Arial" w:hAnsi="Arial"/>
          <w:sz w:val="18"/>
          <w:szCs w:val="18"/>
          <w:b w:val="1"/>
          <w:bCs w:val="1"/>
          <w:i w:val="1"/>
          <w:iCs w:val="1"/>
          <w:color w:val="auto"/>
        </w:rPr>
        <w:t>Released Parties</w:t>
      </w:r>
      <w:r>
        <w:rPr>
          <w:rFonts w:ascii="Arial" w:cs="Arial" w:eastAsia="Arial" w:hAnsi="Arial"/>
          <w:sz w:val="18"/>
          <w:szCs w:val="18"/>
          <w:color w:val="auto"/>
        </w:rPr>
        <w:t>”) from any and all claims, liabilities and obligations, both known and unknown, that arise out of or are in any way related to events, acts, conduct, or omissions occurring prior to or on the date that I sign this Agreement (collectively, the “</w:t>
      </w:r>
      <w:r>
        <w:rPr>
          <w:rFonts w:ascii="Arial" w:cs="Arial" w:eastAsia="Arial" w:hAnsi="Arial"/>
          <w:sz w:val="18"/>
          <w:szCs w:val="18"/>
          <w:b w:val="1"/>
          <w:bCs w:val="1"/>
          <w:i w:val="1"/>
          <w:iCs w:val="1"/>
          <w:color w:val="auto"/>
        </w:rPr>
        <w:t>Released Claims</w:t>
      </w:r>
      <w:r>
        <w:rPr>
          <w:rFonts w:ascii="Arial" w:cs="Arial" w:eastAsia="Arial" w:hAnsi="Arial"/>
          <w:sz w:val="18"/>
          <w:szCs w:val="18"/>
          <w:color w:val="auto"/>
        </w:rPr>
        <w:t>”). The Released Claims include, but are not limited to: (a) all claims arising out of or in any way related to my employment with the Company, or the termination of that employment; (b) all claims related to my compensation or benefits from the Company including salary, bonuses, commissions,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misclassification, attorneys’ fees, or other claims arising under the federal Civil Rights Act of 1964 (as amended), the federal Americans with Disabilities Act of 1990, the federal Age Discrimination in Employment Act of 1967 (as amended) (the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California Labor Code, and the California Fair Employment and Housing Act (as amended). Notwithstanding the foregoing, the following are not included in the Released Claims (the “</w:t>
      </w:r>
      <w:r>
        <w:rPr>
          <w:rFonts w:ascii="Arial" w:cs="Arial" w:eastAsia="Arial" w:hAnsi="Arial"/>
          <w:sz w:val="18"/>
          <w:szCs w:val="18"/>
          <w:b w:val="1"/>
          <w:bCs w:val="1"/>
          <w:i w:val="1"/>
          <w:iCs w:val="1"/>
          <w:color w:val="auto"/>
        </w:rPr>
        <w:t>Excluded Claims</w:t>
      </w:r>
      <w:r>
        <w:rPr>
          <w:rFonts w:ascii="Arial" w:cs="Arial" w:eastAsia="Arial" w:hAnsi="Arial"/>
          <w:sz w:val="18"/>
          <w:szCs w:val="18"/>
          <w:color w:val="auto"/>
        </w:rPr>
        <w:t>”): (a) any rights or claims for indemnification I may have pursuant to the charter or bylaws of the Company or under applicable law; (b) any rights or claims to unemployment compensation, funds accrued in my 401k account, or any vested equity incentives; (c) any rights that are not waivable as a matter of law; or (d) any claims arising from the breach of this Agreement. I hereby represent and warrant that, other than the Excluded Claims, I am not aware of any claims I have or might have against any of the Released Parties that are not included in the Released Claims.</w:t>
      </w:r>
    </w:p>
    <w:p>
      <w:pPr>
        <w:spacing w:after="0" w:line="16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 also acknowledge that I have read and understand Section 1542 of the California Civil Code which reads as follows: “</w:t>
      </w:r>
      <w:r>
        <w:rPr>
          <w:rFonts w:ascii="Arial" w:cs="Arial" w:eastAsia="Arial" w:hAnsi="Arial"/>
          <w:sz w:val="20"/>
          <w:szCs w:val="20"/>
          <w:b w:val="1"/>
          <w:bCs w:val="1"/>
          <w:color w:val="auto"/>
        </w:rPr>
        <w:t>A general</w:t>
      </w:r>
      <w:r>
        <w:rPr>
          <w:rFonts w:ascii="Arial" w:cs="Arial" w:eastAsia="Arial" w:hAnsi="Arial"/>
          <w:sz w:val="20"/>
          <w:szCs w:val="20"/>
          <w:color w:val="auto"/>
        </w:rPr>
        <w:t xml:space="preserve"> </w:t>
      </w:r>
      <w:r>
        <w:rPr>
          <w:rFonts w:ascii="Arial" w:cs="Arial" w:eastAsia="Arial" w:hAnsi="Arial"/>
          <w:sz w:val="20"/>
          <w:szCs w:val="20"/>
          <w:b w:val="1"/>
          <w:bCs w:val="1"/>
          <w:color w:val="auto"/>
        </w:rPr>
        <w:t>release does not 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20"/>
          <w:szCs w:val="20"/>
          <w:color w:val="auto"/>
        </w:rPr>
        <w:t>.” I hereby expressly waive and</w:t>
      </w:r>
      <w:r>
        <w:rPr>
          <w:rFonts w:ascii="Arial" w:cs="Arial" w:eastAsia="Arial" w:hAnsi="Arial"/>
          <w:sz w:val="20"/>
          <w:szCs w:val="20"/>
          <w:b w:val="1"/>
          <w:bCs w:val="1"/>
          <w:color w:val="auto"/>
        </w:rPr>
        <w:t xml:space="preserve"> </w:t>
      </w:r>
      <w:r>
        <w:rPr>
          <w:rFonts w:ascii="Arial" w:cs="Arial" w:eastAsia="Arial" w:hAnsi="Arial"/>
          <w:sz w:val="20"/>
          <w:szCs w:val="20"/>
          <w:color w:val="auto"/>
        </w:rPr>
        <w:t>relinquish all rights and benefits under that Section and any law of any jurisdiction, including New York, of similar effect with respect to any claims I may have against the Company.</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w:t>
      </w:r>
    </w:p>
    <w:p>
      <w:pPr>
        <w:spacing w:after="0" w:line="200" w:lineRule="exact"/>
        <w:rPr>
          <w:sz w:val="20"/>
          <w:szCs w:val="20"/>
          <w:color w:val="auto"/>
        </w:rPr>
      </w:pPr>
    </w:p>
    <w:p>
      <w:pPr>
        <w:spacing w:after="0" w:line="248"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832" w:right="239" w:bottom="1440" w:gutter="0" w:footer="0" w:header="0"/>
        </w:sectPr>
      </w:pPr>
    </w:p>
    <w:bookmarkStart w:id="147" w:name="page148"/>
    <w:bookmarkEnd w:id="147"/>
    <w:p>
      <w:pPr>
        <w:jc w:val="both"/>
        <w:spacing w:after="0" w:line="282" w:lineRule="auto"/>
        <w:rPr>
          <w:sz w:val="20"/>
          <w:szCs w:val="20"/>
          <w:color w:val="auto"/>
        </w:rPr>
      </w:pPr>
      <w:r>
        <w:rPr>
          <w:rFonts w:ascii="Arial" w:cs="Arial" w:eastAsia="Arial" w:hAnsi="Arial"/>
          <w:sz w:val="18"/>
          <w:szCs w:val="18"/>
          <w:color w:val="auto"/>
        </w:rPr>
        <w:t>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368"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125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-14605</wp:posOffset>
            </wp:positionV>
            <wp:extent cx="125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jc w:val="center"/>
        <w:ind w:left="280"/>
        <w:spacing w:after="0"/>
        <w:rPr>
          <w:sz w:val="20"/>
          <w:szCs w:val="20"/>
          <w:color w:val="auto"/>
        </w:rPr>
      </w:pPr>
      <w:r>
        <w:rPr>
          <w:rFonts w:ascii="Arial" w:cs="Arial" w:eastAsia="Arial" w:hAnsi="Arial"/>
          <w:sz w:val="20"/>
          <w:szCs w:val="20"/>
          <w:color w:val="auto"/>
        </w:rPr>
        <w:t>DOMINIC PISCITELLI</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6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2"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40" w:type="dxa"/>
            <w:vAlign w:val="bottom"/>
            <w:gridSpan w:val="2"/>
          </w:tcPr>
          <w:p>
            <w:pPr>
              <w:ind w:left="1280"/>
              <w:spacing w:after="0"/>
              <w:rPr>
                <w:sz w:val="20"/>
                <w:szCs w:val="20"/>
                <w:color w:val="auto"/>
              </w:rPr>
            </w:pPr>
            <w:r>
              <w:rPr>
                <w:rFonts w:ascii="Arial" w:cs="Arial" w:eastAsia="Arial" w:hAnsi="Arial"/>
                <w:sz w:val="18"/>
                <w:szCs w:val="18"/>
                <w:b w:val="1"/>
                <w:bCs w:val="1"/>
                <w:color w:val="auto"/>
              </w:rPr>
              <w:t>SUBSIDIARIES OF THE REGISTRANT</w:t>
            </w:r>
          </w:p>
        </w:tc>
      </w:tr>
      <w:tr>
        <w:trPr>
          <w:trHeight w:val="554"/>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 of Subsidiary</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780" w:type="dxa"/>
            <w:vAlign w:val="bottom"/>
            <w:gridSpan w:val="2"/>
          </w:tcPr>
          <w:p>
            <w:pPr>
              <w:spacing w:after="0"/>
              <w:rPr>
                <w:sz w:val="20"/>
                <w:szCs w:val="20"/>
                <w:color w:val="auto"/>
              </w:rPr>
            </w:pPr>
            <w:r>
              <w:rPr>
                <w:rFonts w:ascii="Arial" w:cs="Arial" w:eastAsia="Arial" w:hAnsi="Arial"/>
                <w:sz w:val="18"/>
                <w:szCs w:val="18"/>
                <w:color w:val="auto"/>
              </w:rPr>
              <w:t>AnaptysBio Pty Ltd</w:t>
            </w:r>
          </w:p>
        </w:tc>
        <w:tc>
          <w:tcPr>
            <w:tcW w:w="292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Australia</w:t>
            </w:r>
          </w:p>
        </w:tc>
      </w:tr>
    </w:tbl>
    <w:p>
      <w:pPr>
        <w:sectPr>
          <w:pgSz w:w="11900" w:h="16838" w:orient="portrait"/>
          <w:cols w:equalWidth="0" w:num="1">
            <w:col w:w="11380"/>
          </w:cols>
          <w:pgMar w:left="280" w:top="580" w:right="239" w:bottom="1440" w:gutter="0" w:footer="0" w:header="0"/>
        </w:sectPr>
      </w:pPr>
    </w:p>
    <w:bookmarkStart w:id="149" w:name="page150"/>
    <w:bookmarkEnd w:id="149"/>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 (No. 333-222868) on Form S-3, and registration statement (No. 333-215741) on Form S-8 of AnaptysBio, Inc. of our report dated March 5, 2018, with respect to the consolidated balance sheets of AnaptysBio, Inc. as of December 31, 2017 and 2016, and the related consolidated statements of operations and comprehensive loss, convertible preferred stock and stockholders’ equity (deficit), and cash flows for each of the years in the three-year period ended December 31, 2017, and the related notes (collectively, the “consolidated financial statements”), which report appears in the December 31, 2017 annual report on Form 10-K of AnaptysBio, Inc.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2018</w:t>
      </w:r>
    </w:p>
    <w:p>
      <w:pPr>
        <w:sectPr>
          <w:pgSz w:w="11900" w:h="16838" w:orient="portrait"/>
          <w:cols w:equalWidth="0" w:num="1">
            <w:col w:w="11420"/>
          </w:cols>
          <w:pgMar w:left="240" w:top="144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120" w:firstLine="8"/>
        <w:spacing w:after="0" w:line="264" w:lineRule="auto"/>
        <w:tabs>
          <w:tab w:leader="none" w:pos="1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58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AnaptysBio,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0" w:firstLine="8"/>
        <w:spacing w:after="0" w:line="277" w:lineRule="auto"/>
        <w:tabs>
          <w:tab w:leader="none" w:pos="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120" w:firstLine="8"/>
        <w:spacing w:after="0" w:line="264" w:lineRule="auto"/>
        <w:tabs>
          <w:tab w:leader="none" w:pos="1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8"/>
        <w:spacing w:after="0" w:line="277" w:lineRule="auto"/>
        <w:tabs>
          <w:tab w:leader="none" w:pos="1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20" w:firstLine="8"/>
        <w:spacing w:after="0" w:line="264" w:lineRule="auto"/>
        <w:tabs>
          <w:tab w:leader="none" w:pos="1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40" w:firstLine="8"/>
        <w:spacing w:after="0" w:line="308" w:lineRule="auto"/>
        <w:tabs>
          <w:tab w:leader="none" w:pos="1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AnaptsyBio,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660" w:right="620" w:hanging="314"/>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2017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660" w:right="140" w:hanging="314"/>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58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660" w:right="620" w:hanging="314"/>
        <w:spacing w:after="0" w:line="308" w:lineRule="auto"/>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2017 (Report), as filed with the Securities and Exchange Commission,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660" w:right="140" w:hanging="314"/>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7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decimal"/>
      <w:start w:val="13"/>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
      <w:numFmt w:val="bullet"/>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
      <w:numFmt w:val="bullet"/>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1)"/>
      <w:numFmt w:val="lowerRoman"/>
      <w:start w:val="2"/>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emdash "/>
      <w:numFmt w:val="bullet"/>
      <w:start w:val="1"/>
    </w:lvl>
  </w:abstractNum>
  <w:abstractNum w:abstractNumId="43">
    <w:nsid w:val="71EA1109"/>
    <w:multiLevelType w:val="hybridMultilevel"/>
    <w:lvl w:ilvl="0">
      <w:lvlJc w:val="left"/>
      <w:lvlText w:val="\emdash "/>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1."/>
      <w:numFmt w:val="decimal"/>
      <w:start w:val="2"/>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1."/>
      <w:numFmt w:val="decimal"/>
      <w:start w:val="3"/>
    </w:lvl>
  </w:abstractNum>
  <w:abstractNum w:abstractNumId="48">
    <w:nsid w:val="94211F2"/>
    <w:multiLevelType w:val="hybridMultilevel"/>
    <w:lvl w:ilvl="0">
      <w:lvlJc w:val="left"/>
      <w:lvlText w:val="%1."/>
      <w:numFmt w:val="decimal"/>
      <w:start w:val="4"/>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1."/>
      <w:numFmt w:val="decimal"/>
      <w:start w:val="11"/>
    </w:lvl>
  </w:abstractNum>
  <w:abstractNum w:abstractNumId="52">
    <w:nsid w:val="1716703B"/>
    <w:multiLevelType w:val="hybridMultilevel"/>
    <w:lvl w:ilvl="0">
      <w:lvlJc w:val="left"/>
      <w:lvlText w:val="(%1)"/>
      <w:numFmt w:val="decimal"/>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1."/>
      <w:numFmt w:val="decimal"/>
      <w:start w:val="2"/>
    </w:lvl>
  </w:abstractNum>
  <w:abstractNum w:abstractNumId="58">
    <w:nsid w:val="46B7D447"/>
    <w:multiLevelType w:val="hybridMultilevel"/>
    <w:lvl w:ilvl="0">
      <w:lvlJc w:val="left"/>
      <w:lvlText w:val="%1."/>
      <w:numFmt w:val="decimal"/>
      <w:start w:val="3"/>
    </w:lvl>
  </w:abstractNum>
  <w:abstractNum w:abstractNumId="59">
    <w:nsid w:val="4A2AC315"/>
    <w:multiLevelType w:val="hybridMultilevel"/>
    <w:lvl w:ilvl="0">
      <w:lvlJc w:val="left"/>
      <w:lvlText w:val="%1."/>
      <w:numFmt w:val="decimal"/>
      <w:start w:val="4"/>
    </w:lvl>
  </w:abstractNum>
  <w:abstractNum w:abstractNumId="60">
    <w:nsid w:val="39EE015C"/>
    <w:multiLevelType w:val="hybridMultilevel"/>
    <w:lvl w:ilvl="0">
      <w:lvlJc w:val="left"/>
      <w:lvlText w:val="(%1)"/>
      <w:numFmt w:val="lowerRoman"/>
      <w:start w:val="1"/>
    </w:lvl>
  </w:abstractNum>
  <w:abstractNum w:abstractNumId="61">
    <w:nsid w:val="57FC4FBB"/>
    <w:multiLevelType w:val="hybridMultilevel"/>
    <w:lvl w:ilvl="0">
      <w:lvlJc w:val="left"/>
      <w:lvlText w:val="%1."/>
      <w:numFmt w:val="decimal"/>
      <w:start w:val="5"/>
    </w:lvl>
  </w:abstractNum>
  <w:abstractNum w:abstractNumId="62">
    <w:nsid w:val="CC1016F"/>
    <w:multiLevelType w:val="hybridMultilevel"/>
    <w:lvl w:ilvl="0">
      <w:lvlJc w:val="left"/>
      <w:lvlText w:val="%1."/>
      <w:numFmt w:val="decimal"/>
      <w:start w:val="6"/>
    </w:lvl>
  </w:abstractNum>
  <w:abstractNum w:abstractNumId="63">
    <w:nsid w:val="43F18422"/>
    <w:multiLevelType w:val="hybridMultilevel"/>
    <w:lvl w:ilvl="0">
      <w:lvlJc w:val="left"/>
      <w:lvlText w:val="%1."/>
      <w:numFmt w:val="decimal"/>
      <w:start w:val="7"/>
    </w:lvl>
  </w:abstractNum>
  <w:abstractNum w:abstractNumId="64">
    <w:nsid w:val="60EF0119"/>
    <w:multiLevelType w:val="hybridMultilevel"/>
    <w:lvl w:ilvl="0">
      <w:lvlJc w:val="left"/>
      <w:lvlText w:val="%1."/>
      <w:numFmt w:val="decimal"/>
      <w:start w:val="8"/>
    </w:lvl>
  </w:abstractNum>
  <w:abstractNum w:abstractNumId="65">
    <w:nsid w:val="26F324BA"/>
    <w:multiLevelType w:val="hybridMultilevel"/>
    <w:lvl w:ilvl="0">
      <w:lvlJc w:val="left"/>
      <w:lvlText w:val="%1."/>
      <w:numFmt w:val="decimal"/>
      <w:start w:val="9"/>
    </w:lvl>
  </w:abstractNum>
  <w:abstractNum w:abstractNumId="66">
    <w:nsid w:val="7F01579B"/>
    <w:multiLevelType w:val="hybridMultilevel"/>
    <w:lvl w:ilvl="0">
      <w:lvlJc w:val="left"/>
      <w:lvlText w:val="%1."/>
      <w:numFmt w:val="decimal"/>
      <w:start w:val="10"/>
    </w:lvl>
  </w:abstractNum>
  <w:abstractNum w:abstractNumId="67">
    <w:nsid w:val="49DA307D"/>
    <w:multiLevelType w:val="hybridMultilevel"/>
    <w:lvl w:ilvl="0">
      <w:lvlJc w:val="left"/>
      <w:lvlText w:val="%1."/>
      <w:numFmt w:val="decimal"/>
      <w:start w:val="11"/>
    </w:lvl>
  </w:abstractNum>
  <w:abstractNum w:abstractNumId="68">
    <w:nsid w:val="7055A5F5"/>
    <w:multiLevelType w:val="hybridMultilevel"/>
    <w:lvl w:ilvl="0">
      <w:lvlJc w:val="left"/>
      <w:lvlText w:val="%1."/>
      <w:numFmt w:val="decimal"/>
      <w:start w:val="12"/>
    </w:lvl>
  </w:abstractNum>
  <w:abstractNum w:abstractNumId="69">
    <w:nsid w:val="5FB8370B"/>
    <w:multiLevelType w:val="hybridMultilevel"/>
    <w:lvl w:ilvl="0">
      <w:lvlJc w:val="left"/>
      <w:lvlText w:val="%1."/>
      <w:numFmt w:val="decimal"/>
      <w:start w:val="13"/>
    </w:lvl>
  </w:abstractNum>
  <w:abstractNum w:abstractNumId="70">
    <w:nsid w:val="50801EE1"/>
    <w:multiLevelType w:val="hybridMultilevel"/>
    <w:lvl w:ilvl="0">
      <w:lvlJc w:val="left"/>
      <w:lvlText w:val="%1."/>
      <w:numFmt w:val="decimal"/>
      <w:start w:val="14"/>
    </w:lvl>
  </w:abstractNum>
  <w:abstractNum w:abstractNumId="71">
    <w:nsid w:val="488AC1A"/>
    <w:multiLevelType w:val="hybridMultilevel"/>
    <w:lvl w:ilvl="0">
      <w:lvlJc w:val="left"/>
      <w:lvlText w:val="%1."/>
      <w:numFmt w:val="decimal"/>
      <w:start w:val="15"/>
    </w:lvl>
  </w:abstractNum>
  <w:abstractNum w:abstractNumId="72">
    <w:nsid w:val="5FB8011C"/>
    <w:multiLevelType w:val="hybridMultilevel"/>
    <w:lvl w:ilvl="0">
      <w:lvlJc w:val="left"/>
      <w:lvlText w:val="%1."/>
      <w:numFmt w:val="decimal"/>
      <w:start w:val="16"/>
    </w:lvl>
  </w:abstractNum>
  <w:abstractNum w:abstractNumId="73">
    <w:nsid w:val="6AA78F7F"/>
    <w:multiLevelType w:val="hybridMultilevel"/>
    <w:lvl w:ilvl="0">
      <w:lvlJc w:val="left"/>
      <w:lvlText w:val="%1."/>
      <w:numFmt w:val="decimal"/>
      <w:start w:val="17"/>
    </w:lvl>
  </w:abstractNum>
  <w:abstractNum w:abstractNumId="74">
    <w:nsid w:val="7672BD23"/>
    <w:multiLevelType w:val="hybridMultilevel"/>
    <w:lvl w:ilvl="0">
      <w:lvlJc w:val="left"/>
      <w:lvlText w:val="%1."/>
      <w:numFmt w:val="decimal"/>
      <w:start w:val="18"/>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2"/>
    </w:lvl>
  </w:abstractNum>
  <w:abstractNum w:abstractNumId="77">
    <w:nsid w:val="7D5E18F8"/>
    <w:multiLevelType w:val="hybridMultilevel"/>
    <w:lvl w:ilvl="0">
      <w:lvlJc w:val="left"/>
      <w:lvlText w:val="%1."/>
      <w:numFmt w:val="decimal"/>
      <w:start w:val="3"/>
    </w:lvl>
  </w:abstractNum>
  <w:abstractNum w:abstractNumId="78">
    <w:nsid w:val="5F3534A4"/>
    <w:multiLevelType w:val="hybridMultilevel"/>
    <w:lvl w:ilvl="0">
      <w:lvlJc w:val="left"/>
      <w:lvlText w:val="%1."/>
      <w:numFmt w:val="decimal"/>
      <w:start w:val="4"/>
    </w:lvl>
  </w:abstractNum>
  <w:abstractNum w:abstractNumId="79">
    <w:nsid w:val="73A1821B"/>
    <w:multiLevelType w:val="hybridMultilevel"/>
    <w:lvl w:ilvl="0">
      <w:lvlJc w:val="left"/>
      <w:lvlText w:val="(%1)"/>
      <w:numFmt w:val="lowerRoman"/>
      <w:start w:val="1"/>
    </w:lvl>
  </w:abstractNum>
  <w:abstractNum w:abstractNumId="80">
    <w:nsid w:val="7DE67713"/>
    <w:multiLevelType w:val="hybridMultilevel"/>
    <w:lvl w:ilvl="0">
      <w:lvlJc w:val="left"/>
      <w:lvlText w:val="%1."/>
      <w:numFmt w:val="decimal"/>
      <w:start w:val="5"/>
    </w:lvl>
  </w:abstractNum>
  <w:abstractNum w:abstractNumId="81">
    <w:nsid w:val="555C55B5"/>
    <w:multiLevelType w:val="hybridMultilevel"/>
    <w:lvl w:ilvl="0">
      <w:lvlJc w:val="left"/>
      <w:lvlText w:val="%1."/>
      <w:numFmt w:val="decimal"/>
      <w:start w:val="6"/>
    </w:lvl>
  </w:abstractNum>
  <w:abstractNum w:abstractNumId="82">
    <w:nsid w:val="3FA62ACA"/>
    <w:multiLevelType w:val="hybridMultilevel"/>
    <w:lvl w:ilvl="0">
      <w:lvlJc w:val="left"/>
      <w:lvlText w:val="%1."/>
      <w:numFmt w:val="decimal"/>
      <w:start w:val="7"/>
    </w:lvl>
  </w:abstractNum>
  <w:abstractNum w:abstractNumId="83">
    <w:nsid w:val="14FCE74E"/>
    <w:multiLevelType w:val="hybridMultilevel"/>
    <w:lvl w:ilvl="0">
      <w:lvlJc w:val="left"/>
      <w:lvlText w:val="%1."/>
      <w:numFmt w:val="decimal"/>
      <w:start w:val="8"/>
    </w:lvl>
  </w:abstractNum>
  <w:abstractNum w:abstractNumId="84">
    <w:nsid w:val="6A3DD3E8"/>
    <w:multiLevelType w:val="hybridMultilevel"/>
    <w:lvl w:ilvl="0">
      <w:lvlJc w:val="left"/>
      <w:lvlText w:val="%1."/>
      <w:numFmt w:val="decimal"/>
      <w:start w:val="9"/>
    </w:lvl>
  </w:abstractNum>
  <w:abstractNum w:abstractNumId="85">
    <w:nsid w:val="71C91298"/>
    <w:multiLevelType w:val="hybridMultilevel"/>
    <w:lvl w:ilvl="0">
      <w:lvlJc w:val="left"/>
      <w:lvlText w:val="%1."/>
      <w:numFmt w:val="decimal"/>
      <w:start w:val="10"/>
    </w:lvl>
  </w:abstractNum>
  <w:abstractNum w:abstractNumId="86">
    <w:nsid w:val="9DAF632"/>
    <w:multiLevelType w:val="hybridMultilevel"/>
    <w:lvl w:ilvl="0">
      <w:lvlJc w:val="left"/>
      <w:lvlText w:val="%1."/>
      <w:numFmt w:val="decimal"/>
      <w:start w:val="11"/>
    </w:lvl>
  </w:abstractNum>
  <w:abstractNum w:abstractNumId="87">
    <w:nsid w:val="53299938"/>
    <w:multiLevelType w:val="hybridMultilevel"/>
    <w:lvl w:ilvl="0">
      <w:lvlJc w:val="left"/>
      <w:lvlText w:val="%1."/>
      <w:numFmt w:val="decimal"/>
      <w:start w:val="12"/>
    </w:lvl>
  </w:abstractNum>
  <w:abstractNum w:abstractNumId="88">
    <w:nsid w:val="1FBFE8E0"/>
    <w:multiLevelType w:val="hybridMultilevel"/>
    <w:lvl w:ilvl="0">
      <w:lvlJc w:val="left"/>
      <w:lvlText w:val="%1."/>
      <w:numFmt w:val="decimal"/>
      <w:start w:val="13"/>
    </w:lvl>
  </w:abstractNum>
  <w:abstractNum w:abstractNumId="89">
    <w:nsid w:val="5092CA79"/>
    <w:multiLevelType w:val="hybridMultilevel"/>
    <w:lvl w:ilvl="0">
      <w:lvlJc w:val="left"/>
      <w:lvlText w:val="%1."/>
      <w:numFmt w:val="decimal"/>
      <w:start w:val="14"/>
    </w:lvl>
  </w:abstractNum>
  <w:abstractNum w:abstractNumId="90">
    <w:nsid w:val="1D545C4D"/>
    <w:multiLevelType w:val="hybridMultilevel"/>
    <w:lvl w:ilvl="0">
      <w:lvlJc w:val="left"/>
      <w:lvlText w:val="%1."/>
      <w:numFmt w:val="decimal"/>
      <w:start w:val="15"/>
    </w:lvl>
  </w:abstractNum>
  <w:abstractNum w:abstractNumId="91">
    <w:nsid w:val="59ADEA3D"/>
    <w:multiLevelType w:val="hybridMultilevel"/>
    <w:lvl w:ilvl="0">
      <w:lvlJc w:val="left"/>
      <w:lvlText w:val="%1."/>
      <w:numFmt w:val="decimal"/>
      <w:start w:val="16"/>
    </w:lvl>
  </w:abstractNum>
  <w:abstractNum w:abstractNumId="92">
    <w:nsid w:val="288F1A34"/>
    <w:multiLevelType w:val="hybridMultilevel"/>
    <w:lvl w:ilvl="0">
      <w:lvlJc w:val="left"/>
      <w:lvlText w:val="%1."/>
      <w:numFmt w:val="decimal"/>
      <w:start w:val="17"/>
    </w:lvl>
  </w:abstractNum>
  <w:abstractNum w:abstractNumId="93">
    <w:nsid w:val="2A155DBC"/>
    <w:multiLevelType w:val="hybridMultilevel"/>
    <w:lvl w:ilvl="0">
      <w:lvlJc w:val="left"/>
      <w:lvlText w:val="%1."/>
      <w:numFmt w:val="decimal"/>
      <w:start w:val="18"/>
    </w:lvl>
  </w:abstractNum>
  <w:abstractNum w:abstractNumId="94">
    <w:nsid w:val="1D9F6E5F"/>
    <w:multiLevelType w:val="hybridMultilevel"/>
    <w:lvl w:ilvl="0">
      <w:lvlJc w:val="left"/>
      <w:lvlText w:val="%1."/>
      <w:numFmt w:val="decimal"/>
      <w:start w:val="1"/>
    </w:lvl>
  </w:abstractNum>
  <w:abstractNum w:abstractNumId="95">
    <w:nsid w:val="97E1B4E"/>
    <w:multiLevelType w:val="hybridMultilevel"/>
    <w:lvl w:ilvl="0">
      <w:lvlJc w:val="left"/>
      <w:lvlText w:val="%1."/>
      <w:numFmt w:val="decimal"/>
      <w:start w:val="2"/>
    </w:lvl>
  </w:abstractNum>
  <w:abstractNum w:abstractNumId="96">
    <w:nsid w:val="51088277"/>
    <w:multiLevelType w:val="hybridMultilevel"/>
    <w:lvl w:ilvl="0">
      <w:lvlJc w:val="left"/>
      <w:lvlText w:val="%1."/>
      <w:numFmt w:val="decimal"/>
      <w:start w:val="3"/>
    </w:lvl>
  </w:abstractNum>
  <w:abstractNum w:abstractNumId="97">
    <w:nsid w:val="1CA0C5FA"/>
    <w:multiLevelType w:val="hybridMultilevel"/>
    <w:lvl w:ilvl="0">
      <w:lvlJc w:val="left"/>
      <w:lvlText w:val="%1."/>
      <w:numFmt w:val="decimal"/>
      <w:start w:val="4"/>
    </w:lvl>
  </w:abstractNum>
  <w:abstractNum w:abstractNumId="98">
    <w:nsid w:val="53584BCB"/>
    <w:multiLevelType w:val="hybridMultilevel"/>
    <w:lvl w:ilvl="0">
      <w:lvlJc w:val="left"/>
      <w:lvlText w:val="(%1)"/>
      <w:numFmt w:val="lowerRoman"/>
      <w:start w:val="2"/>
    </w:lvl>
  </w:abstractNum>
  <w:abstractNum w:abstractNumId="99">
    <w:nsid w:val="415E286C"/>
    <w:multiLevelType w:val="hybridMultilevel"/>
    <w:lvl w:ilvl="0">
      <w:lvlJc w:val="left"/>
      <w:lvlText w:val="%1."/>
      <w:numFmt w:val="decimal"/>
      <w:start w:val="5"/>
    </w:lvl>
  </w:abstractNum>
  <w:abstractNum w:abstractNumId="100">
    <w:nsid w:val="7C58FD05"/>
    <w:multiLevelType w:val="hybridMultilevel"/>
    <w:lvl w:ilvl="0">
      <w:lvlJc w:val="left"/>
      <w:lvlText w:val="%1."/>
      <w:numFmt w:val="decimal"/>
      <w:start w:val="6"/>
    </w:lvl>
  </w:abstractNum>
  <w:abstractNum w:abstractNumId="101">
    <w:nsid w:val="23D86AAC"/>
    <w:multiLevelType w:val="hybridMultilevel"/>
    <w:lvl w:ilvl="0">
      <w:lvlJc w:val="left"/>
      <w:lvlText w:val="%1."/>
      <w:numFmt w:val="decimal"/>
      <w:start w:val="7"/>
    </w:lvl>
  </w:abstractNum>
  <w:abstractNum w:abstractNumId="102">
    <w:nsid w:val="45E6D486"/>
    <w:multiLevelType w:val="hybridMultilevel"/>
    <w:lvl w:ilvl="0">
      <w:lvlJc w:val="left"/>
      <w:lvlText w:val="%1."/>
      <w:numFmt w:val="decimal"/>
      <w:start w:val="8"/>
    </w:lvl>
  </w:abstractNum>
  <w:abstractNum w:abstractNumId="103">
    <w:nsid w:val="5C10FE21"/>
    <w:multiLevelType w:val="hybridMultilevel"/>
    <w:lvl w:ilvl="0">
      <w:lvlJc w:val="left"/>
      <w:lvlText w:val="%1."/>
      <w:numFmt w:val="decimal"/>
      <w:start w:val="9"/>
    </w:lvl>
  </w:abstractNum>
  <w:abstractNum w:abstractNumId="104">
    <w:nsid w:val="E7FFA2B"/>
    <w:multiLevelType w:val="hybridMultilevel"/>
    <w:lvl w:ilvl="0">
      <w:lvlJc w:val="left"/>
      <w:lvlText w:val="%1."/>
      <w:numFmt w:val="decimal"/>
      <w:start w:val="10"/>
    </w:lvl>
  </w:abstractNum>
  <w:abstractNum w:abstractNumId="105">
    <w:nsid w:val="3C5991AA"/>
    <w:multiLevelType w:val="hybridMultilevel"/>
    <w:lvl w:ilvl="0">
      <w:lvlJc w:val="left"/>
      <w:lvlText w:val="%1."/>
      <w:numFmt w:val="decimal"/>
      <w:start w:val="11"/>
    </w:lvl>
  </w:abstractNum>
  <w:abstractNum w:abstractNumId="106">
    <w:nsid w:val="4BD8591A"/>
    <w:multiLevelType w:val="hybridMultilevel"/>
    <w:lvl w:ilvl="0">
      <w:lvlJc w:val="left"/>
      <w:lvlText w:val="%1."/>
      <w:numFmt w:val="decimal"/>
      <w:start w:val="12"/>
    </w:lvl>
  </w:abstractNum>
  <w:abstractNum w:abstractNumId="107">
    <w:nsid w:val="78DF6A55"/>
    <w:multiLevelType w:val="hybridMultilevel"/>
    <w:lvl w:ilvl="0">
      <w:lvlJc w:val="left"/>
      <w:lvlText w:val="%1."/>
      <w:numFmt w:val="decimal"/>
      <w:start w:val="13"/>
    </w:lvl>
  </w:abstractNum>
  <w:abstractNum w:abstractNumId="108">
    <w:nsid w:val="39B7AAA2"/>
    <w:multiLevelType w:val="hybridMultilevel"/>
    <w:lvl w:ilvl="0">
      <w:lvlJc w:val="left"/>
      <w:lvlText w:val="%1."/>
      <w:numFmt w:val="decimal"/>
      <w:start w:val="14"/>
    </w:lvl>
  </w:abstractNum>
  <w:abstractNum w:abstractNumId="109">
    <w:nsid w:val="2B0D8DBE"/>
    <w:multiLevelType w:val="hybridMultilevel"/>
    <w:lvl w:ilvl="0">
      <w:lvlJc w:val="left"/>
      <w:lvlText w:val="%1."/>
      <w:numFmt w:val="decimal"/>
      <w:start w:val="15"/>
    </w:lvl>
  </w:abstractNum>
  <w:abstractNum w:abstractNumId="110">
    <w:nsid w:val="6C80EC70"/>
    <w:multiLevelType w:val="hybridMultilevel"/>
    <w:lvl w:ilvl="0">
      <w:lvlJc w:val="left"/>
      <w:lvlText w:val="%1."/>
      <w:numFmt w:val="decimal"/>
      <w:start w:val="16"/>
    </w:lvl>
  </w:abstractNum>
  <w:abstractNum w:abstractNumId="111">
    <w:nsid w:val="379E21B5"/>
    <w:multiLevelType w:val="hybridMultilevel"/>
    <w:lvl w:ilvl="0">
      <w:lvlJc w:val="left"/>
      <w:lvlText w:val="%1."/>
      <w:numFmt w:val="decimal"/>
      <w:start w:val="17"/>
    </w:lvl>
  </w:abstractNum>
  <w:abstractNum w:abstractNumId="112">
    <w:nsid w:val="69E373"/>
    <w:multiLevelType w:val="hybridMultilevel"/>
    <w:lvl w:ilvl="0">
      <w:lvlJc w:val="left"/>
      <w:lvlText w:val="%1."/>
      <w:numFmt w:val="decimal"/>
      <w:start w:val="18"/>
    </w:lvl>
  </w:abstractNum>
  <w:abstractNum w:abstractNumId="113">
    <w:nsid w:val="2C27173B"/>
    <w:multiLevelType w:val="hybridMultilevel"/>
    <w:lvl w:ilvl="0">
      <w:lvlJc w:val="left"/>
      <w:lvlText w:val="%1."/>
      <w:numFmt w:val="decimal"/>
      <w:start w:val="1"/>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decimal"/>
      <w:start w:val="5"/>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decimal"/>
      <w:start w:val="1"/>
    </w:lvl>
  </w:abstractNum>
  <w:abstractNum w:abstractNumId="118">
    <w:nsid w:val="3DD15094"/>
    <w:multiLevelType w:val="hybridMultilevel"/>
    <w:lvl w:ilvl="0">
      <w:lvlJc w:val="left"/>
      <w:lvlText w:val="%1)"/>
      <w:numFmt w:val="lowerLetter"/>
      <w:start w:val="1"/>
    </w:lvl>
  </w:abstractNum>
  <w:abstractNum w:abstractNumId="119">
    <w:nsid w:val="3DB012B3"/>
    <w:multiLevelType w:val="hybridMultilevel"/>
    <w:lvl w:ilvl="0">
      <w:lvlJc w:val="left"/>
      <w:lvlText w:val="%1."/>
      <w:numFmt w:val="decimal"/>
      <w:start w:val="5"/>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44" Type="http://schemas.openxmlformats.org/officeDocument/2006/relationships/hyperlink" Target="http://www.sec.gov/Archives/edgar/data/1370053/000137005317000005/anab-033117x10qxexx31.htm" TargetMode="External"/><Relationship Id="rId45" Type="http://schemas.openxmlformats.org/officeDocument/2006/relationships/hyperlink" Target="http://www.sec.gov/Archives/edgar/data/1370053/000119312515412604/d942137dex41.htm" TargetMode="External"/><Relationship Id="rId46" Type="http://schemas.openxmlformats.org/officeDocument/2006/relationships/hyperlink" Target="http://www.sec.gov/Archives/edgar/data/1370053/000119312515315918/d942137dex42.htm" TargetMode="External"/><Relationship Id="rId47" Type="http://schemas.openxmlformats.org/officeDocument/2006/relationships/hyperlink" Target="http://www.sec.gov/Archives/edgar/data/1370053/000119312515315918/d942137dex101.htm" TargetMode="External"/><Relationship Id="rId48" Type="http://schemas.openxmlformats.org/officeDocument/2006/relationships/hyperlink" Target="http://www.sec.gov/Archives/edgar/data/1370053/000119312517010405/d320192dex102.htm" TargetMode="External"/><Relationship Id="rId49" Type="http://schemas.openxmlformats.org/officeDocument/2006/relationships/hyperlink" Target="http://www.sec.gov/Archives/edgar/data/1370053/000119312517010405/d320192dex103.htm" TargetMode="External"/><Relationship Id="rId50" Type="http://schemas.openxmlformats.org/officeDocument/2006/relationships/hyperlink" Target="http://www.sec.gov/Archives/edgar/data/1370053/000119312517010405/d320192dex104.htm" TargetMode="External"/><Relationship Id="rId51" Type="http://schemas.openxmlformats.org/officeDocument/2006/relationships/hyperlink" Target="http://www.sec.gov/Archives/edgar/data/1370053/000119312516805335/d320192dex106.htm" TargetMode="External"/><Relationship Id="rId52" Type="http://schemas.openxmlformats.org/officeDocument/2006/relationships/hyperlink" Target="http://www.sec.gov/Archives/edgar/data/1370053/000119312515412604/d942137dex108.htm" TargetMode="External"/><Relationship Id="rId53" Type="http://schemas.openxmlformats.org/officeDocument/2006/relationships/hyperlink" Target="http://www.sec.gov/Archives/edgar/data/1370053/000119312516805335/d320192dex109.htm" TargetMode="External"/><Relationship Id="rId54" Type="http://schemas.openxmlformats.org/officeDocument/2006/relationships/hyperlink" Target="http://www.sec.gov/Archives/edgar/data/1370053/000119312516585556/d942137dex1010.htm" TargetMode="External"/><Relationship Id="rId55" Type="http://schemas.openxmlformats.org/officeDocument/2006/relationships/hyperlink" Target="http://www.sec.gov/Archives/edgar/data/1370053/000119312515315918/d942137dex1012.htm" TargetMode="External"/><Relationship Id="rId56" Type="http://schemas.openxmlformats.org/officeDocument/2006/relationships/hyperlink" Target="http://www.sec.gov/Archives/edgar/data/1370053/000119312515315918/d942137dex1013.htm" TargetMode="External"/><Relationship Id="rId57" Type="http://schemas.openxmlformats.org/officeDocument/2006/relationships/hyperlink" Target="http://www.sec.gov/Archives/edgar/data/1370053/000119312516465517/d942137d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2019-12-29T00:42:59Z</dcterms:created>
  <dcterms:modified xsi:type="dcterms:W3CDTF">2019-12-29T00:42:59Z</dcterms:modified>
</cp:coreProperties>
</file>