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6"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w:t>
      </w:r>
    </w:p>
    <w:p>
      <w:pPr>
        <w:spacing w:after="0" w:line="163" w:lineRule="exact"/>
        <w:rPr>
          <w:sz w:val="24"/>
          <w:szCs w:val="24"/>
          <w:color w:val="auto"/>
        </w:rPr>
      </w:pPr>
    </w:p>
    <w:p>
      <w:pPr>
        <w:ind w:left="760" w:right="160" w:hanging="717"/>
        <w:spacing w:after="0" w:line="220" w:lineRule="auto"/>
        <w:tabs>
          <w:tab w:leader="none" w:pos="760" w:val="left"/>
        </w:tabs>
        <w:numPr>
          <w:ilvl w:val="0"/>
          <w:numId w:val="1"/>
        </w:numPr>
        <w:rPr>
          <w:rFonts w:ascii="Arial" w:cs="Arial" w:eastAsia="Arial" w:hAnsi="Arial"/>
          <w:sz w:val="24"/>
          <w:szCs w:val="24"/>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6" w:lineRule="exact"/>
        <w:rPr>
          <w:sz w:val="24"/>
          <w:szCs w:val="24"/>
          <w:color w:val="auto"/>
        </w:rPr>
      </w:pPr>
    </w:p>
    <w:p>
      <w:pPr>
        <w:ind w:left="760" w:right="80" w:hanging="717"/>
        <w:spacing w:after="0" w:line="220" w:lineRule="auto"/>
        <w:tabs>
          <w:tab w:leader="none" w:pos="760" w:val="left"/>
        </w:tabs>
        <w:numPr>
          <w:ilvl w:val="0"/>
          <w:numId w:val="2"/>
        </w:numPr>
        <w:rPr>
          <w:rFonts w:ascii="Arial" w:cs="Arial" w:eastAsia="Arial" w:hAnsi="Arial"/>
          <w:sz w:val="24"/>
          <w:szCs w:val="24"/>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3100" w:type="dxa"/>
        <w:tblCellMar>
          <w:top w:w="0" w:type="dxa"/>
          <w:left w:w="0" w:type="dxa"/>
          <w:bottom w:w="0" w:type="dxa"/>
          <w:right w:w="0" w:type="dxa"/>
        </w:tblCellMar>
      </w:tblPr>
      <w:tr>
        <w:trPr>
          <w:trHeight w:val="184"/>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0"/>
        </w:trPr>
        <w:tc>
          <w:tcPr>
            <w:tcW w:w="2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80"/>
        </w:trPr>
        <w:tc>
          <w:tcPr>
            <w:tcW w:w="336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Commission File Number: 001-37985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ind w:left="3220"/>
        <w:spacing w:after="0" w:line="205" w:lineRule="auto"/>
        <w:rPr>
          <w:sz w:val="20"/>
          <w:szCs w:val="20"/>
          <w:color w:val="auto"/>
        </w:rPr>
      </w:pPr>
      <w:r>
        <w:rPr>
          <w:rFonts w:ascii="Times New Roman" w:cs="Times New Roman" w:eastAsia="Times New Roman" w:hAnsi="Times New Roman"/>
          <w:sz w:val="20"/>
          <w:szCs w:val="20"/>
          <w:b w:val="1"/>
          <w:bCs w:val="1"/>
          <w:color w:val="auto"/>
        </w:rPr>
        <w:t>______________________________________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ANAPTYSBIO,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w:t>
      </w:r>
    </w:p>
    <w:p>
      <w:pPr>
        <w:spacing w:after="0" w:line="151" w:lineRule="exact"/>
        <w:rPr>
          <w:sz w:val="24"/>
          <w:szCs w:val="24"/>
          <w:color w:val="auto"/>
        </w:rPr>
      </w:pPr>
    </w:p>
    <w:p>
      <w:pPr>
        <w:ind w:left="2120"/>
        <w:spacing w:after="0"/>
        <w:tabs>
          <w:tab w:leader="none" w:pos="73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20-3828755</w:t>
      </w:r>
    </w:p>
    <w:p>
      <w:pPr>
        <w:spacing w:after="0" w:line="57" w:lineRule="exact"/>
        <w:rPr>
          <w:sz w:val="24"/>
          <w:szCs w:val="24"/>
          <w:color w:val="auto"/>
        </w:rPr>
      </w:pPr>
    </w:p>
    <w:p>
      <w:pPr>
        <w:ind w:left="1580"/>
        <w:spacing w:after="0"/>
        <w:tabs>
          <w:tab w:leader="none" w:pos="722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540"/>
        <w:spacing w:after="0"/>
        <w:tabs>
          <w:tab w:leader="none" w:pos="704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3"/>
          <w:szCs w:val="13"/>
          <w:b w:val="1"/>
          <w:bCs w:val="1"/>
          <w:color w:val="auto"/>
        </w:rPr>
        <w:t>Identification Number)</w:t>
      </w:r>
    </w:p>
    <w:p>
      <w:pPr>
        <w:spacing w:after="0" w:line="31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10770 Wateridge Circle, Suite 210</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San Diego, CA 92121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(858) 362-6295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ind w:left="322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144145</wp:posOffset>
                </wp:positionV>
                <wp:extent cx="0" cy="37465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1.35pt" to="4pt,4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2365375</wp:posOffset>
                </wp:positionH>
                <wp:positionV relativeFrom="paragraph">
                  <wp:posOffset>144145</wp:posOffset>
                </wp:positionV>
                <wp:extent cx="0" cy="37465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6.25pt,11.35pt" to="186.25pt,4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4079875</wp:posOffset>
                </wp:positionH>
                <wp:positionV relativeFrom="paragraph">
                  <wp:posOffset>144145</wp:posOffset>
                </wp:positionV>
                <wp:extent cx="0" cy="37465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25pt,11.35pt" to="321.25pt,4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6451600</wp:posOffset>
                </wp:positionH>
                <wp:positionV relativeFrom="paragraph">
                  <wp:posOffset>144145</wp:posOffset>
                </wp:positionV>
                <wp:extent cx="0" cy="37465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8pt,11.35pt" to="508pt,40.85pt" o:allowincell="f" strokecolor="#000000" strokeweight="0pt"/>
            </w:pict>
          </mc:Fallback>
        </mc:AlternateConten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100" w:type="dxa"/>
            <w:vAlign w:val="bottom"/>
            <w:tcBorders>
              <w:right w:val="single" w:sz="8" w:color="auto"/>
            </w:tcBorders>
          </w:tcPr>
          <w:p>
            <w:pPr>
              <w:spacing w:after="0"/>
              <w:rPr>
                <w:sz w:val="24"/>
                <w:szCs w:val="24"/>
                <w:color w:val="auto"/>
              </w:rPr>
            </w:pPr>
          </w:p>
        </w:tc>
        <w:tc>
          <w:tcPr>
            <w:tcW w:w="3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540" w:type="dxa"/>
            <w:vAlign w:val="bottom"/>
            <w:tcBorders>
              <w:top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right w:val="single" w:sz="8" w:color="auto"/>
            </w:tcBorders>
          </w:tcPr>
          <w:p>
            <w:pPr>
              <w:jc w:val="center"/>
              <w:ind w:right="500"/>
              <w:spacing w:after="0"/>
              <w:rPr>
                <w:sz w:val="20"/>
                <w:szCs w:val="20"/>
                <w:color w:val="auto"/>
              </w:rPr>
            </w:pPr>
            <w:r>
              <w:rPr>
                <w:rFonts w:ascii="Times New Roman" w:cs="Times New Roman" w:eastAsia="Times New Roman" w:hAnsi="Times New Roman"/>
                <w:sz w:val="16"/>
                <w:szCs w:val="16"/>
                <w:color w:val="auto"/>
              </w:rPr>
              <w:t>Trading Symbol(s)</w:t>
            </w:r>
          </w:p>
        </w:tc>
        <w:tc>
          <w:tcPr>
            <w:tcW w:w="374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65"/>
        </w:trPr>
        <w:tc>
          <w:tcPr>
            <w:tcW w:w="100" w:type="dxa"/>
            <w:vAlign w:val="bottom"/>
            <w:tcBorders>
              <w:right w:val="single" w:sz="8" w:color="auto"/>
            </w:tcBorders>
          </w:tcPr>
          <w:p>
            <w:pPr>
              <w:spacing w:after="0"/>
              <w:rPr>
                <w:sz w:val="23"/>
                <w:szCs w:val="23"/>
                <w:color w:val="auto"/>
              </w:rPr>
            </w:pP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540" w:type="dxa"/>
            <w:vAlign w:val="bottom"/>
            <w:tcBorders>
              <w:bottom w:val="single" w:sz="8" w:color="auto"/>
            </w:tcBorders>
          </w:tcPr>
          <w:p>
            <w:pPr>
              <w:spacing w:after="0"/>
              <w:rPr>
                <w:sz w:val="23"/>
                <w:szCs w:val="23"/>
                <w:color w:val="auto"/>
              </w:rPr>
            </w:pPr>
          </w:p>
        </w:tc>
        <w:tc>
          <w:tcPr>
            <w:tcW w:w="2160" w:type="dxa"/>
            <w:vAlign w:val="bottom"/>
            <w:tcBorders>
              <w:bottom w:val="single" w:sz="8" w:color="auto"/>
              <w:right w:val="single" w:sz="8" w:color="auto"/>
            </w:tcBorders>
          </w:tcPr>
          <w:p>
            <w:pPr>
              <w:jc w:val="center"/>
              <w:ind w:right="500"/>
              <w:spacing w:after="0"/>
              <w:rPr>
                <w:sz w:val="20"/>
                <w:szCs w:val="20"/>
                <w:color w:val="auto"/>
              </w:rPr>
            </w:pPr>
            <w:r>
              <w:rPr>
                <w:rFonts w:ascii="Times New Roman" w:cs="Times New Roman" w:eastAsia="Times New Roman" w:hAnsi="Times New Roman"/>
                <w:sz w:val="16"/>
                <w:szCs w:val="16"/>
                <w:color w:val="auto"/>
              </w:rPr>
              <w:t>ANAB</w:t>
            </w:r>
          </w:p>
        </w:tc>
        <w:tc>
          <w:tcPr>
            <w:tcW w:w="37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29"/>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23"/>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2520" w:type="dxa"/>
            <w:vAlign w:val="bottom"/>
          </w:tcPr>
          <w:p>
            <w:pPr>
              <w:spacing w:after="0" w:line="268" w:lineRule="exact"/>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20"/>
                <w:szCs w:val="20"/>
                <w:b w:val="1"/>
                <w:bCs w:val="1"/>
                <w:color w:val="auto"/>
              </w:rPr>
              <w:t>☒</w:t>
            </w:r>
          </w:p>
        </w:tc>
      </w:tr>
      <w:tr>
        <w:trPr>
          <w:trHeight w:val="320"/>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Indicate by check mark if the registrant is not required to file reports pursuant to Section 13 or Section 15(d) of the Act.</w:t>
            </w:r>
          </w:p>
        </w:tc>
        <w:tc>
          <w:tcPr>
            <w:tcW w:w="2520" w:type="dxa"/>
            <w:vAlign w:val="bottom"/>
          </w:tcPr>
          <w:p>
            <w:pPr>
              <w:ind w:left="140"/>
              <w:spacing w:after="0" w:line="268" w:lineRule="exact"/>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20"/>
                <w:szCs w:val="20"/>
                <w:b w:val="1"/>
                <w:bCs w:val="1"/>
                <w:color w:val="auto"/>
              </w:rPr>
              <w:t>☒</w:t>
            </w:r>
          </w:p>
        </w:tc>
      </w:tr>
    </w:tbl>
    <w:p>
      <w:pPr>
        <w:spacing w:after="0" w:line="61"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268" w:lineRule="exact"/>
        <w:tabs>
          <w:tab w:leader="none" w:pos="1200" w:val="left"/>
          <w:tab w:leader="none" w:pos="1880" w:val="left"/>
        </w:tabs>
        <w:rPr>
          <w:sz w:val="20"/>
          <w:szCs w:val="20"/>
          <w:color w:val="auto"/>
        </w:rPr>
      </w:pPr>
      <w:r>
        <w:rPr>
          <w:rFonts w:ascii="Times New Roman" w:cs="Times New Roman" w:eastAsia="Times New Roman" w:hAnsi="Times New Roman"/>
          <w:sz w:val="16"/>
          <w:szCs w:val="16"/>
          <w:color w:val="auto"/>
        </w:rPr>
        <w:t>the past 90 days.</w:t>
        <w:tab/>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20"/>
          <w:szCs w:val="20"/>
          <w:b w:val="1"/>
          <w:bCs w:val="1"/>
          <w:color w:val="auto"/>
        </w:rPr>
        <w:t>☐</w:t>
      </w:r>
    </w:p>
    <w:p>
      <w:pPr>
        <w:spacing w:after="0" w:line="70" w:lineRule="exact"/>
        <w:rPr>
          <w:sz w:val="24"/>
          <w:szCs w:val="24"/>
          <w:color w:val="auto"/>
        </w:rPr>
      </w:pPr>
    </w:p>
    <w:p>
      <w:pPr>
        <w:ind w:right="580"/>
        <w:spacing w:after="0" w:line="23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68" w:lineRule="exact"/>
        <w:tabs>
          <w:tab w:leader="none" w:pos="500" w:val="left"/>
          <w:tab w:leader="none" w:pos="1180" w:val="left"/>
        </w:tabs>
        <w:rPr>
          <w:sz w:val="20"/>
          <w:szCs w:val="20"/>
          <w:color w:val="auto"/>
        </w:rPr>
      </w:pPr>
      <w:r>
        <w:rPr>
          <w:rFonts w:ascii="Times New Roman" w:cs="Times New Roman" w:eastAsia="Times New Roman" w:hAnsi="Times New Roman"/>
          <w:sz w:val="16"/>
          <w:szCs w:val="16"/>
          <w:color w:val="auto"/>
        </w:rPr>
        <w:t>files).</w:t>
        <w:tab/>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20"/>
          <w:szCs w:val="20"/>
          <w:b w:val="1"/>
          <w:bCs w:val="1"/>
          <w:color w:val="auto"/>
        </w:rPr>
        <w:t>☐</w:t>
      </w:r>
    </w:p>
    <w:p>
      <w:pPr>
        <w:spacing w:after="0" w:line="70"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240"/>
          </w:cols>
          <w:pgMar w:left="1000" w:top="744" w:right="1000" w:bottom="391" w:gutter="0" w:footer="0" w:header="0"/>
        </w:sectPr>
      </w:pPr>
    </w:p>
    <w:p>
      <w:pPr>
        <w:spacing w:after="0" w:line="62" w:lineRule="exact"/>
        <w:rPr>
          <w:sz w:val="24"/>
          <w:szCs w:val="24"/>
          <w:color w:val="auto"/>
        </w:rPr>
      </w:pPr>
    </w:p>
    <w:p>
      <w:pPr>
        <w:ind w:left="40" w:right="200"/>
        <w:spacing w:after="0" w:line="423"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8"/>
        </w:trPr>
        <w:tc>
          <w:tcPr>
            <w:tcW w:w="2480" w:type="dxa"/>
            <w:vAlign w:val="bottom"/>
          </w:tcPr>
          <w:p>
            <w:pPr>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450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line="268" w:lineRule="exact"/>
              <w:rPr>
                <w:sz w:val="20"/>
                <w:szCs w:val="20"/>
                <w:color w:val="auto"/>
              </w:rPr>
            </w:pPr>
            <w:r>
              <w:rPr>
                <w:rFonts w:ascii="Arial Unicode MS" w:cs="Arial Unicode MS" w:eastAsia="Arial Unicode MS" w:hAnsi="Arial Unicode MS"/>
                <w:sz w:val="20"/>
                <w:szCs w:val="20"/>
                <w:b w:val="1"/>
                <w:bCs w:val="1"/>
                <w:color w:val="auto"/>
                <w:w w:val="81"/>
              </w:rPr>
              <w:t>☐</w:t>
            </w:r>
          </w:p>
        </w:tc>
      </w:tr>
      <w:tr>
        <w:trPr>
          <w:trHeight w:val="300"/>
        </w:trPr>
        <w:tc>
          <w:tcPr>
            <w:tcW w:w="2480" w:type="dxa"/>
            <w:vAlign w:val="bottom"/>
          </w:tcPr>
          <w:p>
            <w:pPr>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450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line="268" w:lineRule="exact"/>
              <w:rPr>
                <w:sz w:val="20"/>
                <w:szCs w:val="20"/>
                <w:color w:val="auto"/>
              </w:rPr>
            </w:pPr>
            <w:r>
              <w:rPr>
                <w:rFonts w:ascii="Arial Unicode MS" w:cs="Arial Unicode MS" w:eastAsia="Arial Unicode MS" w:hAnsi="Arial Unicode MS"/>
                <w:sz w:val="20"/>
                <w:szCs w:val="20"/>
                <w:b w:val="1"/>
                <w:bCs w:val="1"/>
                <w:color w:val="auto"/>
                <w:w w:val="81"/>
              </w:rPr>
              <w:t>☒</w:t>
            </w:r>
          </w:p>
        </w:tc>
      </w:tr>
      <w:tr>
        <w:trPr>
          <w:trHeight w:val="300"/>
        </w:trPr>
        <w:tc>
          <w:tcPr>
            <w:tcW w:w="2480" w:type="dxa"/>
            <w:vAlign w:val="bottom"/>
          </w:tcPr>
          <w:p>
            <w:pPr>
              <w:spacing w:after="0"/>
              <w:rPr>
                <w:sz w:val="24"/>
                <w:szCs w:val="24"/>
                <w:color w:val="auto"/>
              </w:rPr>
            </w:pPr>
          </w:p>
        </w:tc>
        <w:tc>
          <w:tcPr>
            <w:tcW w:w="450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ind w:left="340"/>
              <w:spacing w:after="0" w:line="268" w:lineRule="exact"/>
              <w:rPr>
                <w:sz w:val="20"/>
                <w:szCs w:val="20"/>
                <w:color w:val="auto"/>
              </w:rPr>
            </w:pPr>
            <w:r>
              <w:rPr>
                <w:rFonts w:ascii="Arial Unicode MS" w:cs="Arial Unicode MS" w:eastAsia="Arial Unicode MS" w:hAnsi="Arial Unicode MS"/>
                <w:sz w:val="20"/>
                <w:szCs w:val="20"/>
                <w:b w:val="1"/>
                <w:bCs w:val="1"/>
                <w:color w:val="auto"/>
                <w:w w:val="81"/>
              </w:rPr>
              <w:t>☐</w:t>
            </w:r>
          </w:p>
        </w:tc>
      </w:tr>
    </w:tbl>
    <w:p>
      <w:pPr>
        <w:spacing w:after="0" w:line="58" w:lineRule="exact"/>
        <w:rPr>
          <w:sz w:val="24"/>
          <w:szCs w:val="24"/>
          <w:color w:val="auto"/>
        </w:rPr>
      </w:pPr>
    </w:p>
    <w:p>
      <w:pPr>
        <w:sectPr>
          <w:pgSz w:w="12240" w:h="15840" w:orient="portrait"/>
          <w:cols w:equalWidth="0" w:num="2">
            <w:col w:w="1760" w:space="720"/>
            <w:col w:w="7760"/>
          </w:cols>
          <w:pgMar w:left="1000" w:top="744" w:right="1000" w:bottom="391" w:gutter="0" w:footer="0" w:header="0"/>
          <w:type w:val="continuous"/>
        </w:sectPr>
      </w:pPr>
    </w:p>
    <w:p>
      <w:pPr>
        <w:ind w:right="22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210"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268" w:lineRule="exact"/>
        <w:rPr>
          <w:sz w:val="20"/>
          <w:szCs w:val="20"/>
          <w:color w:val="auto"/>
        </w:rPr>
      </w:pPr>
      <w:r>
        <w:rPr>
          <w:rFonts w:ascii="Times New Roman" w:cs="Times New Roman" w:eastAsia="Times New Roman" w:hAnsi="Times New Roman"/>
          <w:sz w:val="16"/>
          <w:szCs w:val="16"/>
          <w:color w:val="auto"/>
        </w:rPr>
        <w:t xml:space="preserve">audit report. </w:t>
      </w:r>
      <w:r>
        <w:rPr>
          <w:rFonts w:ascii="Arial Unicode MS" w:cs="Arial Unicode MS" w:eastAsia="Arial Unicode MS" w:hAnsi="Arial Unicode MS"/>
          <w:sz w:val="20"/>
          <w:szCs w:val="20"/>
          <w:b w:val="1"/>
          <w:bCs w:val="1"/>
          <w:color w:val="auto"/>
        </w:rPr>
        <w:t>☐</w:t>
      </w:r>
    </w:p>
    <w:p>
      <w:pPr>
        <w:sectPr>
          <w:pgSz w:w="12240" w:h="15840" w:orient="portrait"/>
          <w:cols w:equalWidth="0" w:num="1">
            <w:col w:w="10240"/>
          </w:cols>
          <w:pgMar w:left="1000" w:top="744" w:right="1000" w:bottom="391" w:gutter="0" w:footer="0" w:header="0"/>
          <w:type w:val="continuous"/>
        </w:sectPr>
      </w:pPr>
    </w:p>
    <w:bookmarkStart w:id="1" w:name="page2"/>
    <w:bookmarkEnd w:id="1"/>
    <w:p>
      <w:pPr>
        <w:ind w:right="60"/>
        <w:spacing w:after="0" w:line="22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20"/>
          <w:szCs w:val="20"/>
          <w:b w:val="1"/>
          <w:bCs w:val="1"/>
          <w:color w:val="auto"/>
        </w:rPr>
        <w:t>☐</w:t>
      </w:r>
    </w:p>
    <w:p>
      <w:pPr>
        <w:spacing w:after="0" w:line="62" w:lineRule="exact"/>
        <w:rPr>
          <w:sz w:val="20"/>
          <w:szCs w:val="20"/>
          <w:color w:val="auto"/>
        </w:rPr>
      </w:pPr>
    </w:p>
    <w:p>
      <w:pPr>
        <w:ind w:right="80"/>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20"/>
          <w:szCs w:val="20"/>
          <w:b w:val="1"/>
          <w:bCs w:val="1"/>
          <w:color w:val="auto"/>
        </w:rPr>
        <w:t>☐</w:t>
      </w:r>
    </w:p>
    <w:p>
      <w:pPr>
        <w:spacing w:after="0" w:line="43" w:lineRule="exact"/>
        <w:rPr>
          <w:sz w:val="20"/>
          <w:szCs w:val="20"/>
          <w:color w:val="auto"/>
        </w:rPr>
      </w:pPr>
    </w:p>
    <w:p>
      <w:pPr>
        <w:spacing w:after="0" w:line="268" w:lineRule="exact"/>
        <w:tabs>
          <w:tab w:leader="none" w:pos="7400" w:val="left"/>
          <w:tab w:leader="none" w:pos="80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20"/>
          <w:szCs w:val="20"/>
          <w:b w:val="1"/>
          <w:bCs w:val="1"/>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aggregate market value of voting common equity held by non-affiliates of the registrant was $487,837,306 as of June 30, 2024.</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was 30,666,781 as of February 24, 2025.</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2025 Annual Meeting of Stockholders, scheduled to be held on June 17, 2025, are incorporated by reference into Part III of this Annual Report on Form 10-K to the extent stated herein. The Definitive Proxy Statement will be filed within 120 days of the Registrant’s fiscal year ended December 31, 2024. Except with respect to information specifically incorporated by reference in this Form 10-K, the Proxy Statement is not deemed to be filed as part of this Form 10-K.</w:t>
      </w:r>
    </w:p>
    <w:p>
      <w:pPr>
        <w:sectPr>
          <w:pgSz w:w="12240" w:h="15840" w:orient="portrait"/>
          <w:cols w:equalWidth="0" w:num="1">
            <w:col w:w="10160"/>
          </w:cols>
          <w:pgMar w:left="1000" w:top="805" w:right="10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21"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180"/>
              <w:spacing w:after="0" w:line="199" w:lineRule="exact"/>
              <w:rPr>
                <w:sz w:val="20"/>
                <w:szCs w:val="20"/>
                <w:color w:val="auto"/>
              </w:rPr>
            </w:pPr>
            <w:r>
              <w:rPr>
                <w:rFonts w:ascii="Times New Roman" w:cs="Times New Roman" w:eastAsia="Times New Roman" w:hAnsi="Times New Roman"/>
                <w:sz w:val="18"/>
                <w:szCs w:val="18"/>
                <w:color w:val="auto"/>
              </w:rPr>
              <w:t>Item 1.</w:t>
            </w:r>
          </w:p>
        </w:tc>
        <w:tc>
          <w:tcPr>
            <w:tcW w:w="8820" w:type="dxa"/>
            <w:vAlign w:val="bottom"/>
            <w:gridSpan w:val="8"/>
          </w:tcPr>
          <w:p>
            <w:pPr>
              <w:spacing w:after="0" w:line="199" w:lineRule="exact"/>
              <w:rPr>
                <w:sz w:val="20"/>
                <w:szCs w:val="20"/>
                <w:color w:val="auto"/>
              </w:rPr>
            </w:pPr>
            <w:r>
              <w:rPr>
                <w:rFonts w:ascii="Times New Roman" w:cs="Times New Roman" w:eastAsia="Times New Roman" w:hAnsi="Times New Roman"/>
                <w:sz w:val="18"/>
                <w:szCs w:val="18"/>
                <w:color w:val="0000FF"/>
              </w:rPr>
              <w:t>Business</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1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1"/>
        </w:trPr>
        <w:tc>
          <w:tcPr>
            <w:tcW w:w="1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Item 1A.</w:t>
            </w:r>
          </w:p>
        </w:tc>
        <w:tc>
          <w:tcPr>
            <w:tcW w:w="882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Risk Factors</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74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7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1"/>
        </w:trPr>
        <w:tc>
          <w:tcPr>
            <w:tcW w:w="1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Item 1B.</w:t>
            </w:r>
          </w:p>
        </w:tc>
        <w:tc>
          <w:tcPr>
            <w:tcW w:w="882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Unresolved Staff Comments</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740" w:type="dxa"/>
            <w:vAlign w:val="bottom"/>
            <w:tcBorders>
              <w:top w:val="single" w:sz="8" w:color="0000FF"/>
            </w:tcBorders>
            <w:gridSpan w:val="2"/>
          </w:tcPr>
          <w:p>
            <w:pPr>
              <w:spacing w:after="0"/>
              <w:rPr>
                <w:sz w:val="18"/>
                <w:szCs w:val="18"/>
                <w:color w:val="auto"/>
              </w:rPr>
            </w:pPr>
          </w:p>
        </w:tc>
        <w:tc>
          <w:tcPr>
            <w:tcW w:w="280" w:type="dxa"/>
            <w:vAlign w:val="bottom"/>
            <w:tcBorders>
              <w:top w:val="single" w:sz="8" w:color="0000FF"/>
            </w:tcBorders>
            <w:gridSpan w:val="2"/>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1"/>
        </w:trPr>
        <w:tc>
          <w:tcPr>
            <w:tcW w:w="1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Item 1C.</w:t>
            </w:r>
          </w:p>
        </w:tc>
        <w:tc>
          <w:tcPr>
            <w:tcW w:w="882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Cybersecurity</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740" w:type="dxa"/>
            <w:vAlign w:val="bottom"/>
            <w:tcBorders>
              <w:top w:val="single" w:sz="8" w:color="0000FF"/>
            </w:tcBorders>
            <w:gridSpan w:val="2"/>
          </w:tcPr>
          <w:p>
            <w:pPr>
              <w:spacing w:after="0"/>
              <w:rPr>
                <w:sz w:val="18"/>
                <w:szCs w:val="18"/>
                <w:color w:val="auto"/>
              </w:rPr>
            </w:pPr>
          </w:p>
        </w:tc>
        <w:tc>
          <w:tcPr>
            <w:tcW w:w="280" w:type="dxa"/>
            <w:vAlign w:val="bottom"/>
            <w:tcBorders>
              <w:top w:val="single" w:sz="8" w:color="0000FF"/>
            </w:tcBorders>
            <w:gridSpan w:val="2"/>
          </w:tcPr>
          <w:p>
            <w:pPr>
              <w:spacing w:after="0"/>
              <w:rPr>
                <w:sz w:val="18"/>
                <w:szCs w:val="18"/>
                <w:color w:val="auto"/>
              </w:rPr>
            </w:pPr>
          </w:p>
        </w:tc>
        <w:tc>
          <w:tcPr>
            <w:tcW w:w="7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1"/>
        </w:trPr>
        <w:tc>
          <w:tcPr>
            <w:tcW w:w="1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Item 2.</w:t>
            </w:r>
          </w:p>
        </w:tc>
        <w:tc>
          <w:tcPr>
            <w:tcW w:w="882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Properties</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740" w:type="dxa"/>
            <w:vAlign w:val="bottom"/>
            <w:tcBorders>
              <w:top w:val="single" w:sz="8" w:color="0000FF"/>
            </w:tcBorders>
            <w:gridSpan w:val="2"/>
          </w:tcPr>
          <w:p>
            <w:pPr>
              <w:spacing w:after="0"/>
              <w:rPr>
                <w:sz w:val="18"/>
                <w:szCs w:val="18"/>
                <w:color w:val="auto"/>
              </w:rPr>
            </w:pPr>
          </w:p>
        </w:tc>
        <w:tc>
          <w:tcPr>
            <w:tcW w:w="80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1"/>
        </w:trPr>
        <w:tc>
          <w:tcPr>
            <w:tcW w:w="1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Item 3.</w:t>
            </w:r>
          </w:p>
        </w:tc>
        <w:tc>
          <w:tcPr>
            <w:tcW w:w="882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Legal Proceedings</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1340" w:type="dxa"/>
            <w:vAlign w:val="bottom"/>
            <w:tcBorders>
              <w:top w:val="single" w:sz="8" w:color="0000FF"/>
            </w:tcBorders>
            <w:gridSpan w:val="5"/>
          </w:tcPr>
          <w:p>
            <w:pPr>
              <w:spacing w:after="0"/>
              <w:rPr>
                <w:sz w:val="18"/>
                <w:szCs w:val="18"/>
                <w:color w:val="auto"/>
              </w:rPr>
            </w:pPr>
          </w:p>
        </w:tc>
        <w:tc>
          <w:tcPr>
            <w:tcW w:w="7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1"/>
        </w:trPr>
        <w:tc>
          <w:tcPr>
            <w:tcW w:w="1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Item 4.</w:t>
            </w:r>
          </w:p>
        </w:tc>
        <w:tc>
          <w:tcPr>
            <w:tcW w:w="882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Mine Safety Disclosures</w:t>
            </w:r>
          </w:p>
        </w:tc>
        <w:tc>
          <w:tcPr>
            <w:tcW w:w="0" w:type="dxa"/>
            <w:vAlign w:val="bottom"/>
          </w:tcPr>
          <w:p>
            <w:pPr>
              <w:spacing w:after="0"/>
              <w:rPr>
                <w:sz w:val="1"/>
                <w:szCs w:val="1"/>
                <w:color w:val="auto"/>
              </w:rPr>
            </w:pPr>
          </w:p>
        </w:tc>
      </w:tr>
      <w:tr>
        <w:trPr>
          <w:trHeight w:val="214"/>
        </w:trPr>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80" w:type="dxa"/>
            <w:vAlign w:val="bottom"/>
            <w:tcBorders>
              <w:top w:val="single" w:sz="8" w:color="0000FF"/>
            </w:tcBorders>
            <w:gridSpan w:val="6"/>
          </w:tcPr>
          <w:p>
            <w:pPr>
              <w:spacing w:after="0"/>
              <w:rPr>
                <w:sz w:val="18"/>
                <w:szCs w:val="18"/>
                <w:color w:val="auto"/>
              </w:rPr>
            </w:pP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92"/>
        </w:trPr>
        <w:tc>
          <w:tcPr>
            <w:tcW w:w="14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2240" w:h="15840" w:orient="portrait"/>
          <w:cols w:equalWidth="0" w:num="1">
            <w:col w:w="10240"/>
          </w:cols>
          <w:pgMar w:left="1000" w:top="786" w:right="1000" w:bottom="1440" w:gutter="0" w:footer="0" w:header="0"/>
        </w:sectPr>
      </w:pPr>
    </w:p>
    <w:tbl>
      <w:tblPr>
        <w:tblLayout w:type="fixed"/>
        <w:tblInd w:w="40" w:type="dxa"/>
        <w:tblCellMar>
          <w:top w:w="0" w:type="dxa"/>
          <w:left w:w="0" w:type="dxa"/>
          <w:bottom w:w="0" w:type="dxa"/>
          <w:right w:w="0" w:type="dxa"/>
        </w:tblCellMar>
      </w:tblPr>
      <w:tr>
        <w:trPr>
          <w:trHeight w:val="207"/>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7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r>
      <w:tr>
        <w:trPr>
          <w:trHeight w:val="160"/>
        </w:trPr>
        <w:tc>
          <w:tcPr>
            <w:tcW w:w="1380" w:type="dxa"/>
            <w:vAlign w:val="bottom"/>
          </w:tcPr>
          <w:p>
            <w:pPr>
              <w:spacing w:after="0"/>
              <w:rPr>
                <w:sz w:val="13"/>
                <w:szCs w:val="13"/>
                <w:color w:val="auto"/>
              </w:rPr>
            </w:pPr>
          </w:p>
        </w:tc>
        <w:tc>
          <w:tcPr>
            <w:tcW w:w="760" w:type="dxa"/>
            <w:vAlign w:val="bottom"/>
            <w:tcBorders>
              <w:bottom w:val="single" w:sz="8" w:color="0000FF"/>
            </w:tcBorders>
            <w:gridSpan w:val="2"/>
          </w:tcPr>
          <w:p>
            <w:pPr>
              <w:spacing w:after="0" w:line="160" w:lineRule="exact"/>
              <w:rPr>
                <w:sz w:val="20"/>
                <w:szCs w:val="20"/>
                <w:color w:val="auto"/>
              </w:rPr>
            </w:pPr>
            <w:r>
              <w:rPr>
                <w:rFonts w:ascii="Times New Roman" w:cs="Times New Roman" w:eastAsia="Times New Roman" w:hAnsi="Times New Roman"/>
                <w:sz w:val="18"/>
                <w:szCs w:val="18"/>
                <w:color w:val="0000FF"/>
              </w:rPr>
              <w:t>Securities</w:t>
            </w:r>
          </w:p>
        </w:tc>
        <w:tc>
          <w:tcPr>
            <w:tcW w:w="6620" w:type="dxa"/>
            <w:vAlign w:val="bottom"/>
            <w:gridSpan w:val="15"/>
          </w:tcPr>
          <w:p>
            <w:pPr>
              <w:spacing w:after="0"/>
              <w:rPr>
                <w:sz w:val="13"/>
                <w:szCs w:val="13"/>
                <w:color w:val="auto"/>
              </w:rPr>
            </w:pPr>
          </w:p>
        </w:tc>
      </w:tr>
      <w:tr>
        <w:trPr>
          <w:trHeight w:val="23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6700" w:type="dxa"/>
            <w:vAlign w:val="bottom"/>
            <w:gridSpan w:val="16"/>
          </w:tcPr>
          <w:p>
            <w:pPr>
              <w:spacing w:after="0"/>
              <w:rPr>
                <w:sz w:val="20"/>
                <w:szCs w:val="20"/>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7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gridSpan w:val="3"/>
          </w:tcPr>
          <w:p>
            <w:pPr>
              <w:spacing w:after="0"/>
              <w:rPr>
                <w:sz w:val="24"/>
                <w:szCs w:val="24"/>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Financial Statements and Supplementary Data</w:t>
            </w:r>
          </w:p>
        </w:tc>
        <w:tc>
          <w:tcPr>
            <w:tcW w:w="3020" w:type="dxa"/>
            <w:vAlign w:val="bottom"/>
            <w:gridSpan w:val="6"/>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7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40" w:type="dxa"/>
            <w:vAlign w:val="bottom"/>
            <w:tcBorders>
              <w:top w:val="single" w:sz="8" w:color="0000FF"/>
            </w:tcBorders>
            <w:gridSpan w:val="10"/>
          </w:tcPr>
          <w:p>
            <w:pPr>
              <w:spacing w:after="0"/>
              <w:rPr>
                <w:sz w:val="24"/>
                <w:szCs w:val="24"/>
                <w:color w:val="auto"/>
              </w:rPr>
            </w:pPr>
          </w:p>
        </w:tc>
        <w:tc>
          <w:tcPr>
            <w:tcW w:w="860" w:type="dxa"/>
            <w:vAlign w:val="bottom"/>
            <w:gridSpan w:val="2"/>
          </w:tcPr>
          <w:p>
            <w:pPr>
              <w:spacing w:after="0"/>
              <w:rPr>
                <w:sz w:val="24"/>
                <w:szCs w:val="24"/>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060" w:type="dxa"/>
            <w:vAlign w:val="bottom"/>
            <w:gridSpan w:val="14"/>
          </w:tcPr>
          <w:p>
            <w:pPr>
              <w:spacing w:after="0"/>
              <w:rPr>
                <w:sz w:val="24"/>
                <w:szCs w:val="24"/>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9C.</w:t>
            </w:r>
          </w:p>
        </w:tc>
        <w:tc>
          <w:tcPr>
            <w:tcW w:w="7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r>
      <w:tr>
        <w:trPr>
          <w:trHeight w:val="526"/>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9"/>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7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280" w:type="dxa"/>
            <w:vAlign w:val="bottom"/>
            <w:gridSpan w:val="8"/>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80" w:type="dxa"/>
            <w:vAlign w:val="bottom"/>
          </w:tcPr>
          <w:p>
            <w:pPr>
              <w:spacing w:after="0"/>
              <w:rPr>
                <w:sz w:val="24"/>
                <w:szCs w:val="24"/>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7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920" w:type="dxa"/>
            <w:vAlign w:val="bottom"/>
            <w:gridSpan w:val="4"/>
          </w:tcPr>
          <w:p>
            <w:pPr>
              <w:spacing w:after="0"/>
              <w:rPr>
                <w:sz w:val="24"/>
                <w:szCs w:val="24"/>
                <w:color w:val="auto"/>
              </w:rPr>
            </w:pPr>
          </w:p>
        </w:tc>
      </w:tr>
      <w:tr>
        <w:trPr>
          <w:trHeight w:val="706"/>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9"/>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3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Exhibits, Consolidated Financial Statement Schedules</w:t>
            </w:r>
          </w:p>
        </w:tc>
        <w:tc>
          <w:tcPr>
            <w:tcW w:w="3480" w:type="dxa"/>
            <w:vAlign w:val="bottom"/>
            <w:gridSpan w:val="9"/>
          </w:tcPr>
          <w:p>
            <w:pPr>
              <w:spacing w:after="0"/>
              <w:rPr>
                <w:sz w:val="19"/>
                <w:szCs w:val="19"/>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5820" w:type="dxa"/>
            <w:vAlign w:val="bottom"/>
            <w:gridSpan w:val="13"/>
          </w:tcPr>
          <w:p>
            <w:pPr>
              <w:spacing w:after="0"/>
              <w:rPr>
                <w:sz w:val="24"/>
                <w:szCs w:val="24"/>
                <w:color w:val="auto"/>
              </w:rPr>
            </w:pPr>
          </w:p>
        </w:tc>
      </w:tr>
      <w:tr>
        <w:trPr>
          <w:trHeight w:val="415"/>
        </w:trPr>
        <w:tc>
          <w:tcPr>
            <w:tcW w:w="1380" w:type="dxa"/>
            <w:vAlign w:val="bottom"/>
          </w:tcPr>
          <w:p>
            <w:pPr>
              <w:spacing w:after="0"/>
              <w:rPr>
                <w:sz w:val="24"/>
                <w:szCs w:val="24"/>
                <w:color w:val="auto"/>
              </w:rPr>
            </w:pPr>
          </w:p>
        </w:tc>
        <w:tc>
          <w:tcPr>
            <w:tcW w:w="7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r>
      <w:tr>
        <w:trPr>
          <w:trHeight w:val="20"/>
        </w:trPr>
        <w:tc>
          <w:tcPr>
            <w:tcW w:w="13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53</w:t>
      </w:r>
    </w:p>
    <w:p>
      <w:pPr>
        <w:spacing w:after="0" w:line="2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53</w:t>
      </w:r>
    </w:p>
    <w:p>
      <w:pPr>
        <w:spacing w:after="0" w:line="2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54</w:t>
      </w:r>
    </w:p>
    <w:p>
      <w:pPr>
        <w:spacing w:after="0" w:line="2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65</w:t>
      </w:r>
    </w:p>
    <w:p>
      <w:pPr>
        <w:spacing w:after="0" w:line="2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67</w:t>
      </w:r>
    </w:p>
    <w:p>
      <w:pPr>
        <w:spacing w:after="0" w:line="2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96</w:t>
      </w:r>
    </w:p>
    <w:p>
      <w:pPr>
        <w:spacing w:after="0" w:line="2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96</w:t>
      </w:r>
    </w:p>
    <w:p>
      <w:pPr>
        <w:spacing w:after="0" w:line="2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96</w:t>
      </w:r>
    </w:p>
    <w:p>
      <w:pPr>
        <w:spacing w:after="0" w:line="4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97</w:t>
      </w:r>
    </w:p>
    <w:p>
      <w:pPr>
        <w:spacing w:after="0" w:line="2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97</w:t>
      </w:r>
    </w:p>
    <w:p>
      <w:pPr>
        <w:spacing w:after="0" w:line="2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97</w:t>
      </w:r>
    </w:p>
    <w:p>
      <w:pPr>
        <w:spacing w:after="0" w:line="2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97</w:t>
      </w:r>
    </w:p>
    <w:p>
      <w:pPr>
        <w:spacing w:after="0" w:line="2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98</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w:t>
      </w:r>
    </w:p>
    <w:p>
      <w:pPr>
        <w:sectPr>
          <w:pgSz w:w="12240" w:h="15840" w:orient="portrait"/>
          <w:cols w:equalWidth="0" w:num="2">
            <w:col w:w="9200" w:space="720"/>
            <w:col w:w="320"/>
          </w:cols>
          <w:pgMar w:left="1000" w:top="786" w:right="1000"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57"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0"/>
          <w:szCs w:val="20"/>
          <w:color w:val="auto"/>
        </w:rPr>
        <w:t>This Annual Report on Form 10-K (“Annual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forward-looking statements in this report include, among other things, statements about:</w:t>
      </w:r>
    </w:p>
    <w:p>
      <w:pPr>
        <w:spacing w:after="0" w:line="130" w:lineRule="exact"/>
        <w:rPr>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cost, and timing of our product candidate development activities and ongoing and planned clinical trials;</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and ability to develop and commercialize antibodies;</w:t>
      </w:r>
    </w:p>
    <w:p>
      <w:pPr>
        <w:spacing w:after="0" w:line="130" w:lineRule="exact"/>
        <w:rPr>
          <w:rFonts w:ascii="Times New Roman" w:cs="Times New Roman" w:eastAsia="Times New Roman" w:hAnsi="Times New Roman"/>
          <w:sz w:val="20"/>
          <w:szCs w:val="20"/>
          <w:color w:val="auto"/>
        </w:rPr>
      </w:pPr>
    </w:p>
    <w:p>
      <w:pPr>
        <w:ind w:left="720" w:right="180" w:hanging="36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likelihood that the clinical data generated in any study we performed, are performing, or plan to perform in a non-U.S. jurisdiction will be subsequently accepted by the </w:t>
      </w:r>
      <w:r>
        <w:rPr>
          <w:rFonts w:ascii="Times New Roman" w:cs="Times New Roman" w:eastAsia="Times New Roman" w:hAnsi="Times New Roman"/>
          <w:sz w:val="20"/>
          <w:szCs w:val="20"/>
          <w:color w:val="231F20"/>
        </w:rPr>
        <w:t>U.S. Food and Drug Administration (“FDA”)</w:t>
      </w:r>
      <w:r>
        <w:rPr>
          <w:rFonts w:ascii="Times New Roman" w:cs="Times New Roman" w:eastAsia="Times New Roman" w:hAnsi="Times New Roman"/>
          <w:sz w:val="20"/>
          <w:szCs w:val="20"/>
          <w:color w:val="auto"/>
        </w:rPr>
        <w:t xml:space="preserve"> and/or by foreign regulatory authorities outside of the jurisdiction where the study was being performed;</w:t>
      </w:r>
    </w:p>
    <w:p>
      <w:pPr>
        <w:spacing w:after="0" w:line="7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benefits and advantages of our product candidates and approaches versus those of our competitors;</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competing therapies that are or may become available;</w:t>
      </w:r>
    </w:p>
    <w:p>
      <w:pPr>
        <w:spacing w:after="0" w:line="130" w:lineRule="exact"/>
        <w:rPr>
          <w:rFonts w:ascii="Times New Roman" w:cs="Times New Roman" w:eastAsia="Times New Roman" w:hAnsi="Times New Roman"/>
          <w:sz w:val="20"/>
          <w:szCs w:val="20"/>
          <w:color w:val="auto"/>
        </w:rPr>
      </w:pPr>
    </w:p>
    <w:p>
      <w:pPr>
        <w:ind w:left="720" w:right="640" w:hanging="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and the ability to obtain and maintain regulatory approvals for our product candidates, partnered product candidates and/or product candidates for which we may receive royalties;</w:t>
      </w:r>
    </w:p>
    <w:p>
      <w:pPr>
        <w:spacing w:after="0" w:line="6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and degree of market acceptance and clinical utility of any approved product candidates;</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growth potential of the markets for any approved product candidates, and our ability to serve those markets;</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developments in the U.S. and foreign countries;</w:t>
      </w:r>
    </w:p>
    <w:p>
      <w:pPr>
        <w:spacing w:after="0" w:line="130" w:lineRule="exact"/>
        <w:rPr>
          <w:rFonts w:ascii="Times New Roman" w:cs="Times New Roman" w:eastAsia="Times New Roman" w:hAnsi="Times New Roman"/>
          <w:sz w:val="20"/>
          <w:szCs w:val="20"/>
          <w:color w:val="auto"/>
        </w:rPr>
      </w:pPr>
    </w:p>
    <w:p>
      <w:pPr>
        <w:ind w:left="720" w:right="920" w:hanging="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political, economic or public health events on our business and the United States (“U.S.”) and global economies;</w:t>
      </w:r>
    </w:p>
    <w:p>
      <w:pPr>
        <w:spacing w:after="0" w:line="6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key scientific or management personnel;</w:t>
      </w:r>
    </w:p>
    <w:p>
      <w:pPr>
        <w:spacing w:after="0" w:line="130" w:lineRule="exact"/>
        <w:rPr>
          <w:rFonts w:ascii="Times New Roman" w:cs="Times New Roman" w:eastAsia="Times New Roman" w:hAnsi="Times New Roman"/>
          <w:sz w:val="20"/>
          <w:szCs w:val="20"/>
          <w:color w:val="auto"/>
        </w:rPr>
      </w:pPr>
    </w:p>
    <w:p>
      <w:pPr>
        <w:ind w:left="720" w:right="20" w:hanging="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macro-economic factors, including volatility in equity markets, and fluctuations in interest rates and foreign exchange rates;</w:t>
      </w:r>
    </w:p>
    <w:p>
      <w:pPr>
        <w:spacing w:after="0" w:line="61" w:lineRule="exact"/>
        <w:rPr>
          <w:rFonts w:ascii="Times New Roman" w:cs="Times New Roman" w:eastAsia="Times New Roman" w:hAnsi="Times New Roman"/>
          <w:sz w:val="20"/>
          <w:szCs w:val="20"/>
          <w:color w:val="auto"/>
        </w:rPr>
      </w:pPr>
    </w:p>
    <w:p>
      <w:pPr>
        <w:ind w:left="720" w:right="200" w:hanging="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funding for our operations on favorable terms or at all, including funding necessary to complete further development and commercialization of our product candidates;</w:t>
      </w:r>
    </w:p>
    <w:p>
      <w:pPr>
        <w:spacing w:after="0" w:line="6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find a licensing partner for etokimab;</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ability of our collaborators to develop and commercialize our partnered product candidates;</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the net proceeds from our public offerings and other financing transactions; and</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regarding expenses, future revenue, capital requirements, and needs for additional financing.</w:t>
      </w:r>
    </w:p>
    <w:p>
      <w:pPr>
        <w:spacing w:after="0" w:line="250" w:lineRule="exact"/>
        <w:rPr>
          <w:sz w:val="20"/>
          <w:szCs w:val="20"/>
          <w:color w:val="auto"/>
        </w:rPr>
      </w:pPr>
    </w:p>
    <w:p>
      <w:pPr>
        <w:ind w:right="120" w:firstLine="630"/>
        <w:spacing w:after="0" w:line="255" w:lineRule="auto"/>
        <w:rPr>
          <w:sz w:val="20"/>
          <w:szCs w:val="20"/>
          <w:color w:val="auto"/>
        </w:rPr>
      </w:pPr>
      <w:r>
        <w:rPr>
          <w:rFonts w:ascii="Times New Roman" w:cs="Times New Roman" w:eastAsia="Times New Roman" w:hAnsi="Times New Roman"/>
          <w:sz w:val="20"/>
          <w:szCs w:val="20"/>
          <w:color w:val="auto"/>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90" w:lineRule="exact"/>
        <w:rPr>
          <w:sz w:val="20"/>
          <w:szCs w:val="20"/>
          <w:color w:val="auto"/>
        </w:rPr>
      </w:pPr>
    </w:p>
    <w:p>
      <w:pPr>
        <w:ind w:right="140" w:firstLine="630"/>
        <w:spacing w:after="0" w:line="258" w:lineRule="auto"/>
        <w:rPr>
          <w:sz w:val="20"/>
          <w:szCs w:val="20"/>
          <w:color w:val="auto"/>
        </w:rPr>
      </w:pPr>
      <w:r>
        <w:rPr>
          <w:rFonts w:ascii="Times New Roman" w:cs="Times New Roman" w:eastAsia="Times New Roman" w:hAnsi="Times New Roman"/>
          <w:sz w:val="20"/>
          <w:szCs w:val="20"/>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84" w:lineRule="exact"/>
        <w:rPr>
          <w:sz w:val="20"/>
          <w:szCs w:val="20"/>
          <w:color w:val="auto"/>
        </w:rPr>
      </w:pPr>
    </w:p>
    <w:p>
      <w:pPr>
        <w:ind w:right="180" w:firstLine="630"/>
        <w:spacing w:after="0" w:line="281" w:lineRule="auto"/>
        <w:rPr>
          <w:sz w:val="20"/>
          <w:szCs w:val="20"/>
          <w:color w:val="auto"/>
        </w:rPr>
      </w:pPr>
      <w:r>
        <w:rPr>
          <w:rFonts w:ascii="Times New Roman" w:cs="Times New Roman" w:eastAsia="Times New Roman" w:hAnsi="Times New Roman"/>
          <w:sz w:val="20"/>
          <w:szCs w:val="20"/>
          <w:color w:val="auto"/>
        </w:rPr>
        <w:t>You should read this Annual Report with the understanding that our actual future results, levels of activity, performance, and events and circumstances may be materially different from what we expect.</w:t>
      </w:r>
    </w:p>
    <w:p>
      <w:pPr>
        <w:spacing w:after="0" w:line="61" w:lineRule="exact"/>
        <w:rPr>
          <w:sz w:val="20"/>
          <w:szCs w:val="20"/>
          <w:color w:val="auto"/>
        </w:rPr>
      </w:pPr>
    </w:p>
    <w:p>
      <w:pPr>
        <w:ind w:right="120" w:firstLine="630"/>
        <w:spacing w:after="0" w:line="286" w:lineRule="auto"/>
        <w:rPr>
          <w:sz w:val="20"/>
          <w:szCs w:val="20"/>
          <w:color w:val="auto"/>
        </w:rPr>
      </w:pPr>
      <w:r>
        <w:rPr>
          <w:rFonts w:ascii="Times New Roman" w:cs="Times New Roman" w:eastAsia="Times New Roman" w:hAnsi="Times New Roman"/>
          <w:sz w:val="19"/>
          <w:szCs w:val="19"/>
          <w:color w:val="auto"/>
        </w:rPr>
        <w:t>Unless the context indicates otherwise, as used in this Annual Report, the terms “AnaptysBio,” “Anaptys,” “company,” “we,” “us” and “our” refer to AnaptysBio, Inc., a Delaware corporation, and its subsidiaries taken as a whole, unless otherwise noted. AnaptysBio is our common law trademark. This Annual Report contains additional trade names, trademarks, and service marks of</w:t>
      </w:r>
    </w:p>
    <w:p>
      <w:pPr>
        <w:sectPr>
          <w:pgSz w:w="12240" w:h="15840" w:orient="portrait"/>
          <w:cols w:equalWidth="0" w:num="1">
            <w:col w:w="10800"/>
          </w:cols>
          <w:pgMar w:left="720" w:top="651" w:right="720"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00"/>
          </w:cols>
          <w:pgMar w:left="720" w:top="651" w:right="720" w:bottom="0" w:gutter="0" w:footer="0" w:header="0"/>
          <w:type w:val="continuous"/>
        </w:sectPr>
      </w:pPr>
    </w:p>
    <w:bookmarkStart w:id="4" w:name="page5"/>
    <w:bookmarkEnd w:id="4"/>
    <w:p>
      <w:pPr>
        <w:jc w:val="both"/>
        <w:spacing w:after="0" w:line="309" w:lineRule="auto"/>
        <w:rPr>
          <w:sz w:val="20"/>
          <w:szCs w:val="20"/>
          <w:color w:val="auto"/>
        </w:rPr>
      </w:pPr>
      <w:r>
        <w:rPr>
          <w:rFonts w:ascii="Times New Roman" w:cs="Times New Roman" w:eastAsia="Times New Roman" w:hAnsi="Times New Roman"/>
          <w:sz w:val="19"/>
          <w:szCs w:val="19"/>
          <w:color w:val="auto"/>
        </w:rPr>
        <w:t>other companies, which are the property of their respective owners. We do not intend our use or display of other companies’ trade names, trademarks, or service marks to imply a relationship with, or endorsement or sponsorship of us by, these other companies.</w:t>
      </w:r>
    </w:p>
    <w:p>
      <w:pPr>
        <w:sectPr>
          <w:pgSz w:w="12240" w:h="15840" w:orient="portrait"/>
          <w:cols w:equalWidth="0" w:num="1">
            <w:col w:w="10400"/>
          </w:cols>
          <w:pgMar w:left="720" w:top="65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400"/>
          </w:cols>
          <w:pgMar w:left="720" w:top="658" w:right="1120" w:bottom="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7" w:lineRule="exact"/>
        <w:rPr>
          <w:sz w:val="20"/>
          <w:szCs w:val="20"/>
          <w:color w:val="auto"/>
        </w:rPr>
      </w:pPr>
    </w:p>
    <w:p>
      <w:pPr>
        <w:ind w:right="20" w:firstLine="540"/>
        <w:spacing w:after="0" w:line="270" w:lineRule="auto"/>
        <w:rPr>
          <w:sz w:val="20"/>
          <w:szCs w:val="20"/>
          <w:color w:val="auto"/>
        </w:rPr>
      </w:pPr>
      <w:r>
        <w:rPr>
          <w:rFonts w:ascii="Times New Roman" w:cs="Times New Roman" w:eastAsia="Times New Roman" w:hAnsi="Times New Roman"/>
          <w:sz w:val="19"/>
          <w:szCs w:val="19"/>
          <w:color w:val="auto"/>
        </w:rPr>
        <w:t>We are a clinical-stage biotechnology company focused on delivering innovative immunology therapeutics for autoimmune and inflammatory diseases. Our pipeline includes our lead program, rosnilimab, a depleter and agonist targeting PD-1+ T cells, in a Phase 2b trial for the treatment of moderate-to-severe rheumatoid arthritis (“RA”) and a Phase 2 trial for the treatment of moderate-to-severe ulcerative colitis (“UC”). We also have other antibodies in our portfolio, including ANB033, a CD122 antagonist in a Phase 1 trial and ANB101, a BDCA2 modulator, entering a Phase 1 trial. We have also discovered multiple therapeutic antibodies licensed to GlaxoSmithKline, Inc. (“GSK”) in a financial collaboration for immuno-oncology, including a PD-1 antagonist (</w:t>
      </w:r>
      <w:r>
        <w:rPr>
          <w:rFonts w:ascii="Times New Roman" w:cs="Times New Roman" w:eastAsia="Times New Roman" w:hAnsi="Times New Roman"/>
          <w:sz w:val="19"/>
          <w:szCs w:val="19"/>
          <w:b w:val="1"/>
          <w:bCs w:val="1"/>
          <w:i w:val="1"/>
          <w:iCs w:val="1"/>
          <w:color w:val="auto"/>
        </w:rPr>
        <w:t>Jemperli</w:t>
      </w:r>
      <w:r>
        <w:rPr>
          <w:rFonts w:ascii="Times New Roman" w:cs="Times New Roman" w:eastAsia="Times New Roman" w:hAnsi="Times New Roman"/>
          <w:sz w:val="19"/>
          <w:szCs w:val="19"/>
          <w:color w:val="auto"/>
        </w:rPr>
        <w:t xml:space="preserve"> (dostarlimab-gxly) or “</w:t>
      </w:r>
      <w:r>
        <w:rPr>
          <w:rFonts w:ascii="Times New Roman" w:cs="Times New Roman" w:eastAsia="Times New Roman" w:hAnsi="Times New Roman"/>
          <w:sz w:val="19"/>
          <w:szCs w:val="19"/>
          <w:b w:val="1"/>
          <w:bCs w:val="1"/>
          <w:i w:val="1"/>
          <w:iCs w:val="1"/>
          <w:color w:val="auto"/>
        </w:rPr>
        <w:t>Jemperli</w:t>
      </w:r>
      <w:r>
        <w:rPr>
          <w:rFonts w:ascii="Times New Roman" w:cs="Times New Roman" w:eastAsia="Times New Roman" w:hAnsi="Times New Roman"/>
          <w:sz w:val="19"/>
          <w:szCs w:val="19"/>
          <w:color w:val="auto"/>
        </w:rPr>
        <w:t>”) and a TIM-3 antagonist (cobolimab, GSK4069889). We currently recognize revenue from milestones and royalties achieved under our immuno-oncology collaboration with GSK.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Wholly Owned Product Candidate Pipeline</w:t>
      </w:r>
    </w:p>
    <w:p>
      <w:pPr>
        <w:spacing w:after="0" w:line="137" w:lineRule="exact"/>
        <w:rPr>
          <w:sz w:val="20"/>
          <w:szCs w:val="20"/>
          <w:color w:val="auto"/>
        </w:rPr>
      </w:pPr>
    </w:p>
    <w:p>
      <w:pPr>
        <w:ind w:right="20" w:firstLine="540"/>
        <w:spacing w:after="0" w:line="260" w:lineRule="auto"/>
        <w:rPr>
          <w:sz w:val="20"/>
          <w:szCs w:val="20"/>
          <w:color w:val="auto"/>
        </w:rPr>
      </w:pPr>
      <w:r>
        <w:rPr>
          <w:rFonts w:ascii="Times New Roman" w:cs="Times New Roman" w:eastAsia="Times New Roman" w:hAnsi="Times New Roman"/>
          <w:sz w:val="20"/>
          <w:szCs w:val="20"/>
          <w:color w:val="auto"/>
        </w:rPr>
        <w:t>Our immune cell modulating antibodies treat inflammatory disorders by down regulating immune responses mediated by multiple immune cell types including T cells. We believe these molecules have potential applicability across a broad range of autoimmune and inflammatory diseases including dermatology, rheumatology, gastroenterology, respiratory, and neurology therapeutic areas.</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Rosnilimab</w:t>
      </w:r>
    </w:p>
    <w:p>
      <w:pPr>
        <w:spacing w:after="0" w:line="139" w:lineRule="exact"/>
        <w:rPr>
          <w:sz w:val="20"/>
          <w:szCs w:val="20"/>
          <w:color w:val="auto"/>
        </w:rPr>
      </w:pPr>
    </w:p>
    <w:p>
      <w:pPr>
        <w:ind w:right="40" w:firstLine="540"/>
        <w:spacing w:after="0" w:line="258" w:lineRule="auto"/>
        <w:rPr>
          <w:sz w:val="20"/>
          <w:szCs w:val="20"/>
          <w:color w:val="auto"/>
        </w:rPr>
      </w:pPr>
      <w:r>
        <w:rPr>
          <w:rFonts w:ascii="Times New Roman" w:cs="Times New Roman" w:eastAsia="Times New Roman" w:hAnsi="Times New Roman"/>
          <w:sz w:val="20"/>
          <w:szCs w:val="20"/>
          <w:color w:val="auto"/>
        </w:rPr>
        <w:t>PD-1, or programmed cell death protein 1, is a co-inhibitory receptor that regulates T cell proliferation, and cytokine secretion. It is expressed preferentially on activated T cells, reducing the potential for off-target activity by rosnilimab. Genetic mutations in the PD-1 pathway are known to be associated with increased susceptibility to human inflammatory diseases which leads us to believe that rosnilimab is applicable to diseases where PD-1 co-inhibitory receptor function may be insufficient to maintain immune homeostasis.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Rosnilimab is an IgG1 antibody that directly targets PD-1+ T cells, resulting in their depletion or agonism, broadly</w:t>
      </w:r>
    </w:p>
    <w:p>
      <w:pPr>
        <w:spacing w:after="0" w:line="30"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impacting pathogenic drivers of autoimmune and inflammatory diseases. An IgG1 PD-1 agonist acts through three distinct mechanisms; depletion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effector T cells, depletion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Tfh and Tph cells, and agonism of PD-1</w:t>
      </w:r>
      <w:r>
        <w:rPr>
          <w:rFonts w:ascii="Times New Roman" w:cs="Times New Roman" w:eastAsia="Times New Roman" w:hAnsi="Times New Roman"/>
          <w:sz w:val="25"/>
          <w:szCs w:val="25"/>
          <w:color w:val="auto"/>
          <w:vertAlign w:val="superscript"/>
        </w:rPr>
        <w:t>int</w:t>
      </w:r>
      <w:r>
        <w:rPr>
          <w:rFonts w:ascii="Times New Roman" w:cs="Times New Roman" w:eastAsia="Times New Roman" w:hAnsi="Times New Roman"/>
          <w:sz w:val="19"/>
          <w:szCs w:val="19"/>
          <w:color w:val="auto"/>
        </w:rPr>
        <w:t xml:space="preserve"> T cells. This</w:t>
      </w:r>
    </w:p>
    <w:p>
      <w:pPr>
        <w:spacing w:after="0" w:line="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drives specific immunological outcomes in both inflamed tissue and the periphery, such as reduction in T cell proliferation, migration, and cytokine secretion, and reduction of plasma cell generation and autoantibody levels. Rosnilimab is designed to enable formation of a tight immune synapse by binding to PD-1 on a membrane-proximal epitope, and simultaneously anchoring to an Fc receptor on an opposing cell, supporting crosslinking and excluding activating phosphatases such as CD45. Rosnilimab also facilitates depletion by bringing effector cells into closer proximity to pathogenically activated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T cells.</w:t>
      </w:r>
    </w:p>
    <w:p>
      <w:pPr>
        <w:spacing w:after="0" w:line="12" w:lineRule="exact"/>
        <w:rPr>
          <w:sz w:val="20"/>
          <w:szCs w:val="20"/>
          <w:color w:val="auto"/>
        </w:rPr>
      </w:pPr>
    </w:p>
    <w:p>
      <w:pPr>
        <w:ind w:right="140" w:firstLine="540"/>
        <w:spacing w:after="0" w:line="262"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studies, when PD-1+ T cells were cocultured in the presence of NK cells, rosnilimab demonstrated potent depletion of PD-1+ T cells. In separate in </w:t>
      </w:r>
      <w:r>
        <w:rPr>
          <w:rFonts w:ascii="Times New Roman" w:cs="Times New Roman" w:eastAsia="Times New Roman" w:hAnsi="Times New Roman"/>
          <w:sz w:val="20"/>
          <w:szCs w:val="20"/>
          <w:b w:val="1"/>
          <w:bCs w:val="1"/>
          <w:i w:val="1"/>
          <w:iCs w:val="1"/>
          <w:color w:val="auto"/>
        </w:rPr>
        <w:t>vitro</w:t>
      </w:r>
      <w:r>
        <w:rPr>
          <w:rFonts w:ascii="Times New Roman" w:cs="Times New Roman" w:eastAsia="Times New Roman" w:hAnsi="Times New Roman"/>
          <w:sz w:val="20"/>
          <w:szCs w:val="20"/>
          <w:color w:val="auto"/>
        </w:rPr>
        <w:t xml:space="preserve"> studies, in which T cells were stimulated in the presence of only dendritic cells (in the absence of any cells capable of mediating depletion), rosnilimab demonstrated potent agonism properties such as a reduction in PD-1+ T cell proliferation and reduction in secretion of inflammatory cytokines.</w:t>
      </w:r>
    </w:p>
    <w:p>
      <w:pPr>
        <w:spacing w:after="0" w:line="80"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20"/>
          <w:szCs w:val="20"/>
          <w:color w:val="auto"/>
        </w:rPr>
        <w:t>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w:t>
      </w:r>
    </w:p>
    <w:p>
      <w:pPr>
        <w:spacing w:after="0" w:line="84" w:lineRule="exact"/>
        <w:rPr>
          <w:sz w:val="20"/>
          <w:szCs w:val="20"/>
          <w:color w:val="auto"/>
        </w:rPr>
      </w:pPr>
    </w:p>
    <w:p>
      <w:pPr>
        <w:ind w:right="220" w:firstLine="540"/>
        <w:spacing w:after="0" w:line="274" w:lineRule="auto"/>
        <w:rPr>
          <w:sz w:val="20"/>
          <w:szCs w:val="20"/>
          <w:color w:val="auto"/>
        </w:rPr>
      </w:pPr>
      <w:r>
        <w:rPr>
          <w:rFonts w:ascii="Times New Roman" w:cs="Times New Roman" w:eastAsia="Times New Roman" w:hAnsi="Times New Roman"/>
          <w:sz w:val="19"/>
          <w:szCs w:val="19"/>
          <w:color w:val="auto"/>
        </w:rPr>
        <w:t>Rosnilimab demonstrated a favorable pharmacokinetic (“PK”) profile with an estimated two-week half-life for subcutaneous and IV routes of administration. Full PD-1 receptor occupancy was observed rapidly and was maintained for at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9"/>
          <w:szCs w:val="19"/>
          <w:color w:val="auto"/>
        </w:rPr>
        <w:t>least 30 days. Potent and sustained reduction was observed in peripheral PD-1+ T cells for &gt;30 days, including &gt;90% reduction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T cells and a &gt;50% reduction of PD-1+ T cells bringing the overall T cell composition to a less activated state,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without meaningfully reducing overall T cell numbers.</w:t>
      </w:r>
    </w:p>
    <w:p>
      <w:pPr>
        <w:spacing w:after="0" w:line="108" w:lineRule="exact"/>
        <w:rPr>
          <w:sz w:val="20"/>
          <w:szCs w:val="20"/>
          <w:color w:val="auto"/>
        </w:rPr>
      </w:pPr>
    </w:p>
    <w:p>
      <w:pPr>
        <w:ind w:right="320" w:firstLine="540"/>
        <w:spacing w:after="0" w:line="258" w:lineRule="auto"/>
        <w:rPr>
          <w:sz w:val="20"/>
          <w:szCs w:val="20"/>
          <w:color w:val="auto"/>
        </w:rPr>
      </w:pPr>
      <w:r>
        <w:rPr>
          <w:rFonts w:ascii="Times New Roman" w:cs="Times New Roman" w:eastAsia="Times New Roman" w:hAnsi="Times New Roman"/>
          <w:sz w:val="20"/>
          <w:szCs w:val="20"/>
          <w:color w:val="auto"/>
        </w:rPr>
        <w:t>In February 2025, we announced top-line data from rosnilimab’s randomized, placebo-controlled, global 424-patient, Phase 2b clinical trial for moderate-to-severe rheumatoid arthritis. Patients were randomized to receive either 100mg of subcutaneous rosnilimab every four weeks (Q4W), 400mg Q4W, 600mg every two weeks (Q2W), or placebo. The trial achieved its primary endpoint of the mean change from baseline in baseline disease activity score -- 28 joints (DAS-28) C-Reactive Protein (CRP) score at Week 12 for all three doses of rosnilimab compared to the placebo.</w:t>
      </w:r>
    </w:p>
    <w:p>
      <w:pPr>
        <w:spacing w:after="0" w:line="84" w:lineRule="exact"/>
        <w:rPr>
          <w:sz w:val="20"/>
          <w:szCs w:val="20"/>
          <w:color w:val="auto"/>
        </w:rPr>
      </w:pPr>
    </w:p>
    <w:p>
      <w:pPr>
        <w:ind w:right="60" w:firstLine="540"/>
        <w:spacing w:after="0" w:line="286" w:lineRule="auto"/>
        <w:rPr>
          <w:sz w:val="20"/>
          <w:szCs w:val="20"/>
          <w:color w:val="auto"/>
        </w:rPr>
      </w:pPr>
      <w:r>
        <w:rPr>
          <w:rFonts w:ascii="Times New Roman" w:cs="Times New Roman" w:eastAsia="Times New Roman" w:hAnsi="Times New Roman"/>
          <w:sz w:val="19"/>
          <w:szCs w:val="19"/>
          <w:color w:val="auto"/>
        </w:rPr>
        <w:t>Rosnilimab achieved statistical significance in at least one dose and numerical superiority at all doses, including once monthly administration, on key secondary endpoints of ACR20, ACR50 and clinical disease activity index (CDAI) low disease activity (LDA) score at Week 12. Following completion of the Week 14 visit, 69% (or 220 of the 318) rosnilimab-treated</w:t>
      </w:r>
    </w:p>
    <w:p>
      <w:pPr>
        <w:sectPr>
          <w:pgSz w:w="12240" w:h="15840" w:orient="portrait"/>
          <w:cols w:equalWidth="0" w:num="1">
            <w:col w:w="10220"/>
          </w:cols>
          <w:pgMar w:left="1000" w:top="786" w:right="1020" w:bottom="0" w:gutter="0" w:footer="0" w:header="0"/>
        </w:sect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20"/>
          </w:cols>
          <w:pgMar w:left="1000" w:top="786" w:right="1020" w:bottom="0" w:gutter="0" w:footer="0" w:header="0"/>
          <w:type w:val="continuous"/>
        </w:sectPr>
      </w:pPr>
    </w:p>
    <w:bookmarkStart w:id="6" w:name="page7"/>
    <w:bookmarkEnd w:id="6"/>
    <w:p>
      <w:pPr>
        <w:ind w:right="40"/>
        <w:spacing w:after="0" w:line="266" w:lineRule="auto"/>
        <w:rPr>
          <w:sz w:val="20"/>
          <w:szCs w:val="20"/>
          <w:color w:val="auto"/>
        </w:rPr>
      </w:pPr>
      <w:r>
        <w:rPr>
          <w:rFonts w:ascii="Times New Roman" w:cs="Times New Roman" w:eastAsia="Times New Roman" w:hAnsi="Times New Roman"/>
          <w:sz w:val="20"/>
          <w:szCs w:val="20"/>
          <w:color w:val="auto"/>
        </w:rPr>
        <w:t>patients who achieved CDAI LDA and continued their assigned treatment in a blinded, all-active treatment period as of the December 10, 2024 data cutoff, appeared to show sustained CDAI LDA, ACR50 and ACR70 responses out to end-of-treatment at Week 28. These Phase 2b data to date have demonstrated a favorable safety and tolerability profile.</w:t>
      </w:r>
    </w:p>
    <w:p>
      <w:pPr>
        <w:spacing w:after="0" w:line="75" w:lineRule="exact"/>
        <w:rPr>
          <w:sz w:val="20"/>
          <w:szCs w:val="20"/>
          <w:color w:val="auto"/>
        </w:rPr>
      </w:pPr>
    </w:p>
    <w:p>
      <w:pPr>
        <w:ind w:right="100" w:firstLine="540"/>
        <w:spacing w:after="0"/>
        <w:rPr>
          <w:sz w:val="20"/>
          <w:szCs w:val="20"/>
          <w:color w:val="auto"/>
        </w:rPr>
      </w:pPr>
      <w:r>
        <w:rPr>
          <w:rFonts w:ascii="Times New Roman" w:cs="Times New Roman" w:eastAsia="Times New Roman" w:hAnsi="Times New Roman"/>
          <w:sz w:val="20"/>
          <w:szCs w:val="20"/>
          <w:color w:val="auto"/>
        </w:rPr>
        <w:t>Translational blood biomarker data, across all doses in the Phase 2b trial, showed similar immunological impact with robust on-target pharmacological activity in rosnilimab-treated patients that was not observed in patients on placebo. Rosnilimab demonstrated rapid and sustained reduction of approximately 90% PD-1</w:t>
      </w:r>
      <w:r>
        <w:rPr>
          <w:rFonts w:ascii="Times New Roman" w:cs="Times New Roman" w:eastAsia="Times New Roman" w:hAnsi="Times New Roman"/>
          <w:sz w:val="26"/>
          <w:szCs w:val="26"/>
          <w:color w:val="auto"/>
          <w:vertAlign w:val="superscript"/>
        </w:rPr>
        <w:t>high</w:t>
      </w:r>
      <w:r>
        <w:rPr>
          <w:rFonts w:ascii="Times New Roman" w:cs="Times New Roman" w:eastAsia="Times New Roman" w:hAnsi="Times New Roman"/>
          <w:sz w:val="20"/>
          <w:szCs w:val="20"/>
          <w:color w:val="auto"/>
        </w:rPr>
        <w:t xml:space="preserve"> T cells and approximately 50% of PD-1+ T cells, and an increase in total Tregs. Additionally, an approximate 50% reduction in the mean CRP from baseline was observed in rosnilimab-treated patients through the entire trial period that was not observed in patients on placebo.</w:t>
      </w:r>
    </w:p>
    <w:p>
      <w:pPr>
        <w:spacing w:after="0" w:line="101" w:lineRule="exact"/>
        <w:rPr>
          <w:sz w:val="20"/>
          <w:szCs w:val="20"/>
          <w:color w:val="auto"/>
        </w:rPr>
      </w:pPr>
    </w:p>
    <w:p>
      <w:pPr>
        <w:ind w:right="260" w:firstLine="540"/>
        <w:spacing w:after="0" w:line="258" w:lineRule="auto"/>
        <w:rPr>
          <w:sz w:val="20"/>
          <w:szCs w:val="20"/>
          <w:color w:val="auto"/>
        </w:rPr>
      </w:pPr>
      <w:r>
        <w:rPr>
          <w:rFonts w:ascii="Times New Roman" w:cs="Times New Roman" w:eastAsia="Times New Roman" w:hAnsi="Times New Roman"/>
          <w:sz w:val="20"/>
          <w:szCs w:val="20"/>
          <w:color w:val="auto"/>
        </w:rPr>
        <w:t>We are also conducting a randomized placebo-controlled 132-patient, global Phase 2 trial assessing two dose levels of subcutaneously administered rosnilimab in moderate-to-severe UC. Rosnilimab will be dosed for up to 48 weeks on well-established endpoints including clinical remission on the modified Mayo score (“mMS”), clinical response on the mMS and endoscopic remission. We anticipate reporting top-line data on the primary endpoint at Week 12 in the UC trial in the fourth quarter of 2025.</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ANB033</w:t>
      </w:r>
    </w:p>
    <w:p>
      <w:pPr>
        <w:spacing w:after="0" w:line="139" w:lineRule="exact"/>
        <w:rPr>
          <w:sz w:val="20"/>
          <w:szCs w:val="20"/>
          <w:color w:val="auto"/>
        </w:rPr>
      </w:pPr>
    </w:p>
    <w:p>
      <w:pPr>
        <w:ind w:right="120" w:firstLine="540"/>
        <w:spacing w:after="0" w:line="254" w:lineRule="auto"/>
        <w:rPr>
          <w:sz w:val="20"/>
          <w:szCs w:val="20"/>
          <w:color w:val="auto"/>
        </w:rPr>
      </w:pPr>
      <w:r>
        <w:rPr>
          <w:rFonts w:ascii="Times New Roman" w:cs="Times New Roman" w:eastAsia="Times New Roman" w:hAnsi="Times New Roman"/>
          <w:sz w:val="20"/>
          <w:szCs w:val="20"/>
          <w:color w:val="auto"/>
        </w:rPr>
        <w:t>ANB033 targets CD122, the common beta subunit shared by the IL-15 and IL-2 receptors. IL-15 and IL-2 signaling mediate the proliferation and survival of NK cells and certain CD8 T cell subsets. ANB033 is an antibody designed with an 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the potential to achieve and maintain remission of inflammation through the reduction of disease-causing NK cells and certain CD8 T cell subsets, while sparing regulatory T cells. By preventing the consumption of IL-2 by pathogenic cells that express the low affinity IL-2 receptor, circulating levels of IL-2 may increase, potentially enhancing regulatory T cell numbers that express the high affinity IL-2 receptor in the setting of inflammation. We initiated a Phase 1 clinical trial of ANB033 in October 2024.</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ANB101</w:t>
      </w:r>
    </w:p>
    <w:p>
      <w:pPr>
        <w:spacing w:after="0" w:line="139"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Blood dendritic cell antigen 2 (“BDCA2”) is a molecule specifically expressed on plasmacytoid dendritic cells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 We plan to initiate enrollment for a Phase 1 clinical trial in the first quarter of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Collaborative Programs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GSK Collaboration</w:t>
      </w:r>
    </w:p>
    <w:p>
      <w:pPr>
        <w:spacing w:after="0" w:line="139" w:lineRule="exact"/>
        <w:rPr>
          <w:sz w:val="20"/>
          <w:szCs w:val="20"/>
          <w:color w:val="auto"/>
        </w:rPr>
      </w:pPr>
    </w:p>
    <w:p>
      <w:pPr>
        <w:ind w:right="300" w:firstLine="540"/>
        <w:spacing w:after="0" w:line="281" w:lineRule="auto"/>
        <w:rPr>
          <w:sz w:val="20"/>
          <w:szCs w:val="20"/>
          <w:color w:val="auto"/>
        </w:rPr>
      </w:pPr>
      <w:r>
        <w:rPr>
          <w:rFonts w:ascii="Times New Roman" w:cs="Times New Roman" w:eastAsia="Times New Roman" w:hAnsi="Times New Roman"/>
          <w:sz w:val="20"/>
          <w:szCs w:val="20"/>
          <w:color w:val="auto"/>
        </w:rPr>
        <w:t>Multiple company-discovered antibody programs have been advanced to preclinical and clinical milestones under our collaborations. Our collaborations include an immuno-oncology-focused collaboration with GSK.</w:t>
      </w:r>
    </w:p>
    <w:p>
      <w:pPr>
        <w:spacing w:after="0" w:line="61" w:lineRule="exact"/>
        <w:rPr>
          <w:sz w:val="20"/>
          <w:szCs w:val="20"/>
          <w:color w:val="auto"/>
        </w:rPr>
      </w:pPr>
    </w:p>
    <w:p>
      <w:pPr>
        <w:ind w:right="40" w:firstLine="540"/>
        <w:spacing w:after="0" w:line="253" w:lineRule="auto"/>
        <w:rPr>
          <w:sz w:val="20"/>
          <w:szCs w:val="20"/>
          <w:color w:val="auto"/>
        </w:rPr>
      </w:pPr>
      <w:r>
        <w:rPr>
          <w:rFonts w:ascii="Times New Roman" w:cs="Times New Roman" w:eastAsia="Times New Roman" w:hAnsi="Times New Roman"/>
          <w:sz w:val="20"/>
          <w:szCs w:val="20"/>
          <w:color w:val="auto"/>
        </w:rPr>
        <w:t xml:space="preserve">Under the GSK Agreement, a Biologics License Application (“BLA”) for our most advanced partnered program, which is a PD-1 antagonist antibody called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in pan-deficient mismatch repair tumors (PdMMRT). In July 2023, the FDA approved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in combination with chemotherapy for the treatment of adult patients with dMMR MSI-H primary advanced or recurrent endometrial cancer. In December 2023, the EMA approved, in the EU,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plus chemotherapy for dMMR/MSI-H primary advanced or recurrent endometrial cancer. In August 2024, the FDA approved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plus chemotherapy for all adult patients with primary advanced or recurrent endometrial cancer. In January 2025, the EMA approved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plus chemotherapy for this same indication.</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40"/>
          </w:cols>
          <w:pgMar w:left="1000" w:top="793" w:right="1000" w:bottom="0" w:gutter="0" w:footer="0" w:header="0"/>
          <w:type w:val="continuous"/>
        </w:sectPr>
      </w:pPr>
    </w:p>
    <w:bookmarkStart w:id="7" w:name="page8"/>
    <w:bookmarkEnd w:id="7"/>
    <w:p>
      <w:pPr>
        <w:ind w:right="540" w:firstLine="540"/>
        <w:spacing w:after="0" w:line="285" w:lineRule="auto"/>
        <w:rPr>
          <w:sz w:val="20"/>
          <w:szCs w:val="20"/>
          <w:color w:val="auto"/>
        </w:rPr>
      </w:pPr>
      <w:r>
        <w:rPr>
          <w:rFonts w:ascii="Times New Roman" w:cs="Times New Roman" w:eastAsia="Times New Roman" w:hAnsi="Times New Roman"/>
          <w:sz w:val="20"/>
          <w:szCs w:val="20"/>
          <w:color w:val="auto"/>
        </w:rPr>
        <w:t xml:space="preserve">For the year ended December 31, 2024, GSK reported $598.0 million sales 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a greater than 200% sales growth when compared to $175.6 million for the year ended December 31, 2023.</w:t>
      </w:r>
    </w:p>
    <w:p>
      <w:pPr>
        <w:spacing w:after="0" w:line="58" w:lineRule="exact"/>
        <w:rPr>
          <w:sz w:val="20"/>
          <w:szCs w:val="20"/>
          <w:color w:val="auto"/>
        </w:rPr>
      </w:pPr>
    </w:p>
    <w:p>
      <w:pPr>
        <w:jc w:val="both"/>
        <w:ind w:right="160" w:firstLine="540"/>
        <w:spacing w:after="0" w:line="258" w:lineRule="auto"/>
        <w:rPr>
          <w:sz w:val="20"/>
          <w:szCs w:val="20"/>
          <w:color w:val="auto"/>
        </w:rPr>
      </w:pPr>
      <w:r>
        <w:rPr>
          <w:rFonts w:ascii="Times New Roman" w:cs="Times New Roman" w:eastAsia="Times New Roman" w:hAnsi="Times New Roman"/>
          <w:sz w:val="20"/>
          <w:szCs w:val="20"/>
          <w:color w:val="auto"/>
        </w:rPr>
        <w:t>In addition, under the collaboration, GSK is developing dostarlimab in combination with another development program from the GSK Agreement, including cobolimab, a 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the first half of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Vanda Pharmaceuticals Collaboration</w:t>
      </w:r>
    </w:p>
    <w:p>
      <w:pPr>
        <w:spacing w:after="0" w:line="139" w:lineRule="exact"/>
        <w:rPr>
          <w:sz w:val="20"/>
          <w:szCs w:val="20"/>
          <w:color w:val="auto"/>
        </w:rPr>
      </w:pPr>
    </w:p>
    <w:p>
      <w:pPr>
        <w:ind w:right="260" w:firstLine="540"/>
        <w:spacing w:after="0" w:line="258" w:lineRule="auto"/>
        <w:rPr>
          <w:sz w:val="20"/>
          <w:szCs w:val="20"/>
          <w:color w:val="auto"/>
        </w:rPr>
      </w:pPr>
      <w:r>
        <w:rPr>
          <w:rFonts w:ascii="Times New Roman" w:cs="Times New Roman" w:eastAsia="Times New Roman" w:hAnsi="Times New Roman"/>
          <w:sz w:val="20"/>
          <w:szCs w:val="20"/>
          <w:color w:val="auto"/>
        </w:rPr>
        <w:t>On January 31, 2025, we entered into an Exclusive License Agreement (the “License Agreement”) with Vanda Pharmaceuticals Inc.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spacing w:after="0" w:line="84" w:lineRule="exact"/>
        <w:rPr>
          <w:sz w:val="20"/>
          <w:szCs w:val="20"/>
          <w:color w:val="auto"/>
        </w:rPr>
      </w:pPr>
    </w:p>
    <w:p>
      <w:pPr>
        <w:ind w:firstLine="540"/>
        <w:spacing w:after="0" w:line="266" w:lineRule="auto"/>
        <w:rPr>
          <w:sz w:val="20"/>
          <w:szCs w:val="20"/>
          <w:color w:val="auto"/>
        </w:rPr>
      </w:pPr>
      <w:r>
        <w:rPr>
          <w:rFonts w:ascii="Times New Roman" w:cs="Times New Roman" w:eastAsia="Times New Roman" w:hAnsi="Times New Roman"/>
          <w:sz w:val="20"/>
          <w:szCs w:val="20"/>
          <w:color w:val="auto"/>
        </w:rPr>
        <w:t>Pursuant to the terms of the License Agreement, we will receive an upfront payment of $10.0 million and a $5.0 million payment for existing drug supply. Anaptys is also eligible to receive up to $35.0 million for future regulatory approval and sales milestones in addition to a 10% royalty on net sales.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Product Candidates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summarizes certain key information about our wholly 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121920</wp:posOffset>
            </wp:positionV>
            <wp:extent cx="6115050" cy="3681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extLst>
                    </a:blip>
                    <a:srcRect/>
                    <a:stretch>
                      <a:fillRect/>
                    </a:stretch>
                  </pic:blipFill>
                  <pic:spPr bwMode="auto">
                    <a:xfrm>
                      <a:off x="0" y="0"/>
                      <a:ext cx="6115050" cy="3681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37" w:lineRule="exact"/>
        <w:rPr>
          <w:sz w:val="20"/>
          <w:szCs w:val="20"/>
          <w:color w:val="auto"/>
        </w:rPr>
      </w:pPr>
    </w:p>
    <w:p>
      <w:pPr>
        <w:ind w:right="80" w:firstLine="630"/>
        <w:spacing w:after="0" w:line="258" w:lineRule="auto"/>
        <w:rPr>
          <w:sz w:val="20"/>
          <w:szCs w:val="20"/>
          <w:color w:val="auto"/>
        </w:rPr>
      </w:pPr>
      <w:r>
        <w:rPr>
          <w:rFonts w:ascii="Times New Roman" w:cs="Times New Roman" w:eastAsia="Times New Roman" w:hAnsi="Times New Roman"/>
          <w:sz w:val="20"/>
          <w:szCs w:val="20"/>
          <w:color w:val="auto"/>
        </w:rPr>
        <w:t>We are a clinical-stage biotechnology company focused on delivering innovative immunology therapeutics. Our immune cell modulating antibodies modulate key nodes governing the body’s regulation of autoimmunity and inflammation. Dysregulated immune responses may result in abnormal and pathological inflammation in diseases with large and substantially underserved patient populations in the therapeutic areas of dermatology, rheumatology, gastroenterology, respiratory and neurology. The key elements of our strategy include:</w:t>
      </w:r>
    </w:p>
    <w:p>
      <w:pPr>
        <w:spacing w:after="0" w:line="84" w:lineRule="exact"/>
        <w:rPr>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Enabling broad development of our immune cell modulator portfolio.</w:t>
      </w:r>
    </w:p>
    <w:p>
      <w:pPr>
        <w:sectPr>
          <w:pgSz w:w="12240" w:h="15840" w:orient="portrait"/>
          <w:cols w:equalWidth="0" w:num="1">
            <w:col w:w="10240"/>
          </w:cols>
          <w:pgMar w:left="1000" w:top="78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40"/>
          </w:cols>
          <w:pgMar w:left="1000" w:top="789" w:right="1000" w:bottom="0" w:gutter="0" w:footer="0" w:header="0"/>
          <w:type w:val="continuous"/>
        </w:sectPr>
      </w:pPr>
    </w:p>
    <w:bookmarkStart w:id="8" w:name="page9"/>
    <w:bookmarkEnd w:id="8"/>
    <w:p>
      <w:pPr>
        <w:jc w:val="both"/>
        <w:ind w:left="720" w:right="140" w:hanging="370"/>
        <w:spacing w:after="0" w:line="268"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Generating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in vivo</w:t>
      </w:r>
      <w:r>
        <w:rPr>
          <w:rFonts w:ascii="Times New Roman" w:cs="Times New Roman" w:eastAsia="Times New Roman" w:hAnsi="Times New Roman"/>
          <w:sz w:val="20"/>
          <w:szCs w:val="20"/>
          <w:color w:val="auto"/>
        </w:rPr>
        <w:t xml:space="preserve"> translational and clinical data to characterize the differentiation of our molecules from in-class competitors and, relative to standard of care, treat patient populations most likely to have deeper and/or more durable responses by restoring immune homeostasis.</w:t>
      </w:r>
    </w:p>
    <w:p>
      <w:pPr>
        <w:spacing w:after="0" w:line="73" w:lineRule="exact"/>
        <w:rPr>
          <w:rFonts w:ascii="Times New Roman" w:cs="Times New Roman" w:eastAsia="Times New Roman" w:hAnsi="Times New Roman"/>
          <w:sz w:val="20"/>
          <w:szCs w:val="20"/>
          <w:color w:val="auto"/>
        </w:rPr>
      </w:pPr>
    </w:p>
    <w:p>
      <w:pPr>
        <w:jc w:val="both"/>
        <w:ind w:left="720" w:hanging="370"/>
        <w:spacing w:after="0" w:line="309" w:lineRule="auto"/>
        <w:tabs>
          <w:tab w:leader="none" w:pos="7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Facilitating the global commercialization of our product candidates while retaining rights in key therapeutic areas and/ or commercial markets to enable us to become a fully integrated discovery, development and commercial organization.</w:t>
      </w:r>
    </w:p>
    <w:p>
      <w:pPr>
        <w:spacing w:after="0" w:line="37" w:lineRule="exact"/>
        <w:rPr>
          <w:rFonts w:ascii="Times New Roman" w:cs="Times New Roman" w:eastAsia="Times New Roman" w:hAnsi="Times New Roman"/>
          <w:sz w:val="19"/>
          <w:szCs w:val="19"/>
          <w:color w:val="auto"/>
        </w:rPr>
      </w:pPr>
    </w:p>
    <w:p>
      <w:pPr>
        <w:ind w:left="720" w:right="620" w:hanging="37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leverage our research expertise to generate potentially best-in-class antibodies against high-value immunological targets.</w:t>
      </w:r>
    </w:p>
    <w:p>
      <w:pPr>
        <w:spacing w:after="0" w:line="61" w:lineRule="exact"/>
        <w:rPr>
          <w:rFonts w:ascii="Times New Roman" w:cs="Times New Roman" w:eastAsia="Times New Roman" w:hAnsi="Times New Roman"/>
          <w:sz w:val="20"/>
          <w:szCs w:val="20"/>
          <w:color w:val="auto"/>
        </w:rPr>
      </w:pPr>
    </w:p>
    <w:p>
      <w:pPr>
        <w:ind w:left="720" w:right="80" w:hanging="370"/>
        <w:spacing w:after="0" w:line="286" w:lineRule="auto"/>
        <w:tabs>
          <w:tab w:leader="none" w:pos="7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Maximizing return on equity through execution against a multi-year capital and operating plan, including the potential for future royalty revenues from our GSK immuno-oncology collaboration and, where actionable, monetizing our legacy cytokine antagonist programs and enabling further external development and, potentially, commercialization.</w:t>
      </w:r>
    </w:p>
    <w:p>
      <w:pPr>
        <w:spacing w:after="0" w:line="59" w:lineRule="exact"/>
        <w:rPr>
          <w:sz w:val="20"/>
          <w:szCs w:val="20"/>
          <w:color w:val="auto"/>
        </w:rPr>
      </w:pPr>
    </w:p>
    <w:p>
      <w:pPr>
        <w:ind w:right="160" w:firstLine="630"/>
        <w:spacing w:after="0" w:line="266" w:lineRule="auto"/>
        <w:rPr>
          <w:sz w:val="20"/>
          <w:szCs w:val="20"/>
          <w:color w:val="auto"/>
        </w:rPr>
      </w:pPr>
      <w:r>
        <w:rPr>
          <w:rFonts w:ascii="Times New Roman" w:cs="Times New Roman" w:eastAsia="Times New Roman" w:hAnsi="Times New Roman"/>
          <w:sz w:val="20"/>
          <w:szCs w:val="20"/>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Antibody Overview</w:t>
      </w:r>
    </w:p>
    <w:p>
      <w:pPr>
        <w:spacing w:after="0" w:line="137"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molecule. The other end of the antibody, called the Fc domain, is responsible for communication between the antibody and the rest of the immune system.</w:t>
      </w:r>
    </w:p>
    <w:p>
      <w:pPr>
        <w:spacing w:after="0" w:line="82" w:lineRule="exact"/>
        <w:rPr>
          <w:sz w:val="20"/>
          <w:szCs w:val="20"/>
          <w:color w:val="auto"/>
        </w:rPr>
      </w:pPr>
    </w:p>
    <w:p>
      <w:pPr>
        <w:ind w:right="20" w:firstLine="630"/>
        <w:spacing w:after="0" w:line="258" w:lineRule="auto"/>
        <w:rPr>
          <w:sz w:val="20"/>
          <w:szCs w:val="20"/>
          <w:color w:val="auto"/>
        </w:rPr>
      </w:pPr>
      <w:r>
        <w:rPr>
          <w:rFonts w:ascii="Times New Roman" w:cs="Times New Roman" w:eastAsia="Times New Roman" w:hAnsi="Times New Roman"/>
          <w:sz w:val="20"/>
          <w:szCs w:val="20"/>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80" w:lineRule="exact"/>
        <w:rPr>
          <w:sz w:val="20"/>
          <w:szCs w:val="20"/>
          <w:color w:val="auto"/>
        </w:rPr>
      </w:pPr>
    </w:p>
    <w:p>
      <w:pPr>
        <w:ind w:left="720" w:right="160" w:hanging="370"/>
        <w:spacing w:after="0" w:line="273" w:lineRule="auto"/>
        <w:tabs>
          <w:tab w:leader="none" w:pos="7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Fab Domain. </w:t>
      </w:r>
      <w:r>
        <w:rPr>
          <w:rFonts w:ascii="Times New Roman" w:cs="Times New Roman" w:eastAsia="Times New Roman" w:hAnsi="Times New Roman"/>
          <w:sz w:val="19"/>
          <w:szCs w:val="19"/>
          <w:color w:val="auto"/>
        </w:rPr>
        <w:t>Due to the relatively large size and complex nature of the antibody Fab domain, antibodies generally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bind with high specificity to the desired therapeutic target and tend to exhibit less off-target binding to unrelated proteins, which lowers the risk of unintended biological side effects such as toxicity. Because target proteins are typically larger than antibody Fab domains, antibodies can be generated against a variety of specific binding epitopes on a given single protein, which can alter the functional activity of the protein. For example, antibodies binding to unique epitopes on a single target protein can act as antagonists or agonists of the natural target protein function.</w:t>
      </w:r>
    </w:p>
    <w:p>
      <w:pPr>
        <w:spacing w:after="0" w:line="68" w:lineRule="exact"/>
        <w:rPr>
          <w:rFonts w:ascii="Times New Roman" w:cs="Times New Roman" w:eastAsia="Times New Roman" w:hAnsi="Times New Roman"/>
          <w:sz w:val="19"/>
          <w:szCs w:val="19"/>
          <w:color w:val="auto"/>
        </w:rPr>
      </w:pPr>
    </w:p>
    <w:p>
      <w:pPr>
        <w:ind w:left="720" w:right="100" w:hanging="370"/>
        <w:spacing w:after="0" w:line="253"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Fc Domain. </w:t>
      </w:r>
      <w:r>
        <w:rPr>
          <w:rFonts w:ascii="Times New Roman" w:cs="Times New Roman" w:eastAsia="Times New Roman" w:hAnsi="Times New Roman"/>
          <w:sz w:val="20"/>
          <w:szCs w:val="20"/>
          <w:color w:val="auto"/>
        </w:rPr>
        <w:t>The Fc domain of an antibody is the tail region that interacts with cell surface receptors called Fc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receptors and some proteins of the complement system. In humans, there are five Fc domains referred to as isotypes (IgA, IgD, IgM, IgG, IgE) and numerous Fc receptors expressed on specialized immune cells. Many therapeutic antibodies are subtypes of the IgG isotype and are chosen specifically to limit or induce immune system activity for therapeutic purposes. Engagement of Fc domains by specific Fc receptors can modulate biological activity, for example, by clustering the target protein on the cell surface in an immune synapse, leading to modulation of the target protein activity and hence altering the function of the cell expressing the target protein. Specific Fc domain and Fc receptor interactions may also trigger killing of a cell, often referred to as “effector function” of the antibody, via cytotoxic mechanisms depending on the cell type bearing the Fc receptor. In some therapeutic settings, mutations can be made to the Fc domain to weaken or entirely abrogate Fc receptor interactions. In creating the most efficacious therapeutic antibody, an appropriate Fc domain is often utilized to avoid or induce immune system activity that contributes to its broader mechanism of action. We believe that therapeutic antibodies can be significantly de-risked preclinically for specificity, toxicology, pharmacokinetics, and modulation of immune system activity, which is not generally true for small molecule drugs.</w:t>
      </w:r>
    </w:p>
    <w:p>
      <w:pPr>
        <w:spacing w:after="0" w:line="85" w:lineRule="exact"/>
        <w:rPr>
          <w:rFonts w:ascii="Times New Roman" w:cs="Times New Roman" w:eastAsia="Times New Roman" w:hAnsi="Times New Roman"/>
          <w:sz w:val="20"/>
          <w:szCs w:val="20"/>
          <w:color w:val="auto"/>
        </w:rPr>
      </w:pPr>
    </w:p>
    <w:p>
      <w:pPr>
        <w:ind w:left="720" w:right="40" w:hanging="370"/>
        <w:spacing w:after="0" w:line="268"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Pharmacokinetics and Dosing Frequency</w:t>
      </w:r>
      <w:r>
        <w:rPr>
          <w:rFonts w:ascii="Times New Roman" w:cs="Times New Roman" w:eastAsia="Times New Roman" w:hAnsi="Times New Roman"/>
          <w:sz w:val="20"/>
          <w:szCs w:val="20"/>
          <w:color w:val="auto"/>
        </w:rPr>
        <w:t>. As complex proteins, antibodies are metabolized and distributed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differently than small molecules. Full length antibodies tend to exhibit serum half-lives of seven to 24 days in humans, leading to bi-weekly or monthly dosing as typical practice for therapeutic antibodies.</w:t>
      </w:r>
    </w:p>
    <w:p>
      <w:pPr>
        <w:sectPr>
          <w:pgSz w:w="12240" w:h="15840" w:orient="portrait"/>
          <w:cols w:equalWidth="0" w:num="1">
            <w:col w:w="10240"/>
          </w:cols>
          <w:pgMar w:left="1000" w:top="78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40"/>
          </w:cols>
          <w:pgMar w:left="1000" w:top="789" w:right="1000" w:bottom="0" w:gutter="0" w:footer="0" w:header="0"/>
          <w:type w:val="continuous"/>
        </w:sectPr>
      </w:pPr>
    </w:p>
    <w:bookmarkStart w:id="9" w:name="page10"/>
    <w:bookmarkEnd w:id="9"/>
    <w:p>
      <w:pPr>
        <w:ind w:left="720" w:right="240" w:hanging="370"/>
        <w:spacing w:after="0" w:line="268"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Potency and Dose Quantities. </w:t>
      </w:r>
      <w:r>
        <w:rPr>
          <w:rFonts w:ascii="Times New Roman" w:cs="Times New Roman" w:eastAsia="Times New Roman" w:hAnsi="Times New Roman"/>
          <w:sz w:val="20"/>
          <w:szCs w:val="20"/>
          <w:color w:val="auto"/>
        </w:rPr>
        <w:t>Antibodies are typically highly potent in binding affinity to their desired target,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binding dissociation constants in the low nanomolar to picomolar range. Hence, antibodies tend to be dosed at low amounts (less than 1 gram quantities per course of therapy).</w:t>
      </w:r>
    </w:p>
    <w:p>
      <w:pPr>
        <w:spacing w:after="0" w:line="74" w:lineRule="exact"/>
        <w:rPr>
          <w:sz w:val="20"/>
          <w:szCs w:val="20"/>
          <w:color w:val="auto"/>
        </w:rPr>
      </w:pPr>
    </w:p>
    <w:p>
      <w:pPr>
        <w:jc w:val="both"/>
        <w:ind w:right="380" w:firstLine="630"/>
        <w:spacing w:after="0" w:line="286" w:lineRule="auto"/>
        <w:rPr>
          <w:sz w:val="20"/>
          <w:szCs w:val="20"/>
          <w:color w:val="auto"/>
        </w:rPr>
      </w:pPr>
      <w:r>
        <w:rPr>
          <w:rFonts w:ascii="Times New Roman" w:cs="Times New Roman" w:eastAsia="Times New Roman" w:hAnsi="Times New Roman"/>
          <w:sz w:val="19"/>
          <w:szCs w:val="19"/>
          <w:color w:val="auto"/>
        </w:rPr>
        <w:t>Our approach to antibody design focuses on discovering and optimizing therapeutic antibodies tailored to modulate immune function. We use a variety of technologies to optimize the Fab domain of an antibody in ways that we believe both create a therapeutic antibody with highly potent functional activity and mitigate potential manufacturing liabilities.</w:t>
      </w:r>
    </w:p>
    <w:p>
      <w:pPr>
        <w:spacing w:after="0" w:line="59" w:lineRule="exact"/>
        <w:rPr>
          <w:sz w:val="20"/>
          <w:szCs w:val="20"/>
          <w:color w:val="auto"/>
        </w:rPr>
      </w:pPr>
    </w:p>
    <w:p>
      <w:pPr>
        <w:ind w:right="60" w:firstLine="630"/>
        <w:spacing w:after="0" w:line="258" w:lineRule="auto"/>
        <w:rPr>
          <w:sz w:val="20"/>
          <w:szCs w:val="20"/>
          <w:color w:val="auto"/>
        </w:rPr>
      </w:pPr>
      <w:r>
        <w:rPr>
          <w:rFonts w:ascii="Times New Roman" w:cs="Times New Roman" w:eastAsia="Times New Roman" w:hAnsi="Times New Roman"/>
          <w:sz w:val="20"/>
          <w:szCs w:val="20"/>
          <w:color w:val="auto"/>
        </w:rPr>
        <w:t>We also optimize the Fc domain of the antibody, when needed, to tailor it for specific activity such as reducing Fc receptor interactions or optimizing Fc receptor interactions, in combination with the Fab domain of the antibody, to specifically modulate immune cell function, engage effector function that kills specific targeted immune cells, or leverage a combination of both activities. We further optimize the overall antibody through humanization and removal of liabilities that could potentially affect the structure, stability, pharmacology, manufacturability or immunogenicity of the antibody.</w:t>
      </w:r>
    </w:p>
    <w:p>
      <w:pPr>
        <w:spacing w:after="0" w:line="84" w:lineRule="exact"/>
        <w:rPr>
          <w:sz w:val="20"/>
          <w:szCs w:val="20"/>
          <w:color w:val="auto"/>
        </w:rPr>
      </w:pPr>
    </w:p>
    <w:p>
      <w:pPr>
        <w:ind w:right="80" w:firstLine="630"/>
        <w:spacing w:after="0" w:line="266" w:lineRule="auto"/>
        <w:rPr>
          <w:sz w:val="20"/>
          <w:szCs w:val="20"/>
          <w:color w:val="auto"/>
        </w:rPr>
      </w:pPr>
      <w:r>
        <w:rPr>
          <w:rFonts w:ascii="Times New Roman" w:cs="Times New Roman" w:eastAsia="Times New Roman" w:hAnsi="Times New Roman"/>
          <w:sz w:val="20"/>
          <w:szCs w:val="20"/>
          <w:color w:val="auto"/>
        </w:rPr>
        <w:t>Optimized antibodies are tested in an extensive suite of immune cell assays, using engineered cell lines, and more relevantly, primary human immune cells from healthy and diseased individuals that we believe most accurately recapitulate the conditions in which the antibody will need to have optimal activity in patients.</w:t>
      </w:r>
    </w:p>
    <w:p>
      <w:pPr>
        <w:spacing w:after="0" w:line="75" w:lineRule="exact"/>
        <w:rPr>
          <w:sz w:val="20"/>
          <w:szCs w:val="20"/>
          <w:color w:val="auto"/>
        </w:rPr>
      </w:pPr>
    </w:p>
    <w:p>
      <w:pPr>
        <w:ind w:right="180" w:firstLine="630"/>
        <w:spacing w:after="0" w:line="281" w:lineRule="auto"/>
        <w:rPr>
          <w:sz w:val="20"/>
          <w:szCs w:val="20"/>
          <w:color w:val="auto"/>
        </w:rPr>
      </w:pPr>
      <w:r>
        <w:rPr>
          <w:rFonts w:ascii="Times New Roman" w:cs="Times New Roman" w:eastAsia="Times New Roman" w:hAnsi="Times New Roman"/>
          <w:sz w:val="20"/>
          <w:szCs w:val="20"/>
          <w:color w:val="auto"/>
        </w:rPr>
        <w:t>We believe that our approach to antibody design allows us to effectively tailor antibody discovery to achieve a unique therapeutic benefit.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Collaborations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GlaxoSmithKline</w:t>
      </w:r>
    </w:p>
    <w:p>
      <w:pPr>
        <w:spacing w:after="0" w:line="137" w:lineRule="exact"/>
        <w:rPr>
          <w:sz w:val="20"/>
          <w:szCs w:val="20"/>
          <w:color w:val="auto"/>
        </w:rPr>
      </w:pPr>
    </w:p>
    <w:p>
      <w:pPr>
        <w:ind w:right="60" w:firstLine="540"/>
        <w:spacing w:after="0" w:line="237" w:lineRule="auto"/>
        <w:rPr>
          <w:sz w:val="20"/>
          <w:szCs w:val="20"/>
          <w:color w:val="auto"/>
        </w:rPr>
      </w:pPr>
      <w:r>
        <w:rPr>
          <w:rFonts w:ascii="Times New Roman" w:cs="Times New Roman" w:eastAsia="Times New Roman" w:hAnsi="Times New Roman"/>
          <w:sz w:val="20"/>
          <w:szCs w:val="20"/>
          <w:color w:val="auto"/>
        </w:rPr>
        <w:t xml:space="preserve">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(dostarlimab) as a monotherapy for various solid tumor indications. In addition, GSK is developing dostarlimab in combination with additional therapies under the collaboration, including with another development program from the GSK Agreement: cobolimab, a TIM-3 antibody, in 2L NSCLC. In October 2023, Amendment No. 5 to the GSK Agreement (the “GSK Amendment No. 5”) was agreed by both parties to terminate the LAG-3 antagonist antibody development program under the GSK Agreement. In accordance with the GSK Agreement and the GSK Amendment No. 5, we have regained full global rights to the LAG-3 antagonist antibody development program.</w:t>
      </w:r>
    </w:p>
    <w:p>
      <w:pPr>
        <w:spacing w:after="0" w:line="92"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 xml:space="preserve">For each remaining development program under the GSK Agreement, we are eligible to receive milestone payments if certain preclinical and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No.3, we were granted increased royalties upon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equal to 8% of Net Sales (as defined in the GSK Agreement) below</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86" w:lineRule="exact"/>
        <w:rPr>
          <w:sz w:val="20"/>
          <w:szCs w:val="20"/>
          <w:color w:val="auto"/>
        </w:rPr>
      </w:pPr>
    </w:p>
    <w:p>
      <w:pPr>
        <w:ind w:right="220" w:firstLine="630"/>
        <w:spacing w:after="0" w:line="259" w:lineRule="auto"/>
        <w:rPr>
          <w:sz w:val="20"/>
          <w:szCs w:val="20"/>
          <w:color w:val="auto"/>
        </w:rPr>
      </w:pPr>
      <w:r>
        <w:rPr>
          <w:rFonts w:ascii="Times New Roman" w:cs="Times New Roman" w:eastAsia="Times New Roman" w:hAnsi="Times New Roman"/>
          <w:sz w:val="20"/>
          <w:szCs w:val="20"/>
          <w:color w:val="auto"/>
        </w:rPr>
        <w:t>In October 2021, we signed a royalty monetization agreement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with Sagard Healthcare Royalty Partners, LP (“Sagard”). Under the terms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we received $250.0 million in exchange for royalties and milestones payable to us under our GSK collaboration on annual global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We retained the rights to a $75.0 million sales milestone when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annual Net Sales exceed $1 billion.</w:t>
      </w:r>
    </w:p>
    <w:p>
      <w:pPr>
        <w:spacing w:after="0" w:line="79" w:lineRule="exact"/>
        <w:rPr>
          <w:sz w:val="20"/>
          <w:szCs w:val="20"/>
          <w:color w:val="auto"/>
        </w:rPr>
      </w:pPr>
    </w:p>
    <w:p>
      <w:pPr>
        <w:ind w:right="20" w:firstLine="630"/>
        <w:spacing w:after="0" w:line="254" w:lineRule="auto"/>
        <w:rPr>
          <w:sz w:val="20"/>
          <w:szCs w:val="20"/>
          <w:color w:val="auto"/>
        </w:rPr>
      </w:pPr>
      <w:r>
        <w:rPr>
          <w:rFonts w:ascii="Times New Roman" w:cs="Times New Roman" w:eastAsia="Times New Roman" w:hAnsi="Times New Roman"/>
          <w:sz w:val="20"/>
          <w:szCs w:val="20"/>
          <w:color w:val="auto"/>
        </w:rPr>
        <w:t xml:space="preserve">In May 2024, we entered into an amendment to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Amendment No. 1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under which we sold additional receivables to Sagard in exchange for $50.0 million.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includes all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sales, including any product containing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whether or not such product constitutes a combination product, and the threshold amounts of aggregate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milestones to be received by Sagard under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is either $600.0 million if received by the end of March 31, 2031, or $675.0 million if received thereafter. Once either of these thresholds are met,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and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will expire, resulting in us regaining all subsequent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milestones. As of January 31, 2025, Sagard has received a total of $88.8 million in royalties and milestones. For more information see Note 5 — Sale of Future Royalties in the accompanying notes to the consolidated financial statements.</w:t>
      </w:r>
    </w:p>
    <w:p>
      <w:pPr>
        <w:sectPr>
          <w:pgSz w:w="12240" w:h="15840" w:orient="portrait"/>
          <w:cols w:equalWidth="0" w:num="1">
            <w:col w:w="10240"/>
          </w:cols>
          <w:pgMar w:left="1000" w:top="78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40"/>
          </w:cols>
          <w:pgMar w:left="1000" w:top="789" w:right="1000" w:bottom="0" w:gutter="0" w:footer="0" w:header="0"/>
          <w:type w:val="continuous"/>
        </w:sectPr>
      </w:pPr>
    </w:p>
    <w:bookmarkStart w:id="10" w:name="page11"/>
    <w:bookmarkEnd w:id="10"/>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37" w:lineRule="exact"/>
        <w:rPr>
          <w:sz w:val="20"/>
          <w:szCs w:val="20"/>
          <w:color w:val="auto"/>
        </w:rPr>
      </w:pPr>
    </w:p>
    <w:p>
      <w:pPr>
        <w:ind w:right="100" w:firstLine="630"/>
        <w:spacing w:after="0" w:line="256" w:lineRule="auto"/>
        <w:rPr>
          <w:sz w:val="20"/>
          <w:szCs w:val="20"/>
          <w:color w:val="auto"/>
        </w:rPr>
      </w:pPr>
      <w:r>
        <w:rPr>
          <w:rFonts w:ascii="Times New Roman" w:cs="Times New Roman" w:eastAsia="Times New Roman" w:hAnsi="Times New Roman"/>
          <w:sz w:val="20"/>
          <w:szCs w:val="20"/>
          <w:color w:val="auto"/>
        </w:rPr>
        <w:t>Our intellectual property is critical to our business and we strive to protect it, including by obtaining and maintaining patent protection in the United States and internationally for product candidates, novel biological discoveries, epitopes, new therapeutic approaches and potential indications, and other inventions that are important to our business. In total, our patent portfolio, including patents co-owned with GSK, patents licensed from Centessa Pharmaceuticals (UK) Ltd., and patents to certain antibody discovery technology consisted of approximately 100 issued patents and 134 pending patent applications as of December 31, 2024.</w:t>
      </w:r>
    </w:p>
    <w:p>
      <w:pPr>
        <w:spacing w:after="0" w:line="88" w:lineRule="exact"/>
        <w:rPr>
          <w:sz w:val="20"/>
          <w:szCs w:val="20"/>
          <w:color w:val="auto"/>
        </w:rPr>
      </w:pPr>
    </w:p>
    <w:p>
      <w:pPr>
        <w:jc w:val="both"/>
        <w:ind w:right="240" w:firstLine="630"/>
        <w:spacing w:after="0" w:line="286" w:lineRule="auto"/>
        <w:rPr>
          <w:sz w:val="20"/>
          <w:szCs w:val="20"/>
          <w:color w:val="auto"/>
        </w:rPr>
      </w:pPr>
      <w:r>
        <w:rPr>
          <w:rFonts w:ascii="Times New Roman" w:cs="Times New Roman" w:eastAsia="Times New Roman" w:hAnsi="Times New Roman"/>
          <w:sz w:val="19"/>
          <w:szCs w:val="19"/>
          <w:color w:val="auto"/>
        </w:rPr>
        <w:t>For our product candidates, generally we initially pursue patent protection covering compositions of matter including antibody sequences, methods of use, and methods of production. Throughout the development of our product candidates, we seek to identify additional means of obtaining patent protection that would potentially enhance commercial success.</w:t>
      </w:r>
    </w:p>
    <w:p>
      <w:pPr>
        <w:spacing w:after="0" w:line="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patent portfolios for our internal programs are outlined below: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Rosnilimab</w:t>
      </w:r>
    </w:p>
    <w:p>
      <w:pPr>
        <w:spacing w:after="0" w:line="137"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0"/>
          <w:szCs w:val="20"/>
          <w:color w:val="auto"/>
        </w:rPr>
        <w:t>As of December 31, 2024, we owned 17 patents and pending patent applications in various countries directed to the antibody sequence of rosnilimab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June 2040.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ANB033</w:t>
      </w:r>
    </w:p>
    <w:p>
      <w:pPr>
        <w:spacing w:after="0" w:line="137"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As of December 31, 2024, we owned one pending U.S. provisional patent application and one pending international (PCT) patent application directed to the antibody sequence of ANB033 and its variants, methods of use and related matters. We intend to prosecute these patent applications, file additional patent applications claiming priority to these patent applications, and pursue patent issuance, in key commercial markets where significant product sales may occur. Patents that may issue claiming priority to these patent applications could provide protection for aspects of this product candidate until September 2045.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ANB101</w:t>
      </w:r>
    </w:p>
    <w:p>
      <w:pPr>
        <w:spacing w:after="0" w:line="137" w:lineRule="exact"/>
        <w:rPr>
          <w:sz w:val="20"/>
          <w:szCs w:val="20"/>
          <w:color w:val="auto"/>
        </w:rPr>
      </w:pPr>
    </w:p>
    <w:p>
      <w:pPr>
        <w:ind w:right="340" w:firstLine="630"/>
        <w:spacing w:after="0" w:line="258" w:lineRule="auto"/>
        <w:rPr>
          <w:sz w:val="20"/>
          <w:szCs w:val="20"/>
          <w:color w:val="auto"/>
        </w:rPr>
      </w:pPr>
      <w:r>
        <w:rPr>
          <w:rFonts w:ascii="Times New Roman" w:cs="Times New Roman" w:eastAsia="Times New Roman" w:hAnsi="Times New Roman"/>
          <w:sz w:val="20"/>
          <w:szCs w:val="20"/>
          <w:color w:val="auto"/>
        </w:rPr>
        <w:t>As of December 31, 2024, we owned rights to 14 pending patent applications in various countries directed to the antibody sequence of ANB101 and its variants, methods of use and related matters. We intend to prosecute the pending applications, and/or other patent applications claiming priority thereto, and pursue patent issuance and protection in key commercial markets where significant product sales may occur. Patents that may issue from or claim priority to the pending applications could provide protection for aspects of these product candidates until August 2040.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ANB032</w:t>
      </w:r>
    </w:p>
    <w:p>
      <w:pPr>
        <w:spacing w:after="0" w:line="137"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0"/>
          <w:szCs w:val="20"/>
          <w:color w:val="auto"/>
        </w:rPr>
        <w:t>As of December 31, 2024, we owned 28 patent applications in various countries, including one international (PCT) patent application, directed to the antibody sequence of ANB032 and its variants, methods of use and related matters. We intend to prosecute the pending patent applications, and/or other patent applications claiming priority thereto, and pursue patent issuance and protection in key commercial markets where significant product sales may occur. Patents that may issue from or claim priority to our pending applications could provide protection for aspects of this product candidate until May 2044.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Dostarlimab (GSK4057190)</w:t>
      </w:r>
    </w:p>
    <w:p>
      <w:pPr>
        <w:spacing w:after="0" w:line="137"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0"/>
          <w:szCs w:val="20"/>
          <w:color w:val="auto"/>
        </w:rPr>
        <w:t>As of December 31, 2024, we owned or co-owned 24 patents and patent applications in various countries directed to the antibody sequence of GSK4057190 (dostarlimab), a PD-1 antagonist,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until June 2038.</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40"/>
          </w:cols>
          <w:pgMar w:left="1000" w:top="793" w:right="100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Cobolimab (GSK4069889)</w:t>
      </w:r>
    </w:p>
    <w:p>
      <w:pPr>
        <w:spacing w:after="0" w:line="137"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As of December 31, 2024, we owned or co-owned 26 patents and patent applications in various countries directed to the antibody sequence of GSK4069889 (cobolimab), a TIM-3 antagonist,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November 2037.</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Imsidolimab</w:t>
      </w:r>
    </w:p>
    <w:p>
      <w:pPr>
        <w:spacing w:after="0" w:line="137" w:lineRule="exact"/>
        <w:rPr>
          <w:sz w:val="20"/>
          <w:szCs w:val="20"/>
          <w:color w:val="auto"/>
        </w:rPr>
      </w:pPr>
    </w:p>
    <w:p>
      <w:pPr>
        <w:ind w:right="60" w:firstLine="630"/>
        <w:spacing w:after="0" w:line="258" w:lineRule="auto"/>
        <w:rPr>
          <w:sz w:val="20"/>
          <w:szCs w:val="20"/>
          <w:color w:val="auto"/>
        </w:rPr>
      </w:pPr>
      <w:r>
        <w:rPr>
          <w:rFonts w:ascii="Times New Roman" w:cs="Times New Roman" w:eastAsia="Times New Roman" w:hAnsi="Times New Roman"/>
          <w:sz w:val="20"/>
          <w:szCs w:val="20"/>
          <w:color w:val="auto"/>
        </w:rPr>
        <w:t>As of December 31, 2024, we owned 44 patents and patent applications in various countries directed to the antibody sequence of imsidolimab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May 2042.</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color w:val="auto"/>
        </w:rPr>
        <w:t>Etokimab</w:t>
      </w:r>
    </w:p>
    <w:p>
      <w:pPr>
        <w:spacing w:after="0" w:line="137" w:lineRule="exact"/>
        <w:rPr>
          <w:sz w:val="20"/>
          <w:szCs w:val="20"/>
          <w:color w:val="auto"/>
        </w:rPr>
      </w:pPr>
    </w:p>
    <w:p>
      <w:pPr>
        <w:ind w:right="60" w:firstLine="630"/>
        <w:spacing w:after="0" w:line="258" w:lineRule="auto"/>
        <w:rPr>
          <w:sz w:val="20"/>
          <w:szCs w:val="20"/>
          <w:color w:val="auto"/>
        </w:rPr>
      </w:pPr>
      <w:r>
        <w:rPr>
          <w:rFonts w:ascii="Times New Roman" w:cs="Times New Roman" w:eastAsia="Times New Roman" w:hAnsi="Times New Roman"/>
          <w:sz w:val="20"/>
          <w:szCs w:val="20"/>
          <w:color w:val="auto"/>
        </w:rPr>
        <w:t>As of December 31, 2024, we owned 19 patents and patent applications in various countries directed to the antibody sequence of etokimab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January 2035.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Intellectual Property Matters</w:t>
      </w:r>
    </w:p>
    <w:p>
      <w:pPr>
        <w:spacing w:after="0" w:line="137" w:lineRule="exact"/>
        <w:rPr>
          <w:sz w:val="20"/>
          <w:szCs w:val="20"/>
          <w:color w:val="auto"/>
        </w:rPr>
      </w:pPr>
    </w:p>
    <w:p>
      <w:pPr>
        <w:ind w:right="20" w:firstLine="630"/>
        <w:spacing w:after="0" w:line="254" w:lineRule="auto"/>
        <w:rPr>
          <w:sz w:val="20"/>
          <w:szCs w:val="20"/>
          <w:color w:val="auto"/>
        </w:rPr>
      </w:pPr>
      <w:r>
        <w:rPr>
          <w:rFonts w:ascii="Times New Roman" w:cs="Times New Roman" w:eastAsia="Times New Roman" w:hAnsi="Times New Roman"/>
          <w:sz w:val="20"/>
          <w:szCs w:val="20"/>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spacing w:after="0" w:line="93"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(“PTA”) under certain circumstances to compensate for delays in obtaining the patent from the U.S. Patent and Trademark Office (“USPTO”). In some instances, such a PTA may result in a U.S. patent term extending beyond 20 years from the earliest date of filing a non-provisional patent application related to the U.S. patent. In addition,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96" w:lineRule="exact"/>
        <w:rPr>
          <w:sz w:val="20"/>
          <w:szCs w:val="20"/>
          <w:color w:val="auto"/>
        </w:rPr>
      </w:pPr>
    </w:p>
    <w:p>
      <w:pPr>
        <w:ind w:right="40" w:firstLine="630"/>
        <w:spacing w:after="0" w:line="254" w:lineRule="auto"/>
        <w:rPr>
          <w:sz w:val="20"/>
          <w:szCs w:val="20"/>
          <w:color w:val="auto"/>
        </w:rPr>
      </w:pPr>
      <w:r>
        <w:rPr>
          <w:rFonts w:ascii="Times New Roman" w:cs="Times New Roman" w:eastAsia="Times New Roman" w:hAnsi="Times New Roman"/>
          <w:sz w:val="20"/>
          <w:szCs w:val="20"/>
          <w:color w:val="auto"/>
        </w:rPr>
        <w:t>We also rely on trade secrets relating to our research and development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technology. Thus, we may not be able to meaningfully protect our trade secrets.</w:t>
      </w:r>
    </w:p>
    <w:p>
      <w:pPr>
        <w:spacing w:after="0" w:line="110" w:lineRule="exact"/>
        <w:rPr>
          <w:sz w:val="20"/>
          <w:szCs w:val="20"/>
          <w:color w:val="auto"/>
        </w:rPr>
      </w:pPr>
    </w:p>
    <w:p>
      <w:pPr>
        <w:ind w:right="200" w:firstLine="630"/>
        <w:spacing w:after="0" w:line="309" w:lineRule="auto"/>
        <w:rPr>
          <w:sz w:val="20"/>
          <w:szCs w:val="20"/>
          <w:color w:val="auto"/>
        </w:rPr>
      </w:pPr>
      <w:r>
        <w:rPr>
          <w:rFonts w:ascii="Times New Roman" w:cs="Times New Roman" w:eastAsia="Times New Roman" w:hAnsi="Times New Roman"/>
          <w:sz w:val="19"/>
          <w:szCs w:val="19"/>
          <w:color w:val="auto"/>
        </w:rPr>
        <w:t>It is our policy to require our employees, consultants, outside scientific collaborators, sponsored researchers and other advisors to execute confidentiality agreements upon the commencement of employment or consulting relationships with</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40"/>
          </w:cols>
          <w:pgMar w:left="1000" w:top="786" w:right="1000" w:bottom="0" w:gutter="0" w:footer="0" w:header="0"/>
          <w:type w:val="continuous"/>
        </w:sectPr>
      </w:pPr>
    </w:p>
    <w:bookmarkStart w:id="12" w:name="page13"/>
    <w:bookmarkEnd w:id="12"/>
    <w:p>
      <w:pPr>
        <w:ind w:right="60"/>
        <w:spacing w:after="0" w:line="258" w:lineRule="auto"/>
        <w:rPr>
          <w:sz w:val="20"/>
          <w:szCs w:val="20"/>
          <w:color w:val="auto"/>
        </w:rPr>
      </w:pPr>
      <w:r>
        <w:rPr>
          <w:rFonts w:ascii="Times New Roman" w:cs="Times New Roman" w:eastAsia="Times New Roman" w:hAnsi="Times New Roman"/>
          <w:sz w:val="20"/>
          <w:szCs w:val="20"/>
          <w:color w:val="auto"/>
        </w:rPr>
        <w:t>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37" w:lineRule="exact"/>
        <w:rPr>
          <w:sz w:val="20"/>
          <w:szCs w:val="20"/>
          <w:color w:val="auto"/>
        </w:rPr>
      </w:pPr>
    </w:p>
    <w:p>
      <w:pPr>
        <w:ind w:right="80" w:firstLine="630"/>
        <w:spacing w:after="0" w:line="270" w:lineRule="auto"/>
        <w:rPr>
          <w:sz w:val="20"/>
          <w:szCs w:val="20"/>
          <w:color w:val="auto"/>
        </w:rPr>
      </w:pPr>
      <w:r>
        <w:rPr>
          <w:rFonts w:ascii="Times New Roman" w:cs="Times New Roman" w:eastAsia="Times New Roman" w:hAnsi="Times New Roman"/>
          <w:sz w:val="19"/>
          <w:szCs w:val="19"/>
          <w:color w:val="auto"/>
        </w:rPr>
        <w:t>We must manufacture our product candidates for clinical trial use in compliance with current good manufacturing practices (“cGMP”). The cGMP regulations include requirements relating to organization of personnel, buildings and facilities, equipment, control of materials,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global regulatory requirements before any product is approved and we can manufacture commercial products. Our third party manufacturers will be subject to periodic regulatory inspections of facilities by the FDA and other authorities, including procedures and operations used in the testing and manufacture of our products to assess compliance with applicable regulations.</w:t>
      </w:r>
    </w:p>
    <w:p>
      <w:pPr>
        <w:spacing w:after="0" w:line="74" w:lineRule="exact"/>
        <w:rPr>
          <w:sz w:val="20"/>
          <w:szCs w:val="20"/>
          <w:color w:val="auto"/>
        </w:rPr>
      </w:pPr>
    </w:p>
    <w:p>
      <w:pPr>
        <w:ind w:right="20" w:firstLine="630"/>
        <w:spacing w:after="0" w:line="260" w:lineRule="auto"/>
        <w:rPr>
          <w:sz w:val="20"/>
          <w:szCs w:val="20"/>
          <w:color w:val="auto"/>
        </w:rPr>
      </w:pPr>
      <w:r>
        <w:rPr>
          <w:rFonts w:ascii="Times New Roman" w:cs="Times New Roman" w:eastAsia="Times New Roman" w:hAnsi="Times New Roman"/>
          <w:sz w:val="20"/>
          <w:szCs w:val="20"/>
          <w:color w:val="auto"/>
        </w:rPr>
        <w:t xml:space="preserve">Our internal manufacturing capabilities include non-cGMP antibody and reagent production using small scale quantities for characterization and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in vivo</w:t>
      </w:r>
      <w:r>
        <w:rPr>
          <w:rFonts w:ascii="Times New Roman" w:cs="Times New Roman" w:eastAsia="Times New Roman" w:hAnsi="Times New Roman"/>
          <w:sz w:val="20"/>
          <w:szCs w:val="20"/>
          <w:color w:val="auto"/>
        </w:rPr>
        <w:t xml:space="preserve"> preclinical assessment of product candidates. We do not have and we do not currently plan to acquire or develop the facilities or capabilities to manufacture our product candidates for use in human clinical trials.</w:t>
      </w:r>
    </w:p>
    <w:p>
      <w:pPr>
        <w:spacing w:after="0" w:line="83" w:lineRule="exact"/>
        <w:rPr>
          <w:sz w:val="20"/>
          <w:szCs w:val="20"/>
          <w:color w:val="auto"/>
        </w:rPr>
      </w:pPr>
    </w:p>
    <w:p>
      <w:pPr>
        <w:ind w:right="140" w:firstLine="630"/>
        <w:spacing w:after="0" w:line="254" w:lineRule="auto"/>
        <w:rPr>
          <w:sz w:val="20"/>
          <w:szCs w:val="20"/>
          <w:color w:val="auto"/>
        </w:rPr>
      </w:pPr>
      <w:r>
        <w:rPr>
          <w:rFonts w:ascii="Times New Roman" w:cs="Times New Roman" w:eastAsia="Times New Roman" w:hAnsi="Times New Roman"/>
          <w:sz w:val="20"/>
          <w:szCs w:val="20"/>
          <w:color w:val="auto"/>
        </w:rPr>
        <w:t>We rely on third party manufacturers to generate cGMP compliant cell lines and will rely on them to produce cGMP drug substance and drug product required for our clinical trials, and we expect to continue to rely on third parties to manufacture clinical trial drug supplies for the foreseeable future. We also contract with additional third parties for the testing, labeling, packaging, storage and distribution of investigational drug products. We have personnel with significant technical, manufacturing, analytical, quality, including cGMP, and project management experience to oversee our third party manufacturers and to manage manufacturing and quality data and information for regulatory compliance purposes. While our contract manufacturers have not yet produced commercially-approved cGMP batches of our product candidates, they have previously manufactured products for other companies in compliance with cGMP and have been previously inspected by regulatory authorities for compliance with cGMP standards.</w:t>
      </w:r>
    </w:p>
    <w:p>
      <w:pPr>
        <w:spacing w:after="0" w:line="89" w:lineRule="exact"/>
        <w:rPr>
          <w:sz w:val="20"/>
          <w:szCs w:val="20"/>
          <w:color w:val="auto"/>
        </w:rPr>
      </w:pPr>
    </w:p>
    <w:p>
      <w:pPr>
        <w:ind w:right="140" w:firstLine="630"/>
        <w:spacing w:after="0" w:line="258" w:lineRule="auto"/>
        <w:rPr>
          <w:sz w:val="20"/>
          <w:szCs w:val="20"/>
          <w:color w:val="auto"/>
        </w:rPr>
      </w:pPr>
      <w:r>
        <w:rPr>
          <w:rFonts w:ascii="Times New Roman" w:cs="Times New Roman" w:eastAsia="Times New Roman" w:hAnsi="Times New Roman"/>
          <w:sz w:val="20"/>
          <w:szCs w:val="20"/>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Third party manufacturers often encounter difficulties involving production yields, quality control and quality assurance, as well as shortages of qualified personnel.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37"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 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93" w:lineRule="exact"/>
        <w:rPr>
          <w:sz w:val="20"/>
          <w:szCs w:val="20"/>
          <w:color w:val="auto"/>
        </w:rPr>
      </w:pPr>
    </w:p>
    <w:p>
      <w:pPr>
        <w:ind w:right="100" w:firstLine="630"/>
        <w:spacing w:after="0" w:line="256" w:lineRule="auto"/>
        <w:rPr>
          <w:sz w:val="20"/>
          <w:szCs w:val="20"/>
          <w:color w:val="auto"/>
        </w:rPr>
      </w:pPr>
      <w:r>
        <w:rPr>
          <w:rFonts w:ascii="Times New Roman" w:cs="Times New Roman" w:eastAsia="Times New Roman" w:hAnsi="Times New Roman"/>
          <w:sz w:val="20"/>
          <w:szCs w:val="20"/>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88" w:lineRule="exact"/>
        <w:rPr>
          <w:sz w:val="20"/>
          <w:szCs w:val="20"/>
          <w:color w:val="auto"/>
        </w:rPr>
      </w:pPr>
    </w:p>
    <w:p>
      <w:pPr>
        <w:ind w:right="640" w:firstLine="630"/>
        <w:spacing w:after="0" w:line="281" w:lineRule="auto"/>
        <w:rPr>
          <w:sz w:val="20"/>
          <w:szCs w:val="20"/>
          <w:color w:val="auto"/>
        </w:rPr>
      </w:pPr>
      <w:r>
        <w:rPr>
          <w:rFonts w:ascii="Times New Roman" w:cs="Times New Roman" w:eastAsia="Times New Roman" w:hAnsi="Times New Roman"/>
          <w:sz w:val="20"/>
          <w:szCs w:val="20"/>
          <w:color w:val="auto"/>
        </w:rPr>
        <w:t>Specifically, there are several companies developing or marketing treatments that may be approved for the same indications and/or diseases as our product candidates, including major pharmaceutical companies.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40"/>
          </w:cols>
          <w:pgMar w:left="1000" w:top="793" w:right="1000" w:bottom="0" w:gutter="0" w:footer="0" w:header="0"/>
          <w:type w:val="continuous"/>
        </w:sectPr>
      </w:pPr>
    </w:p>
    <w:bookmarkStart w:id="13" w:name="page14"/>
    <w:bookmarkEnd w:id="13"/>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For our PD-1 agonist antibody program, our competitors include other PD-1 agonist antibodies GS-0151 (Gilead) in Phase 1b development for the treatment of rheumatoid arthritis, and a PD-1 agonist antibody (Boehringer Ingelheim)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Omvoh; Eli Lilly, Tremfya; Johnson and Johnson, and Skyrizi; AbbVie) and S1P inhibitors (Zeposia; Bristol Myers Squibb and Velsipity; Pfizer) and janus kinase inhibitors (Rinvoq; AbbVie, and Xeljanz; Pfizer) as well as monoclonal antibodies targeting anti-TL1A (PRA023; Merck, RVT-3101; Roche and duvakitug; Teva/Sanofi) in Phase 2 and 3 development.</w:t>
      </w:r>
    </w:p>
    <w:p>
      <w:pPr>
        <w:spacing w:after="0" w:line="96" w:lineRule="exact"/>
        <w:rPr>
          <w:sz w:val="20"/>
          <w:szCs w:val="20"/>
          <w:color w:val="auto"/>
        </w:rPr>
      </w:pPr>
    </w:p>
    <w:p>
      <w:pPr>
        <w:ind w:right="100" w:firstLine="630"/>
        <w:spacing w:after="0" w:line="256" w:lineRule="auto"/>
        <w:rPr>
          <w:sz w:val="20"/>
          <w:szCs w:val="20"/>
          <w:color w:val="auto"/>
        </w:rPr>
      </w:pPr>
      <w:r>
        <w:rPr>
          <w:rFonts w:ascii="Times New Roman" w:cs="Times New Roman" w:eastAsia="Times New Roman" w:hAnsi="Times New Roman"/>
          <w:sz w:val="20"/>
          <w:szCs w:val="20"/>
          <w:color w:val="auto"/>
        </w:rPr>
        <w:t>For our anti-CD122 antagonist antibody program, our clinical competitors include other anti-CD122 antagonist antibodies, auremolimab (Incyte), in Phase 1 development for the treatment of vitiligo and FB-102 (Forte Bioscience) in Phase 1b development for the treatment of celiac disease, and three anti-IL-15 monoclonal antibodies, AMG 714 (Amgen), currently in Phase 2 development for the treatment of celiac disease, CALY-002 (Novartis), currently in Phase 1b development for the treatment of celiac disease and eosinophilic esophagitis, and TEV-‘408 (Teva), currently in Phase 1b development for the treatment of celiac disease and vitiligo.</w:t>
      </w:r>
    </w:p>
    <w:p>
      <w:pPr>
        <w:spacing w:after="0" w:line="88" w:lineRule="exact"/>
        <w:rPr>
          <w:sz w:val="20"/>
          <w:szCs w:val="20"/>
          <w:color w:val="auto"/>
        </w:rPr>
      </w:pPr>
    </w:p>
    <w:p>
      <w:pPr>
        <w:jc w:val="both"/>
        <w:ind w:right="160" w:firstLine="630"/>
        <w:spacing w:after="0" w:line="266" w:lineRule="auto"/>
        <w:rPr>
          <w:sz w:val="20"/>
          <w:szCs w:val="20"/>
          <w:color w:val="auto"/>
        </w:rPr>
      </w:pPr>
      <w:r>
        <w:rPr>
          <w:rFonts w:ascii="Times New Roman" w:cs="Times New Roman" w:eastAsia="Times New Roman" w:hAnsi="Times New Roman"/>
          <w:sz w:val="20"/>
          <w:szCs w:val="20"/>
          <w:color w:val="auto"/>
        </w:rPr>
        <w:t>For our anti-BDCA2 program, our competitors include another anti-BDCA2 antibody, litifilimab (Biogen) in Phase 3 development for SLE and CLE, and an anti-ILT7 antibody, daxdilimab (Amgen) in Phase 2 development for dermatomyositis or anti-synthetase inflammatory myositis, and discoid lupus erythematosus.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 and Product Approval</w:t>
      </w:r>
    </w:p>
    <w:p>
      <w:pPr>
        <w:spacing w:after="0" w:line="137"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FDA approval process</w:t>
      </w:r>
    </w:p>
    <w:p>
      <w:pPr>
        <w:spacing w:after="0" w:line="137" w:lineRule="exact"/>
        <w:rPr>
          <w:sz w:val="20"/>
          <w:szCs w:val="20"/>
          <w:color w:val="auto"/>
        </w:rPr>
      </w:pPr>
    </w:p>
    <w:p>
      <w:pPr>
        <w:ind w:right="80" w:firstLine="630"/>
        <w:spacing w:after="0" w:line="253" w:lineRule="auto"/>
        <w:rPr>
          <w:sz w:val="20"/>
          <w:szCs w:val="20"/>
          <w:color w:val="auto"/>
        </w:rPr>
      </w:pPr>
      <w:r>
        <w:rPr>
          <w:rFonts w:ascii="Times New Roman" w:cs="Times New Roman" w:eastAsia="Times New Roman" w:hAnsi="Times New Roman"/>
          <w:sz w:val="20"/>
          <w:szCs w:val="20"/>
          <w:color w:val="auto"/>
        </w:rPr>
        <w:t>In the United States, pharmaceutical products are subject to extensive regulation by the FDA. The Federal Food, Drug, and Cosmetic Act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(“NDAs”). Biological products are approved for marketing under provisions of the Public Health Service Act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91" w:lineRule="exact"/>
        <w:rPr>
          <w:sz w:val="20"/>
          <w:szCs w:val="20"/>
          <w:color w:val="auto"/>
        </w:rPr>
      </w:pPr>
    </w:p>
    <w:p>
      <w:pPr>
        <w:ind w:right="40" w:firstLine="630"/>
        <w:spacing w:after="0"/>
        <w:rPr>
          <w:sz w:val="20"/>
          <w:szCs w:val="20"/>
          <w:color w:val="auto"/>
        </w:rPr>
      </w:pPr>
      <w:r>
        <w:rPr>
          <w:rFonts w:ascii="Times New Roman" w:cs="Times New Roman" w:eastAsia="Times New Roman" w:hAnsi="Times New Roman"/>
          <w:sz w:val="20"/>
          <w:szCs w:val="20"/>
          <w:color w:val="auto"/>
        </w:rPr>
        <w:t>Biological product development for a new product or certain changes to an approved product in the United States typically involves preclinical laboratory and animal tests, the submission to the FDA of an investigational new drug application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84" w:lineRule="exact"/>
        <w:rPr>
          <w:sz w:val="20"/>
          <w:szCs w:val="20"/>
          <w:color w:val="auto"/>
        </w:rPr>
      </w:pPr>
    </w:p>
    <w:p>
      <w:pPr>
        <w:ind w:right="20" w:firstLine="630"/>
        <w:spacing w:after="0" w:line="254" w:lineRule="auto"/>
        <w:rPr>
          <w:sz w:val="20"/>
          <w:szCs w:val="20"/>
          <w:color w:val="auto"/>
        </w:rPr>
      </w:pPr>
      <w:r>
        <w:rPr>
          <w:rFonts w:ascii="Times New Roman" w:cs="Times New Roman" w:eastAsia="Times New Roman" w:hAnsi="Times New Roman"/>
          <w:sz w:val="20"/>
          <w:szCs w:val="20"/>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20"/>
          </w:cols>
          <w:pgMar w:left="1000" w:top="793" w:right="1020" w:bottom="0" w:gutter="0" w:footer="0" w:header="0"/>
          <w:type w:val="continuous"/>
        </w:sectPr>
      </w:pPr>
    </w:p>
    <w:bookmarkStart w:id="14" w:name="page15"/>
    <w:bookmarkEnd w:id="14"/>
    <w:p>
      <w:pPr>
        <w:ind w:right="20"/>
        <w:spacing w:after="0" w:line="258" w:lineRule="auto"/>
        <w:rPr>
          <w:sz w:val="20"/>
          <w:szCs w:val="20"/>
          <w:color w:val="auto"/>
        </w:rPr>
      </w:pPr>
      <w:r>
        <w:rPr>
          <w:rFonts w:ascii="Times New Roman" w:cs="Times New Roman" w:eastAsia="Times New Roman" w:hAnsi="Times New Roman"/>
          <w:sz w:val="20"/>
          <w:szCs w:val="20"/>
          <w:color w:val="auto"/>
        </w:rPr>
        <w:t>qualified investigator. Clinical trials must be conducted: (i) in compliance with federal regulations; (ii) in compliance with good clinical practices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84" w:lineRule="exact"/>
        <w:rPr>
          <w:sz w:val="20"/>
          <w:szCs w:val="20"/>
          <w:color w:val="auto"/>
        </w:rPr>
      </w:pPr>
    </w:p>
    <w:p>
      <w:pPr>
        <w:ind w:right="160" w:firstLine="630"/>
        <w:spacing w:after="0" w:line="256" w:lineRule="auto"/>
        <w:rPr>
          <w:sz w:val="20"/>
          <w:szCs w:val="20"/>
          <w:color w:val="auto"/>
        </w:rPr>
      </w:pPr>
      <w:r>
        <w:rPr>
          <w:rFonts w:ascii="Times New Roman" w:cs="Times New Roman" w:eastAsia="Times New Roman" w:hAnsi="Times New Roman"/>
          <w:sz w:val="20"/>
          <w:szCs w:val="20"/>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(“IRB”) for approval. An IRB may also require the clinical trial at the site to be halted, either temporarily or permanently, for failure to comply with the IRB’s requirements, or may impose other conditions.</w:t>
      </w:r>
    </w:p>
    <w:p>
      <w:pPr>
        <w:spacing w:after="0" w:line="88" w:lineRule="exact"/>
        <w:rPr>
          <w:sz w:val="20"/>
          <w:szCs w:val="20"/>
          <w:color w:val="auto"/>
        </w:rPr>
      </w:pPr>
    </w:p>
    <w:p>
      <w:pPr>
        <w:ind w:right="20" w:firstLine="630"/>
        <w:spacing w:after="0" w:line="267" w:lineRule="auto"/>
        <w:rPr>
          <w:sz w:val="20"/>
          <w:szCs w:val="20"/>
          <w:color w:val="auto"/>
        </w:rPr>
      </w:pPr>
      <w:r>
        <w:rPr>
          <w:rFonts w:ascii="Times New Roman" w:cs="Times New Roman" w:eastAsia="Times New Roman" w:hAnsi="Times New Roman"/>
          <w:sz w:val="19"/>
          <w:szCs w:val="19"/>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clinical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clinical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clinical trial may be sufficient in rare instances, including (i) where the clinical trial is a large multicenter clinical trial demonstrating internal consistency and a statistically persuasive finding of a clinically meaningful effect on mortality, irreversible morbidity or prevention of a disease with a potentially serious outcome and confirmation of the result in a second clinical trial would be practically or ethically impossible or (ii) when in conjunction with other confirmatory evidence.</w:t>
      </w:r>
    </w:p>
    <w:p>
      <w:pPr>
        <w:spacing w:after="0" w:line="77"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filed, the FDA begins an in-depth review. The FDA has agreed to certain performance goals in the review of BLAs. Most such applications for standard review biologic products are reviewed within 10 months of the date the BLA is filed with the FDA; most applications for priority review biologics are reviewed within 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98" w:lineRule="exact"/>
        <w:rPr>
          <w:sz w:val="20"/>
          <w:szCs w:val="20"/>
          <w:color w:val="auto"/>
        </w:rPr>
      </w:pPr>
    </w:p>
    <w:p>
      <w:pPr>
        <w:ind w:right="20" w:firstLine="630"/>
        <w:spacing w:after="0" w:line="254" w:lineRule="auto"/>
        <w:rPr>
          <w:sz w:val="20"/>
          <w:szCs w:val="20"/>
          <w:color w:val="auto"/>
        </w:rPr>
      </w:pPr>
      <w:r>
        <w:rPr>
          <w:rFonts w:ascii="Times New Roman" w:cs="Times New Roman" w:eastAsia="Times New Roman" w:hAnsi="Times New Roman"/>
          <w:sz w:val="20"/>
          <w:szCs w:val="20"/>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is satisfactory and the BLA contains data that provide substantial evidence that the biologic is safe, pure, potent and effective in the indication studied.</w:t>
      </w:r>
    </w:p>
    <w:p>
      <w:pPr>
        <w:spacing w:after="0" w:line="93" w:lineRule="exact"/>
        <w:rPr>
          <w:sz w:val="20"/>
          <w:szCs w:val="20"/>
          <w:color w:val="auto"/>
        </w:rPr>
      </w:pPr>
    </w:p>
    <w:p>
      <w:pPr>
        <w:ind w:firstLine="630"/>
        <w:spacing w:after="0" w:line="270" w:lineRule="auto"/>
        <w:rPr>
          <w:sz w:val="20"/>
          <w:szCs w:val="20"/>
          <w:color w:val="auto"/>
        </w:rPr>
      </w:pPr>
      <w:r>
        <w:rPr>
          <w:rFonts w:ascii="Times New Roman" w:cs="Times New Roman" w:eastAsia="Times New Roman" w:hAnsi="Times New Roman"/>
          <w:sz w:val="19"/>
          <w:szCs w:val="19"/>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risk evaluation and mitigation strategy (“REMS”) to help ensure that the benefits of the biologic outweigh the potential risks. REMS can include medication guides, communication plans for health care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40"/>
          </w:cols>
          <w:pgMar w:left="1000" w:top="793" w:right="1000" w:bottom="0" w:gutter="0" w:footer="0" w:header="0"/>
          <w:type w:val="continuous"/>
        </w:sectPr>
      </w:pPr>
    </w:p>
    <w:bookmarkStart w:id="15" w:name="page16"/>
    <w:bookmarkEnd w:id="15"/>
    <w:p>
      <w:pPr>
        <w:jc w:val="both"/>
        <w:ind w:right="480"/>
        <w:spacing w:after="0" w:line="257" w:lineRule="auto"/>
        <w:rPr>
          <w:sz w:val="20"/>
          <w:szCs w:val="20"/>
          <w:color w:val="auto"/>
        </w:rPr>
      </w:pPr>
      <w:r>
        <w:rPr>
          <w:rFonts w:ascii="Times New Roman" w:cs="Times New Roman" w:eastAsia="Times New Roman" w:hAnsi="Times New Roman"/>
          <w:sz w:val="20"/>
          <w:szCs w:val="20"/>
          <w:color w:val="auto"/>
        </w:rPr>
        <w:t>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auto"/>
        </w:rPr>
        <w:t>product. Moreover, product approval may require substantial post-approval testing and surveillance to monitor the product’s safety or efficacy.</w:t>
      </w:r>
    </w:p>
    <w:p>
      <w:pPr>
        <w:spacing w:after="0" w:line="82" w:lineRule="exact"/>
        <w:rPr>
          <w:sz w:val="20"/>
          <w:szCs w:val="20"/>
          <w:color w:val="auto"/>
        </w:rPr>
      </w:pPr>
    </w:p>
    <w:p>
      <w:pPr>
        <w:ind w:right="100" w:firstLine="630"/>
        <w:spacing w:after="0" w:line="256" w:lineRule="auto"/>
        <w:rPr>
          <w:sz w:val="20"/>
          <w:szCs w:val="20"/>
          <w:color w:val="auto"/>
        </w:rPr>
      </w:pPr>
      <w:r>
        <w:rPr>
          <w:rFonts w:ascii="Times New Roman" w:cs="Times New Roman" w:eastAsia="Times New Roman" w:hAnsi="Times New Roman"/>
          <w:sz w:val="20"/>
          <w:szCs w:val="20"/>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clinical studies to support an IND</w:t>
      </w:r>
    </w:p>
    <w:p>
      <w:pPr>
        <w:spacing w:after="0" w:line="137" w:lineRule="exact"/>
        <w:rPr>
          <w:sz w:val="20"/>
          <w:szCs w:val="20"/>
          <w:color w:val="auto"/>
        </w:rPr>
      </w:pPr>
    </w:p>
    <w:p>
      <w:pPr>
        <w:ind w:right="240" w:firstLine="630"/>
        <w:spacing w:after="0" w:line="260" w:lineRule="auto"/>
        <w:rPr>
          <w:sz w:val="20"/>
          <w:szCs w:val="20"/>
          <w:color w:val="auto"/>
        </w:rPr>
      </w:pPr>
      <w:r>
        <w:rPr>
          <w:rFonts w:ascii="Times New Roman" w:cs="Times New Roman" w:eastAsia="Times New Roman" w:hAnsi="Times New Roman"/>
          <w:sz w:val="20"/>
          <w:szCs w:val="20"/>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83" w:lineRule="exact"/>
        <w:rPr>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investigator’s qualifications;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the research facilities;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detailed summary of the protocol and study results and, if requested, case records or additional background data;</w:t>
      </w:r>
    </w:p>
    <w:p>
      <w:pPr>
        <w:spacing w:after="0" w:line="130" w:lineRule="exact"/>
        <w:rPr>
          <w:rFonts w:ascii="Times New Roman" w:cs="Times New Roman" w:eastAsia="Times New Roman" w:hAnsi="Times New Roman"/>
          <w:sz w:val="20"/>
          <w:szCs w:val="20"/>
          <w:color w:val="auto"/>
        </w:rPr>
      </w:pPr>
    </w:p>
    <w:p>
      <w:pPr>
        <w:ind w:left="720" w:right="320" w:hanging="37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the drug substance and drug product, including the components, formulation, specifications, and, if available, the bioavailability of the drug product;</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showing that the study is adequate and well controlled;</w:t>
      </w:r>
    </w:p>
    <w:p>
      <w:pPr>
        <w:spacing w:after="0" w:line="13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independent ethics committee that reviewed the study and a statement that the independent ethics committee meets the required definition;</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summary of the independent ethics committee’s decision to approve or modify and approve the study, or to provide a favorable opinion;</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how informed consent was obtained;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what incentives, if any, were provided to subjects to participate;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how the sponsors monitored the study and ensured that the study was consistent with the protocol;</w:t>
      </w:r>
    </w:p>
    <w:p>
      <w:pPr>
        <w:spacing w:after="0" w:line="130" w:lineRule="exact"/>
        <w:rPr>
          <w:rFonts w:ascii="Times New Roman" w:cs="Times New Roman" w:eastAsia="Times New Roman" w:hAnsi="Times New Roman"/>
          <w:sz w:val="20"/>
          <w:szCs w:val="20"/>
          <w:color w:val="auto"/>
        </w:rPr>
      </w:pPr>
    </w:p>
    <w:p>
      <w:pPr>
        <w:ind w:left="720" w:right="220" w:hanging="37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how investigators were trained to comply with GCP and to conduct the study in accordance with the study protocol; and</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on whether written commitments by investigators to comply with GCP and the protocol were obtained.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of clinical trial information</w:t>
      </w:r>
    </w:p>
    <w:p>
      <w:pPr>
        <w:spacing w:after="0" w:line="137" w:lineRule="exact"/>
        <w:rPr>
          <w:sz w:val="20"/>
          <w:szCs w:val="20"/>
          <w:color w:val="auto"/>
        </w:rPr>
      </w:pPr>
    </w:p>
    <w:p>
      <w:pPr>
        <w:ind w:right="180" w:firstLine="630"/>
        <w:spacing w:after="0" w:line="256" w:lineRule="auto"/>
        <w:rPr>
          <w:sz w:val="20"/>
          <w:szCs w:val="20"/>
          <w:color w:val="auto"/>
        </w:rPr>
      </w:pPr>
      <w:r>
        <w:rPr>
          <w:rFonts w:ascii="Times New Roman" w:cs="Times New Roman" w:eastAsia="Times New Roman" w:hAnsi="Times New Roman"/>
          <w:sz w:val="20"/>
          <w:szCs w:val="20"/>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clinical trials can be delayed in certain circumstances for up to two years after the date of completion of the clinical trial. Competitors may use this publicly available information to gain knowledge regarding the progress of development programs.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Pediatric information</w:t>
      </w:r>
    </w:p>
    <w:p>
      <w:pPr>
        <w:spacing w:after="0" w:line="137"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0"/>
          <w:szCs w:val="20"/>
          <w:color w:val="auto"/>
        </w:rPr>
        <w:t>Under the Pediatric Research Equity Act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the PREA does not apply to any biological product for an indication for which Orphan Drug Designation has been granted.</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40"/>
          </w:cols>
          <w:pgMar w:left="1000" w:top="793" w:right="1000" w:bottom="0" w:gutter="0" w:footer="0" w:header="0"/>
          <w:type w:val="continuous"/>
        </w:sectPr>
      </w:pPr>
    </w:p>
    <w:bookmarkStart w:id="16" w:name="page17"/>
    <w:bookmarkEnd w:id="16"/>
    <w:p>
      <w:pPr>
        <w:ind w:left="10" w:right="20" w:firstLine="630"/>
        <w:spacing w:after="0" w:line="258" w:lineRule="auto"/>
        <w:rPr>
          <w:sz w:val="20"/>
          <w:szCs w:val="20"/>
          <w:color w:val="auto"/>
        </w:rPr>
      </w:pPr>
      <w:r>
        <w:rPr>
          <w:rFonts w:ascii="Times New Roman" w:cs="Times New Roman" w:eastAsia="Times New Roman" w:hAnsi="Times New Roman"/>
          <w:sz w:val="20"/>
          <w:szCs w:val="20"/>
          <w:color w:val="auto"/>
        </w:rPr>
        <w:t>The Best Pharmaceuticals for Children Act (“BPCA”) provides sponsors of NDAs with an additional six-month period of market exclusivity for all unexpired patent or non-patent exclusivity on all forms of the drug containing the active moiety if the sponsor submits results of pediatric studies specifically requested by the FDA under BPCA within required timeframes. The BPCA provides sponsors of BLAs an additional six-month extension for all unexpired non-patent market exclusivity on all forms of the biological containing the active moiety pursuant to the BPCA if the conditions under the BPCA are met.</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Additional controls for biologics</w:t>
      </w:r>
    </w:p>
    <w:p>
      <w:pPr>
        <w:spacing w:after="0" w:line="137" w:lineRule="exact"/>
        <w:rPr>
          <w:sz w:val="20"/>
          <w:szCs w:val="20"/>
          <w:color w:val="auto"/>
        </w:rPr>
      </w:pPr>
    </w:p>
    <w:p>
      <w:pPr>
        <w:ind w:left="10" w:firstLine="630"/>
        <w:spacing w:after="0" w:line="258" w:lineRule="auto"/>
        <w:rPr>
          <w:sz w:val="20"/>
          <w:szCs w:val="20"/>
          <w:color w:val="auto"/>
        </w:rPr>
      </w:pPr>
      <w:r>
        <w:rPr>
          <w:rFonts w:ascii="Times New Roman" w:cs="Times New Roman" w:eastAsia="Times New Roman" w:hAnsi="Times New Roman"/>
          <w:sz w:val="20"/>
          <w:szCs w:val="20"/>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84" w:lineRule="exact"/>
        <w:rPr>
          <w:sz w:val="20"/>
          <w:szCs w:val="20"/>
          <w:color w:val="auto"/>
        </w:rPr>
      </w:pPr>
    </w:p>
    <w:p>
      <w:pPr>
        <w:ind w:left="10" w:firstLine="630"/>
        <w:spacing w:after="0" w:line="256" w:lineRule="auto"/>
        <w:rPr>
          <w:sz w:val="20"/>
          <w:szCs w:val="20"/>
          <w:color w:val="auto"/>
        </w:rPr>
      </w:pPr>
      <w:r>
        <w:rPr>
          <w:rFonts w:ascii="Times New Roman" w:cs="Times New Roman" w:eastAsia="Times New Roman" w:hAnsi="Times New Roman"/>
          <w:sz w:val="20"/>
          <w:szCs w:val="20"/>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88" w:lineRule="exact"/>
        <w:rPr>
          <w:sz w:val="20"/>
          <w:szCs w:val="20"/>
          <w:color w:val="auto"/>
        </w:rPr>
      </w:pPr>
    </w:p>
    <w:p>
      <w:pPr>
        <w:ind w:left="10" w:right="60" w:firstLine="630"/>
        <w:spacing w:after="0" w:line="266" w:lineRule="auto"/>
        <w:rPr>
          <w:sz w:val="20"/>
          <w:szCs w:val="20"/>
          <w:color w:val="auto"/>
        </w:rPr>
      </w:pPr>
      <w:r>
        <w:rPr>
          <w:rFonts w:ascii="Times New Roman" w:cs="Times New Roman" w:eastAsia="Times New Roman" w:hAnsi="Times New Roman"/>
          <w:sz w:val="20"/>
          <w:szCs w:val="20"/>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Patent term restoration</w:t>
      </w:r>
    </w:p>
    <w:p>
      <w:pPr>
        <w:spacing w:after="0" w:line="137" w:lineRule="exact"/>
        <w:rPr>
          <w:sz w:val="20"/>
          <w:szCs w:val="20"/>
          <w:color w:val="auto"/>
        </w:rPr>
      </w:pPr>
    </w:p>
    <w:p>
      <w:pPr>
        <w:ind w:left="10" w:right="140" w:firstLine="630"/>
        <w:spacing w:after="0" w:line="258" w:lineRule="auto"/>
        <w:rPr>
          <w:sz w:val="20"/>
          <w:szCs w:val="20"/>
          <w:color w:val="auto"/>
        </w:rPr>
      </w:pPr>
      <w:r>
        <w:rPr>
          <w:rFonts w:ascii="Times New Roman" w:cs="Times New Roman" w:eastAsia="Times New Roman" w:hAnsi="Times New Roman"/>
          <w:sz w:val="20"/>
          <w:szCs w:val="20"/>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 from the date of marketing approval.</w:t>
      </w:r>
    </w:p>
    <w:p>
      <w:pPr>
        <w:spacing w:after="0" w:line="84" w:lineRule="exact"/>
        <w:rPr>
          <w:sz w:val="20"/>
          <w:szCs w:val="20"/>
          <w:color w:val="auto"/>
        </w:rPr>
      </w:pPr>
    </w:p>
    <w:p>
      <w:pPr>
        <w:ind w:left="10" w:right="180" w:firstLine="630"/>
        <w:spacing w:after="0" w:line="258" w:lineRule="auto"/>
        <w:rPr>
          <w:sz w:val="20"/>
          <w:szCs w:val="20"/>
          <w:color w:val="auto"/>
        </w:rPr>
      </w:pPr>
      <w:r>
        <w:rPr>
          <w:rFonts w:ascii="Times New Roman" w:cs="Times New Roman" w:eastAsia="Times New Roman" w:hAnsi="Times New Roman"/>
          <w:sz w:val="20"/>
          <w:szCs w:val="20"/>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or biologic for which an NDA or BLA has not been submitted.</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Biosimilars</w:t>
      </w:r>
    </w:p>
    <w:p>
      <w:pPr>
        <w:spacing w:after="0" w:line="137" w:lineRule="exact"/>
        <w:rPr>
          <w:sz w:val="20"/>
          <w:szCs w:val="20"/>
          <w:color w:val="auto"/>
        </w:rPr>
      </w:pPr>
    </w:p>
    <w:p>
      <w:pPr>
        <w:ind w:left="10" w:right="40" w:firstLine="630"/>
        <w:spacing w:after="0" w:line="253" w:lineRule="auto"/>
        <w:rPr>
          <w:sz w:val="20"/>
          <w:szCs w:val="20"/>
          <w:color w:val="auto"/>
        </w:rPr>
      </w:pPr>
      <w:r>
        <w:rPr>
          <w:rFonts w:ascii="Times New Roman" w:cs="Times New Roman" w:eastAsia="Times New Roman" w:hAnsi="Times New Roman"/>
          <w:sz w:val="20"/>
          <w:szCs w:val="20"/>
          <w:color w:val="auto"/>
        </w:rPr>
        <w:t>The Biologics Price Competition and Innovation Act of 2009 (“BPCIA”) created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the U.S. Department of Health and Human Services (“HHS”)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The first biosimilar was approved by the FDA in 2015, and the first interchangeable product was approved in 2021.</w:t>
      </w:r>
    </w:p>
    <w:p>
      <w:pPr>
        <w:spacing w:after="0" w:line="93" w:lineRule="exact"/>
        <w:rPr>
          <w:sz w:val="20"/>
          <w:szCs w:val="20"/>
          <w:color w:val="auto"/>
        </w:rPr>
      </w:pPr>
    </w:p>
    <w:p>
      <w:pPr>
        <w:ind w:left="10" w:right="100" w:firstLine="630"/>
        <w:spacing w:after="0" w:line="269" w:lineRule="auto"/>
        <w:rPr>
          <w:sz w:val="20"/>
          <w:szCs w:val="20"/>
          <w:color w:val="auto"/>
        </w:rPr>
      </w:pPr>
      <w:r>
        <w:rPr>
          <w:rFonts w:ascii="Times New Roman" w:cs="Times New Roman" w:eastAsia="Times New Roman" w:hAnsi="Times New Roman"/>
          <w:sz w:val="19"/>
          <w:szCs w:val="19"/>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w:t>
      </w:r>
    </w:p>
    <w:p>
      <w:pPr>
        <w:spacing w:after="0" w:line="1" w:lineRule="exact"/>
        <w:rPr>
          <w:sz w:val="20"/>
          <w:szCs w:val="20"/>
          <w:color w:val="auto"/>
        </w:rPr>
      </w:pPr>
    </w:p>
    <w:p>
      <w:pPr>
        <w:ind w:left="10" w:hanging="10"/>
        <w:spacing w:after="0" w:line="253" w:lineRule="auto"/>
        <w:tabs>
          <w:tab w:leader="none" w:pos="24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ectPr>
          <w:pgSz w:w="12240" w:h="15840" w:orient="portrait"/>
          <w:cols w:equalWidth="0" w:num="1">
            <w:col w:w="10250"/>
          </w:cols>
          <w:pgMar w:left="99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50"/>
          </w:cols>
          <w:pgMar w:left="990" w:top="793" w:right="100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Post-approval requirements</w:t>
      </w:r>
    </w:p>
    <w:p>
      <w:pPr>
        <w:spacing w:after="0" w:line="137" w:lineRule="exact"/>
        <w:rPr>
          <w:sz w:val="20"/>
          <w:szCs w:val="20"/>
          <w:color w:val="auto"/>
        </w:rPr>
      </w:pPr>
    </w:p>
    <w:p>
      <w:pPr>
        <w:ind w:right="40" w:firstLine="630"/>
        <w:spacing w:after="0" w:line="260" w:lineRule="auto"/>
        <w:rPr>
          <w:sz w:val="20"/>
          <w:szCs w:val="20"/>
          <w:color w:val="auto"/>
        </w:rPr>
      </w:pPr>
      <w:r>
        <w:rPr>
          <w:rFonts w:ascii="Times New Roman" w:cs="Times New Roman" w:eastAsia="Times New Roman" w:hAnsi="Times New Roman"/>
          <w:sz w:val="20"/>
          <w:szCs w:val="20"/>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w:t>
      </w:r>
    </w:p>
    <w:p>
      <w:pPr>
        <w:spacing w:after="0" w:line="83" w:lineRule="exact"/>
        <w:rPr>
          <w:sz w:val="20"/>
          <w:szCs w:val="20"/>
          <w:color w:val="auto"/>
        </w:rPr>
      </w:pPr>
    </w:p>
    <w:p>
      <w:pPr>
        <w:ind w:right="160" w:firstLine="630"/>
        <w:spacing w:after="0" w:line="258" w:lineRule="auto"/>
        <w:rPr>
          <w:sz w:val="20"/>
          <w:szCs w:val="20"/>
          <w:color w:val="auto"/>
        </w:rPr>
      </w:pPr>
      <w:r>
        <w:rPr>
          <w:rFonts w:ascii="Times New Roman" w:cs="Times New Roman" w:eastAsia="Times New Roman" w:hAnsi="Times New Roman"/>
          <w:sz w:val="20"/>
          <w:szCs w:val="20"/>
          <w:color w:val="auto"/>
        </w:rPr>
        <w:t>Biologics may be marketed only for the approved indications and in accordance with the provisions of the approved labeling. Changes to some of the conditions established in an approved application, including changes in indications, labeling, or manufacturing processes or facilities, may require a submission to and approval by the FDA before the change can be implemented. A BLA supplement for a new indication typically requires clinical data similar to that in the original application and similar procedures and actions in reviewing BLA or supplements as in reviewing BLAs.</w:t>
      </w:r>
    </w:p>
    <w:p>
      <w:pPr>
        <w:spacing w:after="0" w:line="84"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Adverse event reporting and submission of periodic reports are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In addition, biological product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U.S. health care laws and compliance requirements</w:t>
      </w:r>
    </w:p>
    <w:p>
      <w:pPr>
        <w:spacing w:after="0" w:line="137" w:lineRule="exact"/>
        <w:rPr>
          <w:sz w:val="20"/>
          <w:szCs w:val="20"/>
          <w:color w:val="auto"/>
        </w:rPr>
      </w:pPr>
    </w:p>
    <w:p>
      <w:pPr>
        <w:ind w:right="120" w:firstLine="630"/>
        <w:spacing w:after="0" w:line="255" w:lineRule="auto"/>
        <w:rPr>
          <w:sz w:val="20"/>
          <w:szCs w:val="20"/>
          <w:color w:val="auto"/>
        </w:rPr>
      </w:pPr>
      <w:r>
        <w:rPr>
          <w:rFonts w:ascii="Times New Roman" w:cs="Times New Roman" w:eastAsia="Times New Roman" w:hAnsi="Times New Roman"/>
          <w:sz w:val="20"/>
          <w:szCs w:val="20"/>
          <w:color w:val="auto"/>
        </w:rPr>
        <w:t>In the United States, our activities are potentially subject to regulation by various federal, state and local authorities in addition to the FDA, including but not limited to, the Centers for Medicare and Medicaid Services (“CMS”), other divisions of the HHS (such as the Office of Inspector General), the U.S. Department of Justice (“DOJ”), and individual U.S. Attorney offices within the DOJ, and state and local governments. For example, sales, marketing and scientific/educational grant programs may have to comply with the anti-fraud and abuse provisions of the Social Security Act, anti-kickback statutes, false claims laws, the privacy and security provisions of the Health Insurance Portability and Accountability Act (“HIPAA”), and similar state laws, each as amended, as applicable.</w:t>
      </w:r>
    </w:p>
    <w:p>
      <w:pPr>
        <w:spacing w:after="0" w:line="90"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 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88"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0"/>
          <w:szCs w:val="20"/>
          <w:color w:val="auto"/>
        </w:rPr>
        <w:t>Additionally, the intent standard under the Anti-Kickback Statute was amended by the Patient Protection and Affordable Care Act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84" w:lineRule="exact"/>
        <w:rPr>
          <w:sz w:val="20"/>
          <w:szCs w:val="20"/>
          <w:color w:val="auto"/>
        </w:rPr>
      </w:pPr>
    </w:p>
    <w:p>
      <w:pPr>
        <w:ind w:right="380" w:firstLine="630"/>
        <w:spacing w:after="0" w:line="266" w:lineRule="auto"/>
        <w:rPr>
          <w:sz w:val="20"/>
          <w:szCs w:val="20"/>
          <w:color w:val="auto"/>
        </w:rPr>
      </w:pPr>
      <w:r>
        <w:rPr>
          <w:rFonts w:ascii="Times New Roman" w:cs="Times New Roman" w:eastAsia="Times New Roman" w:hAnsi="Times New Roman"/>
          <w:sz w:val="20"/>
          <w:szCs w:val="20"/>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40"/>
          </w:cols>
          <w:pgMar w:left="1000" w:top="786" w:right="1000" w:bottom="0" w:gutter="0" w:footer="0" w:header="0"/>
          <w:type w:val="continuous"/>
        </w:sectPr>
      </w:pPr>
    </w:p>
    <w:bookmarkStart w:id="18" w:name="page19"/>
    <w:bookmarkEnd w:id="18"/>
    <w:p>
      <w:pPr>
        <w:ind w:right="80" w:firstLine="630"/>
        <w:spacing w:after="0" w:line="254" w:lineRule="auto"/>
        <w:rPr>
          <w:sz w:val="20"/>
          <w:szCs w:val="20"/>
          <w:color w:val="auto"/>
        </w:rPr>
      </w:pPr>
      <w:r>
        <w:rPr>
          <w:rFonts w:ascii="Times New Roman" w:cs="Times New Roman" w:eastAsia="Times New Roman" w:hAnsi="Times New Roman"/>
          <w:sz w:val="20"/>
          <w:szCs w:val="20"/>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 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 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89" w:lineRule="exact"/>
        <w:rPr>
          <w:sz w:val="20"/>
          <w:szCs w:val="20"/>
          <w:color w:val="auto"/>
        </w:rPr>
      </w:pPr>
    </w:p>
    <w:p>
      <w:pPr>
        <w:ind w:right="60" w:firstLine="630"/>
        <w:spacing w:after="0" w:line="254" w:lineRule="auto"/>
        <w:rPr>
          <w:sz w:val="20"/>
          <w:szCs w:val="20"/>
          <w:color w:val="auto"/>
        </w:rPr>
      </w:pPr>
      <w:r>
        <w:rPr>
          <w:rFonts w:ascii="Times New Roman" w:cs="Times New Roman" w:eastAsia="Times New Roman" w:hAnsi="Times New Roman"/>
          <w:sz w:val="20"/>
          <w:szCs w:val="20"/>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 care benefit program, including private third party payors, willfully obstructing a criminal investigation of a health care offense, and knowingly and willfully falsifying, concealing or covering up by trick, scheme or device, a material fact or making any materially false, fictitious or fraudulent statement in connection with the delivery of or payment for health care benefits, items or services. Like the Anti-Kickback Statute, the ACA amended the intent standard for certain health care fraud statutes under HIPAA such that a person or entity no longer needs to have actual knowledge of the statute or specific intent to violate it in order to have committed a violation.</w:t>
      </w:r>
    </w:p>
    <w:p>
      <w:pPr>
        <w:spacing w:after="0" w:line="89" w:lineRule="exact"/>
        <w:rPr>
          <w:sz w:val="20"/>
          <w:szCs w:val="20"/>
          <w:color w:val="auto"/>
        </w:rPr>
      </w:pPr>
    </w:p>
    <w:p>
      <w:pPr>
        <w:ind w:right="40" w:firstLine="630"/>
        <w:spacing w:after="0" w:line="266" w:lineRule="auto"/>
        <w:rPr>
          <w:sz w:val="20"/>
          <w:szCs w:val="20"/>
          <w:color w:val="auto"/>
        </w:rPr>
      </w:pPr>
      <w:r>
        <w:rPr>
          <w:rFonts w:ascii="Times New Roman" w:cs="Times New Roman" w:eastAsia="Times New Roman" w:hAnsi="Times New Roman"/>
          <w:sz w:val="20"/>
          <w:szCs w:val="20"/>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75"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We may be subject to data privacy and security regulations by both the federal government and the states in which we conduct our business. HIPAA, as amended by the Health Information Technology for Economic and Clinical Health Act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93"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89"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 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93" w:lineRule="exact"/>
        <w:rPr>
          <w:sz w:val="20"/>
          <w:szCs w:val="20"/>
          <w:color w:val="auto"/>
        </w:rPr>
      </w:pPr>
    </w:p>
    <w:p>
      <w:pPr>
        <w:ind w:right="260" w:firstLine="630"/>
        <w:spacing w:after="0" w:line="260" w:lineRule="auto"/>
        <w:rPr>
          <w:sz w:val="20"/>
          <w:szCs w:val="20"/>
          <w:color w:val="auto"/>
        </w:rPr>
      </w:pPr>
      <w:r>
        <w:rPr>
          <w:rFonts w:ascii="Times New Roman" w:cs="Times New Roman" w:eastAsia="Times New Roman" w:hAnsi="Times New Roman"/>
          <w:sz w:val="20"/>
          <w:szCs w:val="20"/>
          <w:color w:val="auto"/>
        </w:rPr>
        <w:t>If our operations are found to be in violation of any of the federal and state health 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w:t>
      </w:r>
    </w:p>
    <w:p>
      <w:pPr>
        <w:sectPr>
          <w:pgSz w:w="12240" w:h="15840" w:orient="portrait"/>
          <w:cols w:equalWidth="0" w:num="1">
            <w:col w:w="10240"/>
          </w:cols>
          <w:pgMar w:left="1000" w:top="793" w:right="1000" w:bottom="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40"/>
          </w:cols>
          <w:pgMar w:left="1000" w:top="793" w:right="1000" w:bottom="0" w:gutter="0" w:footer="0" w:header="0"/>
          <w:type w:val="continuous"/>
        </w:sectPr>
      </w:pPr>
    </w:p>
    <w:bookmarkStart w:id="19" w:name="page20"/>
    <w:bookmarkEnd w:id="19"/>
    <w:p>
      <w:pPr>
        <w:ind w:right="220"/>
        <w:spacing w:after="0" w:line="266" w:lineRule="auto"/>
        <w:rPr>
          <w:sz w:val="20"/>
          <w:szCs w:val="20"/>
          <w:color w:val="auto"/>
        </w:rPr>
      </w:pPr>
      <w:r>
        <w:rPr>
          <w:rFonts w:ascii="Times New Roman" w:cs="Times New Roman" w:eastAsia="Times New Roman" w:hAnsi="Times New Roman"/>
          <w:sz w:val="20"/>
          <w:szCs w:val="20"/>
          <w:color w:val="auto"/>
        </w:rPr>
        <w:t>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Coverage, pricing and reimbursement</w:t>
      </w:r>
    </w:p>
    <w:p>
      <w:pPr>
        <w:spacing w:after="0" w:line="137"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19"/>
          <w:szCs w:val="19"/>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 party payors include federal and state health care programs, private managed care providers, health insurers and other organizations. The process for determining whether a third party payor will provide coverage for a product may be separate from the process for setting the price of a product or for establishing the reimbursement rate that such a payor will pay for the product. Third party payors may limit coverage to specific products on an approved list, also known as a formulary, which might not include all of the FDA-approved products for a particular indication. Third 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 party reimbursement may not be available to enable us to maintain price levels sufficient to realize an appropriate return on our investment in product development.</w:t>
      </w:r>
    </w:p>
    <w:p>
      <w:pPr>
        <w:spacing w:after="0" w:line="86" w:lineRule="exact"/>
        <w:rPr>
          <w:sz w:val="20"/>
          <w:szCs w:val="20"/>
          <w:color w:val="auto"/>
        </w:rPr>
      </w:pPr>
    </w:p>
    <w:p>
      <w:pPr>
        <w:ind w:right="40" w:firstLine="630"/>
        <w:spacing w:after="0" w:line="254" w:lineRule="auto"/>
        <w:rPr>
          <w:sz w:val="20"/>
          <w:szCs w:val="20"/>
          <w:color w:val="auto"/>
        </w:rPr>
      </w:pPr>
      <w:r>
        <w:rPr>
          <w:rFonts w:ascii="Times New Roman" w:cs="Times New Roman" w:eastAsia="Times New Roman" w:hAnsi="Times New Roman"/>
          <w:sz w:val="20"/>
          <w:szCs w:val="20"/>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89"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The marketability of any product candidates for which we receive regulatory approval for commercial sale may suffer if the government and third party payors fail to provide adequate coverage and reimbursement. In addition, emphasis on managed care in the United States has increased and we expect will continue to increase the pressure on health care pricing. Coverage policies and third 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Healthcare reform</w:t>
      </w:r>
    </w:p>
    <w:p>
      <w:pPr>
        <w:spacing w:after="0" w:line="137"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Healthcare reform initiatives culminated in the enactment of the Inflation Reduction Act (“IRA”), which, among other things, allows the HHS to negotiate the selling price of certain drugs and biologics that CMS reimburses under Medicare Part B and Part D, although only high-expenditure single-source drugs that have been approved for at least 7 years (11 years for biologics) can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Negotiations for Medicare Part D products begin in 2024 with the negotiated price taking effect in 2026, and negotiations for Medicare Part B products begin in 2026 with the negotiated price taking effect in 2028. In August 2023, HHS announced the ten Medicare Part D drugs and biologics that it selected for negotiations, and by October 1, 2023, each manufacturer of the selected drugs signed a manufacturer agreement to participate in the negotiations. HHS announced the negotiated maximum fair prices on August 15, 2024, and this price cap, which cannot exceed a statutory ceiling price, will come into effect on January 1, 2026. Beginning in January 2023 for Medicare Part B and October 2022 for Medicare Part D, the IRA will also penalize drug manufacturers that increase prices of Medicare Part B and Part D drugs at a rate greater than the rate of inflation and in November 2024, CMS finalized regulations pertaining to these inflation rebates. The IRA permits the Secretary of HHS to implement many of these</w:t>
      </w:r>
    </w:p>
    <w:p>
      <w:pPr>
        <w:sectPr>
          <w:pgSz w:w="12240" w:h="15840" w:orient="portrait"/>
          <w:cols w:equalWidth="0" w:num="1">
            <w:col w:w="10240"/>
          </w:cols>
          <w:pgMar w:left="1000" w:top="793" w:right="1000" w:bottom="0" w:gutter="0" w:footer="0" w:header="0"/>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40"/>
          </w:cols>
          <w:pgMar w:left="1000" w:top="793" w:right="1000" w:bottom="0" w:gutter="0" w:footer="0" w:header="0"/>
          <w:type w:val="continuous"/>
        </w:sectPr>
      </w:pPr>
    </w:p>
    <w:bookmarkStart w:id="20" w:name="page21"/>
    <w:bookmarkEnd w:id="20"/>
    <w:p>
      <w:pPr>
        <w:ind w:right="40"/>
        <w:spacing w:after="0" w:line="254" w:lineRule="auto"/>
        <w:rPr>
          <w:sz w:val="20"/>
          <w:szCs w:val="20"/>
          <w:color w:val="auto"/>
        </w:rPr>
      </w:pPr>
      <w:r>
        <w:rPr>
          <w:rFonts w:ascii="Times New Roman" w:cs="Times New Roman" w:eastAsia="Times New Roman" w:hAnsi="Times New Roman"/>
          <w:sz w:val="20"/>
          <w:szCs w:val="20"/>
          <w:color w:val="auto"/>
        </w:rPr>
        <w:t>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began taking effect progressively starting in 2023, although they may be subject to legal challenges. For example, the provisions related to the negotiation of selling prices of high-expenditure single-source drugs and biologics have been challenged in multiple lawsuits. Thus, while it is unclear how the IRA will be implemented, it will likely have a significant impact on the pharmaceutical industry and the pricing of our products and product candidates. It is unclear to what extent other statutory, regulatory, and administrative initiatives will be enacted and implemented in the future.</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We expect that additional state and federal healthcare reform measures will be adopted in the future.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Foreign Corrupt Practices Act</w:t>
      </w:r>
    </w:p>
    <w:p>
      <w:pPr>
        <w:spacing w:after="0" w:line="137" w:lineRule="exact"/>
        <w:rPr>
          <w:sz w:val="20"/>
          <w:szCs w:val="20"/>
          <w:color w:val="auto"/>
        </w:rPr>
      </w:pPr>
    </w:p>
    <w:p>
      <w:pPr>
        <w:ind w:right="80" w:firstLine="630"/>
        <w:spacing w:after="0" w:line="255" w:lineRule="auto"/>
        <w:rPr>
          <w:sz w:val="20"/>
          <w:szCs w:val="20"/>
          <w:color w:val="auto"/>
        </w:rPr>
      </w:pPr>
      <w:r>
        <w:rPr>
          <w:rFonts w:ascii="Times New Roman" w:cs="Times New Roman" w:eastAsia="Times New Roman" w:hAnsi="Times New Roman"/>
          <w:sz w:val="20"/>
          <w:szCs w:val="20"/>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regulation</w:t>
      </w:r>
    </w:p>
    <w:p>
      <w:pPr>
        <w:spacing w:after="0" w:line="137"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Europe / rest of world government regulation</w:t>
      </w:r>
    </w:p>
    <w:p>
      <w:pPr>
        <w:spacing w:after="0" w:line="137"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(“UK”) and countries in the EU, for example, a Clinical Trial Authorisation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91" w:lineRule="exact"/>
        <w:rPr>
          <w:sz w:val="20"/>
          <w:szCs w:val="20"/>
          <w:color w:val="auto"/>
        </w:rPr>
      </w:pPr>
    </w:p>
    <w:p>
      <w:pPr>
        <w:ind w:right="20" w:firstLine="630"/>
        <w:spacing w:after="0" w:line="255" w:lineRule="auto"/>
        <w:rPr>
          <w:sz w:val="20"/>
          <w:szCs w:val="20"/>
          <w:color w:val="auto"/>
        </w:rPr>
      </w:pPr>
      <w:r>
        <w:rPr>
          <w:rFonts w:ascii="Times New Roman" w:cs="Times New Roman" w:eastAsia="Times New Roman" w:hAnsi="Times New Roman"/>
          <w:sz w:val="20"/>
          <w:szCs w:val="20"/>
          <w:color w:val="auto"/>
        </w:rPr>
        <w:t>To obtain regulatory approval of an investigational drug or biological product under EU and UK regulatory systems, we must submit a marketing authorization application. The application used to file the BLA in the United States is similar to that required in the EU and the UK, with the exception of, among other things, country-specific document requirements. For other countries outside of the EU and the UK,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90" w:lineRule="exact"/>
        <w:rPr>
          <w:sz w:val="20"/>
          <w:szCs w:val="20"/>
          <w:color w:val="auto"/>
        </w:rPr>
      </w:pPr>
    </w:p>
    <w:p>
      <w:pPr>
        <w:jc w:val="both"/>
        <w:ind w:right="140" w:firstLine="630"/>
        <w:spacing w:after="0" w:line="266" w:lineRule="auto"/>
        <w:rPr>
          <w:sz w:val="20"/>
          <w:szCs w:val="20"/>
          <w:color w:val="auto"/>
        </w:rPr>
      </w:pPr>
      <w:r>
        <w:rPr>
          <w:rFonts w:ascii="Times New Roman" w:cs="Times New Roman" w:eastAsia="Times New Roman" w:hAnsi="Times New Roman"/>
          <w:sz w:val="20"/>
          <w:szCs w:val="20"/>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40"/>
          </w:cols>
          <w:pgMar w:left="1000" w:top="793" w:right="100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77" w:lineRule="exact"/>
        <w:rPr>
          <w:sz w:val="20"/>
          <w:szCs w:val="20"/>
          <w:color w:val="auto"/>
        </w:rPr>
      </w:pPr>
    </w:p>
    <w:p>
      <w:pPr>
        <w:ind w:right="120" w:firstLine="630"/>
        <w:spacing w:after="0" w:line="260" w:lineRule="auto"/>
        <w:rPr>
          <w:sz w:val="20"/>
          <w:szCs w:val="20"/>
          <w:color w:val="auto"/>
        </w:rPr>
      </w:pPr>
      <w:r>
        <w:rPr>
          <w:rFonts w:ascii="Times New Roman" w:cs="Times New Roman" w:eastAsia="Times New Roman" w:hAnsi="Times New Roman"/>
          <w:sz w:val="20"/>
          <w:szCs w:val="20"/>
          <w:color w:val="auto"/>
        </w:rPr>
        <w:t>As of December 31, 2024, we had 136 employees. Of these employees, 102 were primarily engaged in research and development activities and 40 held a doctorate degree such as an M.D., Ph.D., or PharmD. None of our employees are represented by a labor union or covered by collective bargaining agreements. We have never experienced a work stoppage and believe that we have good employee relations.</w:t>
      </w:r>
    </w:p>
    <w:p>
      <w:pPr>
        <w:spacing w:after="0" w:line="23"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We view our diverse employee population and our culture as key to our success. Our company culture prioritizes learning, supports growth and empowers us to reach new heights. We recruit employees with the skills and training relevant to succeed and thrive in their functional responsibilities. We assess the likelihood that a particular candidate will contribute to the Company’s overall goals, and beyond their specifically assigned tasks. Depending on the position, our recruitment reach can be local as well as national. We provide competitive compensation and benefits that are tailored specifically to the needs and requests of our employees.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37" w:lineRule="exact"/>
        <w:rPr>
          <w:sz w:val="20"/>
          <w:szCs w:val="20"/>
          <w:color w:val="auto"/>
        </w:rPr>
      </w:pPr>
    </w:p>
    <w:p>
      <w:pPr>
        <w:ind w:right="60" w:firstLine="630"/>
        <w:spacing w:after="0" w:line="260" w:lineRule="auto"/>
        <w:rPr>
          <w:sz w:val="20"/>
          <w:szCs w:val="20"/>
          <w:color w:val="auto"/>
        </w:rPr>
      </w:pPr>
      <w:r>
        <w:rPr>
          <w:rFonts w:ascii="Times New Roman" w:cs="Times New Roman" w:eastAsia="Times New Roman" w:hAnsi="Times New Roman"/>
          <w:sz w:val="20"/>
          <w:szCs w:val="20"/>
          <w:color w:val="auto"/>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37" w:lineRule="exact"/>
        <w:rPr>
          <w:sz w:val="20"/>
          <w:szCs w:val="20"/>
          <w:color w:val="auto"/>
        </w:rPr>
      </w:pPr>
    </w:p>
    <w:p>
      <w:pPr>
        <w:ind w:right="240" w:firstLine="630"/>
        <w:spacing w:after="0" w:line="260" w:lineRule="auto"/>
        <w:rPr>
          <w:sz w:val="20"/>
          <w:szCs w:val="20"/>
          <w:color w:val="auto"/>
        </w:rPr>
      </w:pPr>
      <w:r>
        <w:rPr>
          <w:rFonts w:ascii="Times New Roman" w:cs="Times New Roman" w:eastAsia="Times New Roman" w:hAnsi="Times New Roman"/>
          <w:sz w:val="20"/>
          <w:szCs w:val="20"/>
          <w:color w:val="auto"/>
        </w:rPr>
        <w:t xml:space="preserve">We file Annual Reports on Form 10-K, Quarterly Reports on Form 10-Q, Current Reports on Form 8-K and other information with the Securities and Exchange Commission (“SEC”). Our filings with the SEC are available free of charge on the SEC’s website at </w:t>
      </w:r>
      <w:r>
        <w:rPr>
          <w:rFonts w:ascii="Times New Roman" w:cs="Times New Roman" w:eastAsia="Times New Roman" w:hAnsi="Times New Roman"/>
          <w:sz w:val="20"/>
          <w:szCs w:val="20"/>
          <w:b w:val="1"/>
          <w:bCs w:val="1"/>
          <w:i w:val="1"/>
          <w:iCs w:val="1"/>
          <w:color w:val="auto"/>
        </w:rPr>
        <w:t>www.sec.gov</w:t>
      </w:r>
      <w:r>
        <w:rPr>
          <w:rFonts w:ascii="Times New Roman" w:cs="Times New Roman" w:eastAsia="Times New Roman" w:hAnsi="Times New Roman"/>
          <w:sz w:val="20"/>
          <w:szCs w:val="20"/>
          <w:color w:val="auto"/>
        </w:rPr>
        <w:t xml:space="preserve"> and on our website under the “Investors” tab as soon as reasonably practicable after we electronically file such material with, or furnish it to, the SEC.</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33" w:lineRule="exact"/>
        <w:rPr>
          <w:sz w:val="20"/>
          <w:szCs w:val="20"/>
          <w:color w:val="auto"/>
        </w:rPr>
      </w:pPr>
    </w:p>
    <w:p>
      <w:pPr>
        <w:ind w:right="60" w:firstLine="63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Risk Factors</w:t>
      </w:r>
    </w:p>
    <w:p>
      <w:pPr>
        <w:spacing w:after="0" w:line="137"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20"/>
          <w:szCs w:val="20"/>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75" w:lineRule="exact"/>
        <w:rPr>
          <w:sz w:val="20"/>
          <w:szCs w:val="20"/>
          <w:color w:val="auto"/>
        </w:rPr>
      </w:pPr>
    </w:p>
    <w:p>
      <w:pPr>
        <w:ind w:left="980" w:right="20" w:hanging="450"/>
        <w:spacing w:after="0" w:line="260"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83" w:lineRule="exact"/>
        <w:rPr>
          <w:rFonts w:ascii="Times New Roman" w:cs="Times New Roman" w:eastAsia="Times New Roman" w:hAnsi="Times New Roman"/>
          <w:sz w:val="20"/>
          <w:szCs w:val="20"/>
          <w:color w:val="auto"/>
        </w:rPr>
      </w:pPr>
    </w:p>
    <w:p>
      <w:pPr>
        <w:ind w:left="980" w:right="360" w:hanging="450"/>
        <w:spacing w:after="0" w:line="266"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5" w:lineRule="exact"/>
        <w:rPr>
          <w:rFonts w:ascii="Times New Roman" w:cs="Times New Roman" w:eastAsia="Times New Roman" w:hAnsi="Times New Roman"/>
          <w:sz w:val="20"/>
          <w:szCs w:val="20"/>
          <w:color w:val="auto"/>
        </w:rPr>
      </w:pPr>
    </w:p>
    <w:p>
      <w:pPr>
        <w:ind w:left="980" w:hanging="450"/>
        <w:spacing w:after="0" w:line="266"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75" w:lineRule="exact"/>
        <w:rPr>
          <w:rFonts w:ascii="Times New Roman" w:cs="Times New Roman" w:eastAsia="Times New Roman" w:hAnsi="Times New Roman"/>
          <w:sz w:val="20"/>
          <w:szCs w:val="20"/>
          <w:color w:val="auto"/>
        </w:rPr>
      </w:pPr>
    </w:p>
    <w:p>
      <w:pPr>
        <w:ind w:left="980" w:right="540" w:hanging="450"/>
        <w:spacing w:after="0" w:line="281"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 if our product candidates receive regulatory approval, they will be subject to significant post-marketing regulatory requirements.</w:t>
      </w:r>
    </w:p>
    <w:p>
      <w:pPr>
        <w:spacing w:after="0" w:line="61" w:lineRule="exact"/>
        <w:rPr>
          <w:rFonts w:ascii="Times New Roman" w:cs="Times New Roman" w:eastAsia="Times New Roman" w:hAnsi="Times New Roman"/>
          <w:sz w:val="20"/>
          <w:szCs w:val="20"/>
          <w:color w:val="auto"/>
        </w:rPr>
      </w:pPr>
    </w:p>
    <w:p>
      <w:pPr>
        <w:ind w:left="980" w:right="500" w:hanging="450"/>
        <w:spacing w:after="0" w:line="281"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successful in our efforts to expand our pipeline of product candidates and develop marketable products.</w:t>
      </w:r>
    </w:p>
    <w:p>
      <w:pPr>
        <w:spacing w:after="0" w:line="61" w:lineRule="exact"/>
        <w:rPr>
          <w:rFonts w:ascii="Times New Roman" w:cs="Times New Roman" w:eastAsia="Times New Roman" w:hAnsi="Times New Roman"/>
          <w:sz w:val="20"/>
          <w:szCs w:val="20"/>
          <w:color w:val="auto"/>
        </w:rPr>
      </w:pPr>
    </w:p>
    <w:p>
      <w:pPr>
        <w:ind w:left="980" w:right="920" w:hanging="450"/>
        <w:spacing w:after="0" w:line="309" w:lineRule="auto"/>
        <w:tabs>
          <w:tab w:leader="none" w:pos="98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currently in Phase 2 clinical development of rosnilimab, and have no history of commercializing biotechnology products, which may make it difficult to evaluate the prospects for our future viability.</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40"/>
          </w:cols>
          <w:pgMar w:left="1000" w:top="786" w:right="1000" w:bottom="0" w:gutter="0" w:footer="0" w:header="0"/>
          <w:type w:val="continuous"/>
        </w:sectPr>
      </w:pPr>
    </w:p>
    <w:bookmarkStart w:id="22" w:name="page23"/>
    <w:bookmarkEnd w:id="22"/>
    <w:p>
      <w:pPr>
        <w:ind w:left="980" w:right="100" w:hanging="450"/>
        <w:spacing w:after="0" w:line="281"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significant competition, and if our competitors develop and market products that are more effective, safer or less expensive than our product candidates, our commercial opportunities will be negatively impacted.</w:t>
      </w:r>
    </w:p>
    <w:p>
      <w:pPr>
        <w:spacing w:after="0" w:line="61" w:lineRule="exact"/>
        <w:rPr>
          <w:rFonts w:ascii="Times New Roman" w:cs="Times New Roman" w:eastAsia="Times New Roman" w:hAnsi="Times New Roman"/>
          <w:sz w:val="20"/>
          <w:szCs w:val="20"/>
          <w:color w:val="auto"/>
        </w:rPr>
      </w:pPr>
    </w:p>
    <w:p>
      <w:pPr>
        <w:ind w:left="980" w:right="540" w:hanging="450"/>
        <w:spacing w:after="0" w:line="281"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 candidates may not achieve adequate market acceptance among physicians, patients, health care payors and others in the medical community necessary for commercial success.</w:t>
      </w:r>
    </w:p>
    <w:p>
      <w:pPr>
        <w:spacing w:after="0" w:line="61" w:lineRule="exact"/>
        <w:rPr>
          <w:rFonts w:ascii="Times New Roman" w:cs="Times New Roman" w:eastAsia="Times New Roman" w:hAnsi="Times New Roman"/>
          <w:sz w:val="20"/>
          <w:szCs w:val="20"/>
          <w:color w:val="auto"/>
        </w:rPr>
      </w:pPr>
    </w:p>
    <w:p>
      <w:pPr>
        <w:ind w:left="980" w:right="60" w:hanging="450"/>
        <w:spacing w:after="0" w:line="266"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5" w:lineRule="exact"/>
        <w:rPr>
          <w:rFonts w:ascii="Times New Roman" w:cs="Times New Roman" w:eastAsia="Times New Roman" w:hAnsi="Times New Roman"/>
          <w:sz w:val="20"/>
          <w:szCs w:val="20"/>
          <w:color w:val="auto"/>
        </w:rPr>
      </w:pPr>
    </w:p>
    <w:p>
      <w:pPr>
        <w:ind w:left="980" w:right="100" w:hanging="450"/>
        <w:spacing w:after="0" w:line="260"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manufacture of biologics is complex, and our third party manufacturers may encounter difficulties in production. If any of our third 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83" w:lineRule="exact"/>
        <w:rPr>
          <w:rFonts w:ascii="Times New Roman" w:cs="Times New Roman" w:eastAsia="Times New Roman" w:hAnsi="Times New Roman"/>
          <w:sz w:val="20"/>
          <w:szCs w:val="20"/>
          <w:color w:val="auto"/>
        </w:rPr>
      </w:pPr>
    </w:p>
    <w:p>
      <w:pPr>
        <w:ind w:left="980" w:hanging="450"/>
        <w:spacing w:after="0" w:line="266"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spacing w:after="0" w:line="75"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limited operating revenue and a history of operational losses and may not achieve or sustain profitability.</w:t>
      </w:r>
    </w:p>
    <w:p>
      <w:pPr>
        <w:spacing w:after="0" w:line="130" w:lineRule="exact"/>
        <w:rPr>
          <w:rFonts w:ascii="Times New Roman" w:cs="Times New Roman" w:eastAsia="Times New Roman" w:hAnsi="Times New Roman"/>
          <w:sz w:val="20"/>
          <w:szCs w:val="20"/>
          <w:color w:val="auto"/>
        </w:rPr>
      </w:pPr>
    </w:p>
    <w:p>
      <w:pPr>
        <w:ind w:left="980" w:right="120" w:hanging="450"/>
        <w:spacing w:after="0" w:line="281"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no products approved for commercial sale, and to date we have not generated any revenue or profit from sales of our product candidates.</w:t>
      </w:r>
    </w:p>
    <w:p>
      <w:pPr>
        <w:spacing w:after="0" w:line="61" w:lineRule="exact"/>
        <w:rPr>
          <w:rFonts w:ascii="Times New Roman" w:cs="Times New Roman" w:eastAsia="Times New Roman" w:hAnsi="Times New Roman"/>
          <w:sz w:val="20"/>
          <w:szCs w:val="20"/>
          <w:color w:val="auto"/>
        </w:rPr>
      </w:pPr>
    </w:p>
    <w:p>
      <w:pPr>
        <w:ind w:left="980" w:right="100" w:hanging="450"/>
        <w:spacing w:after="0" w:line="266"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75" w:lineRule="exact"/>
        <w:rPr>
          <w:rFonts w:ascii="Times New Roman" w:cs="Times New Roman" w:eastAsia="Times New Roman" w:hAnsi="Times New Roman"/>
          <w:sz w:val="20"/>
          <w:szCs w:val="20"/>
          <w:color w:val="auto"/>
        </w:rPr>
      </w:pPr>
    </w:p>
    <w:p>
      <w:pPr>
        <w:ind w:left="980" w:right="560" w:hanging="450"/>
        <w:spacing w:after="0" w:line="266"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spacing w:after="0" w:line="75" w:lineRule="exact"/>
        <w:rPr>
          <w:rFonts w:ascii="Times New Roman" w:cs="Times New Roman" w:eastAsia="Times New Roman" w:hAnsi="Times New Roman"/>
          <w:sz w:val="20"/>
          <w:szCs w:val="20"/>
          <w:color w:val="auto"/>
        </w:rPr>
      </w:pPr>
    </w:p>
    <w:p>
      <w:pPr>
        <w:ind w:left="980" w:hanging="450"/>
        <w:spacing w:after="0" w:line="281"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succeed in establishing and maintaining additional development and commercialization collaborations, which could adversely affect our ability to develop and commercialize product candidates.</w:t>
      </w:r>
    </w:p>
    <w:p>
      <w:pPr>
        <w:spacing w:after="0" w:line="61" w:lineRule="exact"/>
        <w:rPr>
          <w:rFonts w:ascii="Times New Roman" w:cs="Times New Roman" w:eastAsia="Times New Roman" w:hAnsi="Times New Roman"/>
          <w:sz w:val="20"/>
          <w:szCs w:val="20"/>
          <w:color w:val="auto"/>
        </w:rPr>
      </w:pPr>
    </w:p>
    <w:p>
      <w:pPr>
        <w:ind w:left="980" w:right="180" w:hanging="450"/>
        <w:spacing w:after="0" w:line="281"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obtain or protect intellectual property rights in the U.S. and throughout the world, we may not be able to compete effectively in our market.</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must attract and retain highly skilled employees in order to succeed.</w:t>
      </w:r>
    </w:p>
    <w:p>
      <w:pPr>
        <w:spacing w:after="0" w:line="130" w:lineRule="exact"/>
        <w:rPr>
          <w:rFonts w:ascii="Times New Roman" w:cs="Times New Roman" w:eastAsia="Times New Roman" w:hAnsi="Times New Roman"/>
          <w:sz w:val="20"/>
          <w:szCs w:val="20"/>
          <w:color w:val="auto"/>
        </w:rPr>
      </w:pPr>
    </w:p>
    <w:p>
      <w:pPr>
        <w:ind w:left="980" w:right="500" w:hanging="450"/>
        <w:spacing w:after="0" w:line="281"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our stock has been and may continue to be volatile, and you could lose all or part of your investment.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Discovery and Development of Our Product Candidates</w:t>
      </w:r>
    </w:p>
    <w:p>
      <w:pPr>
        <w:spacing w:after="0" w:line="13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b w:val="1"/>
          <w:bCs w:val="1"/>
          <w:color w:val="auto"/>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83" w:lineRule="exact"/>
        <w:rPr>
          <w:sz w:val="20"/>
          <w:szCs w:val="20"/>
          <w:color w:val="auto"/>
        </w:rPr>
      </w:pPr>
    </w:p>
    <w:p>
      <w:pPr>
        <w:ind w:right="120" w:firstLine="630"/>
        <w:spacing w:after="0" w:line="260" w:lineRule="auto"/>
        <w:rPr>
          <w:sz w:val="20"/>
          <w:szCs w:val="20"/>
          <w:color w:val="auto"/>
        </w:rPr>
      </w:pPr>
      <w:r>
        <w:rPr>
          <w:rFonts w:ascii="Times New Roman" w:cs="Times New Roman" w:eastAsia="Times New Roman" w:hAnsi="Times New Roman"/>
          <w:sz w:val="20"/>
          <w:szCs w:val="20"/>
          <w:color w:val="auto"/>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spacing w:after="0" w:line="83" w:lineRule="exact"/>
        <w:rPr>
          <w:sz w:val="20"/>
          <w:szCs w:val="20"/>
          <w:color w:val="auto"/>
        </w:rPr>
      </w:pPr>
    </w:p>
    <w:p>
      <w:pPr>
        <w:ind w:right="60" w:firstLine="630"/>
        <w:spacing w:after="0" w:line="256" w:lineRule="auto"/>
        <w:rPr>
          <w:sz w:val="20"/>
          <w:szCs w:val="20"/>
          <w:color w:val="auto"/>
        </w:rPr>
      </w:pPr>
      <w:r>
        <w:rPr>
          <w:rFonts w:ascii="Times New Roman" w:cs="Times New Roman" w:eastAsia="Times New Roman" w:hAnsi="Times New Roman"/>
          <w:sz w:val="20"/>
          <w:szCs w:val="20"/>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in February 2025 we reported interim positive results for rosnilimab’s Phase 2b clinical trial in rheumatoid arthritis. However, the results we have received to date may not be predictive of the full, complete clinical trial results.</w:t>
      </w:r>
    </w:p>
    <w:p>
      <w:pPr>
        <w:spacing w:after="0" w:line="88" w:lineRule="exact"/>
        <w:rPr>
          <w:sz w:val="20"/>
          <w:szCs w:val="20"/>
          <w:color w:val="auto"/>
        </w:rPr>
      </w:pPr>
    </w:p>
    <w:p>
      <w:pPr>
        <w:ind w:right="60" w:firstLine="630"/>
        <w:spacing w:after="0" w:line="278" w:lineRule="auto"/>
        <w:rPr>
          <w:sz w:val="20"/>
          <w:szCs w:val="20"/>
          <w:color w:val="auto"/>
        </w:rPr>
      </w:pPr>
      <w:r>
        <w:rPr>
          <w:rFonts w:ascii="Times New Roman" w:cs="Times New Roman" w:eastAsia="Times New Roman" w:hAnsi="Times New Roman"/>
          <w:sz w:val="19"/>
          <w:szCs w:val="19"/>
          <w:color w:val="auto"/>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20"/>
          </w:cols>
          <w:pgMar w:left="1000" w:top="793" w:right="1020" w:bottom="0" w:gutter="0" w:footer="0" w:header="0"/>
          <w:type w:val="continuous"/>
        </w:sectPr>
      </w:pPr>
    </w:p>
    <w:bookmarkStart w:id="23" w:name="page24"/>
    <w:bookmarkEnd w:id="23"/>
    <w:p>
      <w:pPr>
        <w:ind w:right="660"/>
        <w:spacing w:after="0" w:line="281" w:lineRule="auto"/>
        <w:rPr>
          <w:sz w:val="20"/>
          <w:szCs w:val="20"/>
          <w:color w:val="auto"/>
        </w:rPr>
      </w:pPr>
      <w:r>
        <w:rPr>
          <w:rFonts w:ascii="Times New Roman" w:cs="Times New Roman" w:eastAsia="Times New Roman" w:hAnsi="Times New Roman"/>
          <w:sz w:val="20"/>
          <w:szCs w:val="20"/>
          <w:color w:val="auto"/>
        </w:rPr>
        <w:t>to be positive. For example, even though we showed interim positive data for rosnilimab in our Phase 2b clinical trial in rheumatoid arthritis, data from rosnilimab’s ongoing Phase 2 clinical trial in ulcerative colitis may not be positive.</w:t>
      </w:r>
    </w:p>
    <w:p>
      <w:pPr>
        <w:spacing w:after="0" w:line="61" w:lineRule="exact"/>
        <w:rPr>
          <w:sz w:val="20"/>
          <w:szCs w:val="20"/>
          <w:color w:val="auto"/>
        </w:rPr>
      </w:pPr>
    </w:p>
    <w:p>
      <w:pPr>
        <w:ind w:right="580" w:firstLine="680"/>
        <w:spacing w:after="0" w:line="266" w:lineRule="auto"/>
        <w:rPr>
          <w:sz w:val="20"/>
          <w:szCs w:val="20"/>
          <w:color w:val="auto"/>
        </w:rPr>
      </w:pPr>
      <w:r>
        <w:rPr>
          <w:rFonts w:ascii="Times New Roman" w:cs="Times New Roman" w:eastAsia="Times New Roman" w:hAnsi="Times New Roman"/>
          <w:sz w:val="20"/>
          <w:szCs w:val="20"/>
          <w:color w:val="auto"/>
        </w:rPr>
        <w:t>If our other ongoing or future clinical trials of any of our product candidates, including rosnilimab, ANB033 or ANB101, are unsuccessful, whether for one of the reasons mentioned above or otherwise, our product candidates may be delayed in development or fail entirely, which would have a material adverse impact on our business.</w:t>
      </w:r>
    </w:p>
    <w:p>
      <w:pPr>
        <w:spacing w:after="0" w:line="75" w:lineRule="exact"/>
        <w:rPr>
          <w:sz w:val="20"/>
          <w:szCs w:val="20"/>
          <w:color w:val="auto"/>
        </w:rPr>
      </w:pPr>
    </w:p>
    <w:p>
      <w:pPr>
        <w:ind w:right="420" w:firstLine="630"/>
        <w:spacing w:after="0" w:line="281" w:lineRule="auto"/>
        <w:rPr>
          <w:sz w:val="20"/>
          <w:szCs w:val="20"/>
          <w:color w:val="auto"/>
        </w:rPr>
      </w:pPr>
      <w:r>
        <w:rPr>
          <w:rFonts w:ascii="Times New Roman" w:cs="Times New Roman" w:eastAsia="Times New Roman" w:hAnsi="Times New Roman"/>
          <w:sz w:val="20"/>
          <w:szCs w:val="20"/>
          <w:color w:val="auto"/>
        </w:rPr>
        <w:t>The success of our current product candidates, and any other product candidates we may develop in the future, will depend on many factors, including the following:</w:t>
      </w:r>
    </w:p>
    <w:p>
      <w:pPr>
        <w:spacing w:after="0" w:line="61" w:lineRule="exact"/>
        <w:rPr>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regulatory permission to initiate clinical trials;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enrollment of patients in, and the completion of, our planned clinical trials;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receiving marketing approvals from applicable regulatory authorities;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commercial manufacturing capabilities and/or making arrangements with third party manufacturers;</w:t>
      </w:r>
    </w:p>
    <w:p>
      <w:pPr>
        <w:spacing w:after="0" w:line="130" w:lineRule="exact"/>
        <w:rPr>
          <w:rFonts w:ascii="Times New Roman" w:cs="Times New Roman" w:eastAsia="Times New Roman" w:hAnsi="Times New Roman"/>
          <w:sz w:val="20"/>
          <w:szCs w:val="20"/>
          <w:color w:val="auto"/>
        </w:rPr>
      </w:pPr>
    </w:p>
    <w:p>
      <w:pPr>
        <w:ind w:left="980" w:right="140" w:hanging="450"/>
        <w:spacing w:after="0" w:line="281" w:lineRule="auto"/>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patent and trade secret protection and non-patent exclusivity for our product candidates and their components;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enforcing and defending intellectual property rights and claims;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achieving desirable therapeutic properties for our product candidates’ intended indications;</w:t>
      </w:r>
    </w:p>
    <w:p>
      <w:pPr>
        <w:spacing w:after="0" w:line="130" w:lineRule="exact"/>
        <w:rPr>
          <w:rFonts w:ascii="Times New Roman" w:cs="Times New Roman" w:eastAsia="Times New Roman" w:hAnsi="Times New Roman"/>
          <w:sz w:val="20"/>
          <w:szCs w:val="20"/>
          <w:color w:val="auto"/>
        </w:rPr>
      </w:pPr>
    </w:p>
    <w:p>
      <w:pPr>
        <w:ind w:left="980" w:right="360" w:hanging="450"/>
        <w:spacing w:after="0" w:line="281" w:lineRule="auto"/>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commercial sales of our product candidates, if and when approved, whether alone or in collaboration with third parties;</w:t>
      </w:r>
    </w:p>
    <w:p>
      <w:pPr>
        <w:spacing w:after="0" w:line="61" w:lineRule="exact"/>
        <w:rPr>
          <w:rFonts w:ascii="Times New Roman" w:cs="Times New Roman" w:eastAsia="Times New Roman" w:hAnsi="Times New Roman"/>
          <w:sz w:val="20"/>
          <w:szCs w:val="20"/>
          <w:color w:val="auto"/>
        </w:rPr>
      </w:pPr>
    </w:p>
    <w:p>
      <w:pPr>
        <w:ind w:left="980" w:right="280" w:hanging="450"/>
        <w:spacing w:after="0" w:line="281" w:lineRule="auto"/>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our product candidates, if and when approved, by patients, the medical community and third party payors;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competing with other therapies; and</w:t>
      </w:r>
    </w:p>
    <w:p>
      <w:pPr>
        <w:spacing w:after="0" w:line="130" w:lineRule="exact"/>
        <w:rPr>
          <w:rFonts w:ascii="Times New Roman" w:cs="Times New Roman" w:eastAsia="Times New Roman" w:hAnsi="Times New Roman"/>
          <w:sz w:val="20"/>
          <w:szCs w:val="20"/>
          <w:color w:val="auto"/>
        </w:rPr>
      </w:pPr>
    </w:p>
    <w:p>
      <w:pPr>
        <w:ind w:left="980" w:right="180" w:hanging="450"/>
        <w:spacing w:after="0" w:line="281" w:lineRule="auto"/>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 acceptable safety profile of our product candidates through clinical trials and following regulatory approval.</w:t>
      </w:r>
    </w:p>
    <w:p>
      <w:pPr>
        <w:spacing w:after="0" w:line="61" w:lineRule="exact"/>
        <w:rPr>
          <w:sz w:val="20"/>
          <w:szCs w:val="20"/>
          <w:color w:val="auto"/>
        </w:rPr>
      </w:pPr>
    </w:p>
    <w:p>
      <w:pPr>
        <w:ind w:right="80" w:firstLine="630"/>
        <w:spacing w:after="0" w:line="281" w:lineRule="auto"/>
        <w:rPr>
          <w:sz w:val="20"/>
          <w:szCs w:val="20"/>
          <w:color w:val="auto"/>
        </w:rPr>
      </w:pPr>
      <w:r>
        <w:rPr>
          <w:rFonts w:ascii="Times New Roman" w:cs="Times New Roman" w:eastAsia="Times New Roman" w:hAnsi="Times New Roman"/>
          <w:sz w:val="20"/>
          <w:szCs w:val="20"/>
          <w:color w:val="auto"/>
        </w:rPr>
        <w:t>If we do not achieve one or more of these factors in a timely manner or at all, we could experience significant delays or an inability to successfully commercialize our product candidates, which would harm our business.</w:t>
      </w:r>
    </w:p>
    <w:p>
      <w:pPr>
        <w:spacing w:after="0" w:line="61" w:lineRule="exact"/>
        <w:rPr>
          <w:sz w:val="20"/>
          <w:szCs w:val="20"/>
          <w:color w:val="auto"/>
        </w:rPr>
      </w:pPr>
    </w:p>
    <w:p>
      <w:pPr>
        <w:ind w:firstLine="630"/>
        <w:spacing w:after="0" w:line="270" w:lineRule="auto"/>
        <w:rPr>
          <w:sz w:val="20"/>
          <w:szCs w:val="20"/>
          <w:color w:val="auto"/>
        </w:rPr>
      </w:pPr>
      <w:r>
        <w:rPr>
          <w:rFonts w:ascii="Times New Roman" w:cs="Times New Roman" w:eastAsia="Times New Roman" w:hAnsi="Times New Roman"/>
          <w:sz w:val="19"/>
          <w:szCs w:val="19"/>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spacing w:after="0" w:line="18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20"/>
          <w:szCs w:val="20"/>
          <w:b w:val="1"/>
          <w:bCs w:val="1"/>
          <w:color w:val="auto"/>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7"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88" w:lineRule="exact"/>
        <w:rPr>
          <w:sz w:val="20"/>
          <w:szCs w:val="20"/>
          <w:color w:val="auto"/>
        </w:rPr>
      </w:pPr>
    </w:p>
    <w:p>
      <w:pPr>
        <w:ind w:right="180" w:firstLine="630"/>
        <w:spacing w:after="0" w:line="254" w:lineRule="auto"/>
        <w:rPr>
          <w:sz w:val="20"/>
          <w:szCs w:val="20"/>
          <w:color w:val="auto"/>
        </w:rPr>
      </w:pPr>
      <w:r>
        <w:rPr>
          <w:rFonts w:ascii="Times New Roman" w:cs="Times New Roman" w:eastAsia="Times New Roman" w:hAnsi="Times New Roman"/>
          <w:sz w:val="20"/>
          <w:szCs w:val="20"/>
          <w:color w:val="auto"/>
        </w:rPr>
        <w:t>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40"/>
          </w:cols>
          <w:pgMar w:left="1000" w:top="793" w:right="1000" w:bottom="0" w:gutter="0" w:footer="0" w:header="0"/>
          <w:type w:val="continuous"/>
        </w:sectPr>
      </w:pPr>
    </w:p>
    <w:bookmarkStart w:id="24" w:name="page25"/>
    <w:bookmarkEnd w:id="24"/>
    <w:p>
      <w:pPr>
        <w:ind w:right="180" w:firstLine="630"/>
        <w:spacing w:after="0" w:line="253" w:lineRule="auto"/>
        <w:rPr>
          <w:sz w:val="20"/>
          <w:szCs w:val="20"/>
          <w:color w:val="auto"/>
        </w:rPr>
      </w:pPr>
      <w:r>
        <w:rPr>
          <w:rFonts w:ascii="Times New Roman" w:cs="Times New Roman" w:eastAsia="Times New Roman" w:hAnsi="Times New Roman"/>
          <w:sz w:val="20"/>
          <w:szCs w:val="20"/>
          <w:color w:val="auto"/>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spacing w:after="0" w:line="88"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96" w:lineRule="exact"/>
        <w:rPr>
          <w:sz w:val="20"/>
          <w:szCs w:val="20"/>
          <w:color w:val="auto"/>
        </w:rPr>
      </w:pPr>
    </w:p>
    <w:p>
      <w:pPr>
        <w:jc w:val="both"/>
        <w:ind w:right="80" w:firstLine="630"/>
        <w:spacing w:after="0" w:line="258" w:lineRule="auto"/>
        <w:rPr>
          <w:sz w:val="20"/>
          <w:szCs w:val="20"/>
          <w:color w:val="auto"/>
        </w:rPr>
      </w:pPr>
      <w:r>
        <w:rPr>
          <w:rFonts w:ascii="Times New Roman" w:cs="Times New Roman" w:eastAsia="Times New Roman" w:hAnsi="Times New Roman"/>
          <w:sz w:val="20"/>
          <w:szCs w:val="20"/>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spacing w:after="0" w:line="19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77" w:lineRule="exact"/>
        <w:rPr>
          <w:sz w:val="20"/>
          <w:szCs w:val="20"/>
          <w:color w:val="auto"/>
        </w:rPr>
      </w:pPr>
    </w:p>
    <w:p>
      <w:pPr>
        <w:ind w:right="120" w:firstLine="630"/>
        <w:spacing w:after="0" w:line="253" w:lineRule="auto"/>
        <w:rPr>
          <w:sz w:val="20"/>
          <w:szCs w:val="20"/>
          <w:color w:val="auto"/>
        </w:rPr>
      </w:pPr>
      <w:r>
        <w:rPr>
          <w:rFonts w:ascii="Times New Roman" w:cs="Times New Roman" w:eastAsia="Times New Roman" w:hAnsi="Times New Roman"/>
          <w:sz w:val="20"/>
          <w:szCs w:val="20"/>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88"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40"/>
          </w:cols>
          <w:pgMar w:left="1000" w:top="793" w:right="1000" w:bottom="0" w:gutter="0" w:footer="0" w:header="0"/>
          <w:type w:val="continuous"/>
        </w:sectPr>
      </w:pPr>
    </w:p>
    <w:bookmarkStart w:id="25" w:name="page26"/>
    <w:bookmarkEnd w:id="25"/>
    <w:p>
      <w:pPr>
        <w:ind w:firstLine="630"/>
        <w:spacing w:after="0" w:line="260" w:lineRule="auto"/>
        <w:rPr>
          <w:sz w:val="20"/>
          <w:szCs w:val="20"/>
          <w:color w:val="auto"/>
        </w:rPr>
      </w:pPr>
      <w:r>
        <w:rPr>
          <w:rFonts w:ascii="Times New Roman" w:cs="Times New Roman" w:eastAsia="Times New Roman" w:hAnsi="Times New Roman"/>
          <w:sz w:val="20"/>
          <w:szCs w:val="20"/>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83" w:lineRule="exact"/>
        <w:rPr>
          <w:sz w:val="20"/>
          <w:szCs w:val="20"/>
          <w:color w:val="auto"/>
        </w:rPr>
      </w:pPr>
    </w:p>
    <w:p>
      <w:pPr>
        <w:ind w:left="980" w:right="180" w:hanging="450"/>
        <w:spacing w:after="0" w:line="281" w:lineRule="auto"/>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a clinical hold for safety reasons or following an inspection of clinical trial operations or site by the FDA or other regulatory authorities;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challenges;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supply or quality of product candidates or other materials necessary to conduct clinical trials;</w:t>
      </w:r>
    </w:p>
    <w:p>
      <w:pPr>
        <w:spacing w:after="0" w:line="130" w:lineRule="exact"/>
        <w:rPr>
          <w:rFonts w:ascii="Times New Roman" w:cs="Times New Roman" w:eastAsia="Times New Roman" w:hAnsi="Times New Roman"/>
          <w:sz w:val="20"/>
          <w:szCs w:val="20"/>
          <w:color w:val="auto"/>
        </w:rPr>
      </w:pPr>
    </w:p>
    <w:p>
      <w:pPr>
        <w:ind w:left="980" w:right="80" w:hanging="450"/>
        <w:spacing w:after="0" w:line="266" w:lineRule="auto"/>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75"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non-clinical or clinical sites becoming unavailable due to political, economic, or public health events;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sites electing to terminate their participation in one of our clinical trials;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or unwillingness of patients or medical investigators to follow clinical trial protocols;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clinical trial administrative actions;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slower than anticipated patient enrollment;</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standards of care;</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safety concerns;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or prevalence of use of a comparative drug or required prior therapy; or</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outcomes or financial constraints.</w:t>
      </w:r>
    </w:p>
    <w:p>
      <w:pPr>
        <w:spacing w:after="0" w:line="130" w:lineRule="exact"/>
        <w:rPr>
          <w:sz w:val="20"/>
          <w:szCs w:val="20"/>
          <w:color w:val="auto"/>
        </w:rPr>
      </w:pPr>
    </w:p>
    <w:p>
      <w:pPr>
        <w:ind w:right="40" w:firstLine="630"/>
        <w:spacing w:after="0" w:line="254" w:lineRule="auto"/>
        <w:rPr>
          <w:sz w:val="20"/>
          <w:szCs w:val="20"/>
          <w:color w:val="auto"/>
        </w:rPr>
      </w:pPr>
      <w:r>
        <w:rPr>
          <w:rFonts w:ascii="Times New Roman" w:cs="Times New Roman" w:eastAsia="Times New Roman" w:hAnsi="Times New Roman"/>
          <w:sz w:val="20"/>
          <w:szCs w:val="20"/>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89" w:lineRule="exact"/>
        <w:rPr>
          <w:sz w:val="20"/>
          <w:szCs w:val="20"/>
          <w:color w:val="auto"/>
        </w:rPr>
      </w:pPr>
    </w:p>
    <w:p>
      <w:pPr>
        <w:ind w:right="520" w:firstLine="495"/>
        <w:spacing w:after="0" w:line="281" w:lineRule="auto"/>
        <w:rPr>
          <w:sz w:val="20"/>
          <w:szCs w:val="20"/>
          <w:color w:val="auto"/>
        </w:rPr>
      </w:pPr>
      <w:r>
        <w:rPr>
          <w:rFonts w:ascii="Times New Roman" w:cs="Times New Roman" w:eastAsia="Times New Roman" w:hAnsi="Times New Roman"/>
          <w:sz w:val="20"/>
          <w:szCs w:val="20"/>
          <w:color w:val="auto"/>
        </w:rPr>
        <w:t>If we or our collaborators experience any of the issues described above, or other similar or related issues, we or our collaborators may:</w:t>
      </w:r>
    </w:p>
    <w:p>
      <w:pPr>
        <w:spacing w:after="0" w:line="61" w:lineRule="exact"/>
        <w:rPr>
          <w:sz w:val="20"/>
          <w:szCs w:val="20"/>
          <w:color w:val="auto"/>
        </w:rPr>
      </w:pPr>
    </w:p>
    <w:p>
      <w:pPr>
        <w:ind w:left="980" w:hanging="450"/>
        <w:spacing w:after="0"/>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delayed in obtaining marketing approval for our product candidates;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obtain marketing approval at all;</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marketing approval in some countries and not in others;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for indications or patient populations that are not as broad as intended or desired;</w:t>
      </w:r>
    </w:p>
    <w:p>
      <w:pPr>
        <w:spacing w:after="0" w:line="130" w:lineRule="exact"/>
        <w:rPr>
          <w:rFonts w:ascii="Times New Roman" w:cs="Times New Roman" w:eastAsia="Times New Roman" w:hAnsi="Times New Roman"/>
          <w:sz w:val="20"/>
          <w:szCs w:val="20"/>
          <w:color w:val="auto"/>
        </w:rPr>
      </w:pPr>
    </w:p>
    <w:p>
      <w:pPr>
        <w:ind w:left="980" w:right="120" w:hanging="450"/>
        <w:spacing w:after="0" w:line="281" w:lineRule="auto"/>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with labeling that includes significant use or distribution restrictions or safety warnings, including boxed warnings;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additional post-marketing testing requirements; or</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 product removed from the market after obtaining marketing approval.</w:t>
      </w:r>
    </w:p>
    <w:p>
      <w:pPr>
        <w:spacing w:after="0" w:line="130" w:lineRule="exact"/>
        <w:rPr>
          <w:sz w:val="20"/>
          <w:szCs w:val="20"/>
          <w:color w:val="auto"/>
        </w:rPr>
      </w:pPr>
    </w:p>
    <w:p>
      <w:pPr>
        <w:ind w:right="120" w:firstLine="630"/>
        <w:spacing w:after="0" w:line="255" w:lineRule="auto"/>
        <w:rPr>
          <w:sz w:val="20"/>
          <w:szCs w:val="20"/>
          <w:color w:val="auto"/>
        </w:rPr>
      </w:pPr>
      <w:r>
        <w:rPr>
          <w:rFonts w:ascii="Times New Roman" w:cs="Times New Roman" w:eastAsia="Times New Roman" w:hAnsi="Times New Roman"/>
          <w:sz w:val="20"/>
          <w:szCs w:val="20"/>
          <w:color w:val="auto"/>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20"/>
          </w:cols>
          <w:pgMar w:left="1000" w:top="793" w:right="1020" w:bottom="0" w:gutter="0" w:footer="0" w:header="0"/>
          <w:type w:val="continuous"/>
        </w:sectPr>
      </w:pPr>
    </w:p>
    <w:bookmarkStart w:id="26" w:name="page27"/>
    <w:bookmarkEnd w:id="26"/>
    <w:p>
      <w:pPr>
        <w:spacing w:after="0" w:line="286" w:lineRule="auto"/>
        <w:rPr>
          <w:sz w:val="20"/>
          <w:szCs w:val="20"/>
          <w:color w:val="auto"/>
        </w:rPr>
      </w:pPr>
      <w:r>
        <w:rPr>
          <w:rFonts w:ascii="Times New Roman" w:cs="Times New Roman" w:eastAsia="Times New Roman" w:hAnsi="Times New Roman"/>
          <w:sz w:val="20"/>
          <w:szCs w:val="20"/>
          <w:b w:val="1"/>
          <w:bCs w:val="1"/>
          <w:color w:val="auto"/>
        </w:rPr>
        <w:t>Even if our product candidates receive regulatory approval, they will be subject to significant post-marketing regulatory requirements.</w:t>
      </w:r>
    </w:p>
    <w:p>
      <w:pPr>
        <w:spacing w:after="0" w:line="59" w:lineRule="exact"/>
        <w:rPr>
          <w:sz w:val="20"/>
          <w:szCs w:val="20"/>
          <w:color w:val="auto"/>
        </w:rPr>
      </w:pPr>
    </w:p>
    <w:p>
      <w:pPr>
        <w:ind w:right="20" w:firstLine="630"/>
        <w:spacing w:after="0" w:line="252" w:lineRule="auto"/>
        <w:rPr>
          <w:sz w:val="20"/>
          <w:szCs w:val="20"/>
          <w:color w:val="auto"/>
        </w:rPr>
      </w:pPr>
      <w:r>
        <w:rPr>
          <w:rFonts w:ascii="Times New Roman" w:cs="Times New Roman" w:eastAsia="Times New Roman" w:hAnsi="Times New Roman"/>
          <w:sz w:val="20"/>
          <w:szCs w:val="20"/>
          <w:color w:val="auto"/>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spacing w:after="0" w:line="93"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our ability to conduct clinical trials, including full or partial clinical holds on ongoing or planned trials;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products, manufacturers or manufacturing process;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warning or untitled letters;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and criminal penalties;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or withdrawal of regulatory approvals;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seizures, detentions or import bans;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voluntary or mandatory product recalls and publicity requirements;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or partial suspension of production;</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restrictions on operations, including costly new manufacturing requirements;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approve pending BLAs or supplements to approved BLAs.</w:t>
      </w:r>
    </w:p>
    <w:p>
      <w:pPr>
        <w:spacing w:after="0" w:line="250" w:lineRule="exact"/>
        <w:rPr>
          <w:sz w:val="20"/>
          <w:szCs w:val="20"/>
          <w:color w:val="auto"/>
        </w:rPr>
      </w:pPr>
    </w:p>
    <w:p>
      <w:pPr>
        <w:ind w:right="480" w:firstLine="630"/>
        <w:spacing w:after="0" w:line="281" w:lineRule="auto"/>
        <w:rPr>
          <w:sz w:val="20"/>
          <w:szCs w:val="20"/>
          <w:color w:val="auto"/>
        </w:rPr>
      </w:pPr>
      <w:r>
        <w:rPr>
          <w:rFonts w:ascii="Times New Roman" w:cs="Times New Roman" w:eastAsia="Times New Roman" w:hAnsi="Times New Roman"/>
          <w:sz w:val="20"/>
          <w:szCs w:val="20"/>
          <w:color w:val="auto"/>
        </w:rPr>
        <w:t>The occurrence of any event or penalty described above may inhibit our ability, alone or with our collaborators, to commercialize our product candidates and generate revenue.</w:t>
      </w:r>
    </w:p>
    <w:p>
      <w:pPr>
        <w:spacing w:after="0" w:line="61" w:lineRule="exact"/>
        <w:rPr>
          <w:sz w:val="20"/>
          <w:szCs w:val="20"/>
          <w:color w:val="auto"/>
        </w:rPr>
      </w:pPr>
    </w:p>
    <w:p>
      <w:pPr>
        <w:ind w:right="220" w:firstLine="630"/>
        <w:spacing w:after="0" w:line="256" w:lineRule="auto"/>
        <w:rPr>
          <w:sz w:val="20"/>
          <w:szCs w:val="20"/>
          <w:color w:val="auto"/>
        </w:rPr>
      </w:pPr>
      <w:r>
        <w:rPr>
          <w:rFonts w:ascii="Times New Roman" w:cs="Times New Roman" w:eastAsia="Times New Roman" w:hAnsi="Times New Roman"/>
          <w:sz w:val="20"/>
          <w:szCs w:val="20"/>
          <w:color w:val="auto"/>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88" w:lineRule="exact"/>
        <w:rPr>
          <w:sz w:val="20"/>
          <w:szCs w:val="20"/>
          <w:color w:val="auto"/>
        </w:rPr>
      </w:pPr>
    </w:p>
    <w:p>
      <w:pPr>
        <w:ind w:firstLine="630"/>
        <w:spacing w:after="0" w:line="267" w:lineRule="auto"/>
        <w:rPr>
          <w:sz w:val="20"/>
          <w:szCs w:val="20"/>
          <w:color w:val="auto"/>
        </w:rPr>
      </w:pPr>
      <w:r>
        <w:rPr>
          <w:rFonts w:ascii="Times New Roman" w:cs="Times New Roman" w:eastAsia="Times New Roman" w:hAnsi="Times New Roman"/>
          <w:sz w:val="19"/>
          <w:szCs w:val="19"/>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w:t>
      </w:r>
    </w:p>
    <w:p>
      <w:pPr>
        <w:sectPr>
          <w:pgSz w:w="12240" w:h="15840" w:orient="portrait"/>
          <w:cols w:equalWidth="0" w:num="1">
            <w:col w:w="10240"/>
          </w:cols>
          <w:pgMar w:left="1000" w:top="786" w:right="1000" w:bottom="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40"/>
          </w:cols>
          <w:pgMar w:left="1000" w:top="786" w:right="1000" w:bottom="0" w:gutter="0" w:footer="0" w:header="0"/>
          <w:type w:val="continuous"/>
        </w:sectPr>
      </w:pPr>
    </w:p>
    <w:bookmarkStart w:id="27" w:name="page28"/>
    <w:bookmarkEnd w:id="27"/>
    <w:p>
      <w:pPr>
        <w:jc w:val="both"/>
        <w:ind w:right="80"/>
        <w:spacing w:after="0" w:line="260" w:lineRule="auto"/>
        <w:rPr>
          <w:sz w:val="20"/>
          <w:szCs w:val="20"/>
          <w:color w:val="auto"/>
        </w:rPr>
      </w:pPr>
      <w:r>
        <w:rPr>
          <w:rFonts w:ascii="Times New Roman" w:cs="Times New Roman" w:eastAsia="Times New Roman" w:hAnsi="Times New Roman"/>
          <w:sz w:val="20"/>
          <w:szCs w:val="20"/>
          <w:color w:val="auto"/>
        </w:rPr>
        <w:t>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not be successful in our efforts to expand our pipeline of product candidates and develop marketable products.</w:t>
      </w:r>
    </w:p>
    <w:p>
      <w:pPr>
        <w:spacing w:after="0" w:line="137" w:lineRule="exact"/>
        <w:rPr>
          <w:sz w:val="20"/>
          <w:szCs w:val="20"/>
          <w:color w:val="auto"/>
        </w:rPr>
      </w:pPr>
    </w:p>
    <w:p>
      <w:pPr>
        <w:ind w:right="80" w:firstLine="630"/>
        <w:spacing w:after="0" w:line="253"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spacing w:after="0" w:line="93"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20"/>
          <w:szCs w:val="20"/>
          <w:b w:val="1"/>
          <w:bCs w:val="1"/>
          <w:color w:val="auto"/>
        </w:rPr>
        <w:t>We are currently in Phase 2 clinical development of rosnilimab, and have no history of commercializing biotechnology products, which may make it difficult to evaluate the prospects for our future viability.</w:t>
      </w:r>
    </w:p>
    <w:p>
      <w:pPr>
        <w:spacing w:after="0" w:line="59"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Our operations to date have been largely limited to financing and staffing our company, developing our technology, and developing our wholly 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 party clinical investigators, CROs, consultants or collaborators. Relying on third party clinical investigators, third party manufacturing, CROs or collaborators may result in delays that are outside of our control.</w:t>
      </w:r>
    </w:p>
    <w:p>
      <w:pPr>
        <w:spacing w:after="0" w:line="96" w:lineRule="exact"/>
        <w:rPr>
          <w:sz w:val="20"/>
          <w:szCs w:val="20"/>
          <w:color w:val="auto"/>
        </w:rPr>
      </w:pPr>
    </w:p>
    <w:p>
      <w:pPr>
        <w:jc w:val="both"/>
        <w:ind w:right="40" w:firstLine="630"/>
        <w:spacing w:after="0" w:line="266" w:lineRule="auto"/>
        <w:rPr>
          <w:sz w:val="20"/>
          <w:szCs w:val="20"/>
          <w:color w:val="auto"/>
        </w:rPr>
      </w:pPr>
      <w:r>
        <w:rPr>
          <w:rFonts w:ascii="Times New Roman" w:cs="Times New Roman" w:eastAsia="Times New Roman" w:hAnsi="Times New Roman"/>
          <w:sz w:val="20"/>
          <w:szCs w:val="20"/>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5" w:lineRule="exact"/>
        <w:rPr>
          <w:sz w:val="20"/>
          <w:szCs w:val="20"/>
          <w:color w:val="auto"/>
        </w:rPr>
      </w:pPr>
    </w:p>
    <w:p>
      <w:pPr>
        <w:jc w:val="both"/>
        <w:ind w:left="980" w:right="100" w:hanging="450"/>
        <w:spacing w:after="0" w:line="262" w:lineRule="auto"/>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74"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suspension or termination of a clinical trial once commenced;</w:t>
      </w:r>
    </w:p>
    <w:p>
      <w:pPr>
        <w:spacing w:after="0" w:line="126" w:lineRule="exact"/>
        <w:rPr>
          <w:rFonts w:ascii="Times New Roman" w:cs="Times New Roman" w:eastAsia="Times New Roman" w:hAnsi="Times New Roman"/>
          <w:sz w:val="20"/>
          <w:szCs w:val="20"/>
          <w:color w:val="auto"/>
        </w:rPr>
      </w:pPr>
    </w:p>
    <w:p>
      <w:pPr>
        <w:ind w:left="980" w:right="460" w:hanging="450"/>
        <w:spacing w:after="0" w:line="281" w:lineRule="auto"/>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imposed by the FDA or foreign regulatory authorities regarding the number, scope or design of our clinical trials;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enrolling research subjects in clinical trials;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drop-out rates of research subjects;</w:t>
      </w:r>
    </w:p>
    <w:p>
      <w:pPr>
        <w:spacing w:after="0" w:line="130" w:lineRule="exact"/>
        <w:rPr>
          <w:rFonts w:ascii="Times New Roman" w:cs="Times New Roman" w:eastAsia="Times New Roman" w:hAnsi="Times New Roman"/>
          <w:sz w:val="20"/>
          <w:szCs w:val="20"/>
          <w:color w:val="auto"/>
        </w:rPr>
      </w:pPr>
    </w:p>
    <w:p>
      <w:pPr>
        <w:ind w:left="980" w:right="340" w:hanging="450"/>
        <w:spacing w:after="0" w:line="281" w:lineRule="auto"/>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inadequate supply or quality of clinical trial materials or other supplies necessary for the conduct of our clinical trials;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than anticipated clinical trial costs;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40"/>
          </w:cols>
          <w:pgMar w:left="1000" w:top="793" w:right="1000" w:bottom="0" w:gutter="0" w:footer="0" w:header="0"/>
          <w:type w:val="continuous"/>
        </w:sectPr>
      </w:pPr>
    </w:p>
    <w:bookmarkStart w:id="28" w:name="page29"/>
    <w:bookmarkEnd w:id="28"/>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poor effectiveness of our product candidates during clinical trials;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FDA or other regulatory agency inspection and review of a clinical trial site;</w:t>
      </w:r>
    </w:p>
    <w:p>
      <w:pPr>
        <w:spacing w:after="0" w:line="130" w:lineRule="exact"/>
        <w:rPr>
          <w:rFonts w:ascii="Times New Roman" w:cs="Times New Roman" w:eastAsia="Times New Roman" w:hAnsi="Times New Roman"/>
          <w:sz w:val="20"/>
          <w:szCs w:val="20"/>
          <w:color w:val="auto"/>
        </w:rPr>
      </w:pPr>
    </w:p>
    <w:p>
      <w:pPr>
        <w:ind w:left="980" w:right="380" w:hanging="450"/>
        <w:spacing w:after="0" w:line="281" w:lineRule="auto"/>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our third party contractors or investigators to comply with regulatory requirements or otherwise meet their contractual obligations in a timely manner, or at all;</w:t>
      </w:r>
    </w:p>
    <w:p>
      <w:pPr>
        <w:spacing w:after="0" w:line="61" w:lineRule="exact"/>
        <w:rPr>
          <w:rFonts w:ascii="Times New Roman" w:cs="Times New Roman" w:eastAsia="Times New Roman" w:hAnsi="Times New Roman"/>
          <w:sz w:val="20"/>
          <w:szCs w:val="20"/>
          <w:color w:val="auto"/>
        </w:rPr>
      </w:pPr>
    </w:p>
    <w:p>
      <w:pPr>
        <w:ind w:left="980" w:right="420" w:hanging="450"/>
        <w:spacing w:after="0" w:line="281" w:lineRule="auto"/>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serious and unexpected, or otherwise unacceptable, drug-related side effects experienced by participants in our planned clinical trials or by individuals using drugs similar to our product candidates;</w:t>
      </w:r>
    </w:p>
    <w:p>
      <w:pPr>
        <w:spacing w:after="0" w:line="61" w:lineRule="exact"/>
        <w:rPr>
          <w:rFonts w:ascii="Times New Roman" w:cs="Times New Roman" w:eastAsia="Times New Roman" w:hAnsi="Times New Roman"/>
          <w:sz w:val="20"/>
          <w:szCs w:val="20"/>
          <w:color w:val="auto"/>
        </w:rPr>
      </w:pPr>
    </w:p>
    <w:p>
      <w:pPr>
        <w:ind w:left="980" w:right="620" w:hanging="450"/>
        <w:spacing w:after="0" w:line="309" w:lineRule="auto"/>
        <w:tabs>
          <w:tab w:leader="none" w:pos="98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and changes in regulatory requirements, policy and guidelines, including the imposition of additional regulatory oversight around clinical testing generally or with respect to our technology in particular; or</w:t>
      </w:r>
    </w:p>
    <w:p>
      <w:pPr>
        <w:spacing w:after="0" w:line="37" w:lineRule="exact"/>
        <w:rPr>
          <w:rFonts w:ascii="Times New Roman" w:cs="Times New Roman" w:eastAsia="Times New Roman" w:hAnsi="Times New Roman"/>
          <w:sz w:val="19"/>
          <w:szCs w:val="19"/>
          <w:color w:val="auto"/>
        </w:rPr>
      </w:pPr>
    </w:p>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varying interpretations of data by the FDA and foreign regulatory authorities.</w:t>
      </w:r>
    </w:p>
    <w:p>
      <w:pPr>
        <w:spacing w:after="0" w:line="130" w:lineRule="exact"/>
        <w:rPr>
          <w:sz w:val="20"/>
          <w:szCs w:val="20"/>
          <w:color w:val="auto"/>
        </w:rPr>
      </w:pPr>
    </w:p>
    <w:p>
      <w:pPr>
        <w:ind w:right="20" w:firstLine="630"/>
        <w:spacing w:after="0" w:line="281" w:lineRule="auto"/>
        <w:rPr>
          <w:sz w:val="20"/>
          <w:szCs w:val="20"/>
          <w:color w:val="auto"/>
        </w:rPr>
      </w:pPr>
      <w:r>
        <w:rPr>
          <w:rFonts w:ascii="Times New Roman" w:cs="Times New Roman" w:eastAsia="Times New Roman" w:hAnsi="Times New Roman"/>
          <w:sz w:val="20"/>
          <w:szCs w:val="20"/>
          <w:color w:val="auto"/>
        </w:rPr>
        <w:t>Consequently, any predictions you make about our future success or viability based on our operating history may not be as accurate as they could be if we had an established track record in conducting clinical trials or commercializing products.</w:t>
      </w:r>
    </w:p>
    <w:p>
      <w:pPr>
        <w:spacing w:after="0" w:line="61" w:lineRule="exact"/>
        <w:rPr>
          <w:sz w:val="20"/>
          <w:szCs w:val="20"/>
          <w:color w:val="auto"/>
        </w:rPr>
      </w:pPr>
    </w:p>
    <w:p>
      <w:pPr>
        <w:ind w:right="240" w:firstLine="630"/>
        <w:spacing w:after="0" w:line="266" w:lineRule="auto"/>
        <w:rPr>
          <w:sz w:val="20"/>
          <w:szCs w:val="20"/>
          <w:color w:val="auto"/>
        </w:rPr>
      </w:pPr>
      <w:r>
        <w:rPr>
          <w:rFonts w:ascii="Times New Roman" w:cs="Times New Roman" w:eastAsia="Times New Roman" w:hAnsi="Times New Roman"/>
          <w:sz w:val="20"/>
          <w:szCs w:val="20"/>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20"/>
          <w:szCs w:val="20"/>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9"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99"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For our PD-1 agonist antibody program, our competitors include other PD-1 agonist antibodies GS-0151 (Gilead) in Phase 1b development for the treatment of rheumatoid arthritis, and a PD-1 agonist antibody (Boehringer Ingelheim)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Omvoh; Eli Lilly, Tremfya; Johnson and Johnson, and Skyrizi; AbbVie) and S1P inhibitors (Zeposia; Bristol Myers Squibb and Velsipity; Pfizer) and janus kinase inhibitors (Rinvoq; AbbVie, and Xeljanz; Pfizer) as well as monoclonal antibodies targeting anti-TL1A (PRA023; Merck, RVT-3101; Roche and duvakitug; Teva/Sanofi) in Phase 2 and 3 development.</w:t>
      </w:r>
    </w:p>
    <w:p>
      <w:pPr>
        <w:spacing w:after="0" w:line="96" w:lineRule="exact"/>
        <w:rPr>
          <w:sz w:val="20"/>
          <w:szCs w:val="20"/>
          <w:color w:val="auto"/>
        </w:rPr>
      </w:pPr>
    </w:p>
    <w:p>
      <w:pPr>
        <w:ind w:right="120" w:firstLine="630"/>
        <w:spacing w:after="0" w:line="256" w:lineRule="auto"/>
        <w:rPr>
          <w:sz w:val="20"/>
          <w:szCs w:val="20"/>
          <w:color w:val="auto"/>
        </w:rPr>
      </w:pPr>
      <w:r>
        <w:rPr>
          <w:rFonts w:ascii="Times New Roman" w:cs="Times New Roman" w:eastAsia="Times New Roman" w:hAnsi="Times New Roman"/>
          <w:sz w:val="20"/>
          <w:szCs w:val="20"/>
          <w:color w:val="auto"/>
        </w:rPr>
        <w:t>For our anti-CD122 antagonist antibody program, our clinical competitors include other anti-CD122 antagonist antibodies, auremolimab (Incyte), in Phase 1 development for the treatment of vitiligo and FB-102 (Forte Bioscience) in Phase 1b development for the treatment of celiac disease, and three anti-IL-15 monoclonal antibodies, AMG 714 (Amgen), currently in Phase 2 development for the treatment of celiac disease, CALY-002 (Novartis), currently in Phase 1b development for the treatment of celiac disease and eosinophilic esophagitis, and TEV-‘408 (Teva), currently in Phase 1b development for the treatment of celiac disease and vitiligo.</w:t>
      </w:r>
    </w:p>
    <w:p>
      <w:pPr>
        <w:spacing w:after="0" w:line="88" w:lineRule="exact"/>
        <w:rPr>
          <w:sz w:val="20"/>
          <w:szCs w:val="20"/>
          <w:color w:val="auto"/>
        </w:rPr>
      </w:pPr>
    </w:p>
    <w:p>
      <w:pPr>
        <w:jc w:val="both"/>
        <w:ind w:right="180" w:firstLine="630"/>
        <w:spacing w:after="0" w:line="266" w:lineRule="auto"/>
        <w:rPr>
          <w:sz w:val="20"/>
          <w:szCs w:val="20"/>
          <w:color w:val="auto"/>
        </w:rPr>
      </w:pPr>
      <w:r>
        <w:rPr>
          <w:rFonts w:ascii="Times New Roman" w:cs="Times New Roman" w:eastAsia="Times New Roman" w:hAnsi="Times New Roman"/>
          <w:sz w:val="20"/>
          <w:szCs w:val="20"/>
          <w:color w:val="auto"/>
        </w:rPr>
        <w:t>For our anti-BDCA2 program, our competitors include another anti-BDCA2 antibody, litifilimab (Biogen) in Phase 3 development for SLE and CLE, and an anti-ILT7 antibody, daxdilimab (Amgen) in Phase 2 development for dermatomyositis or anti-synthetase inflammatory myositis, and discoid lupus erythematosus.</w:t>
      </w:r>
    </w:p>
    <w:p>
      <w:pPr>
        <w:spacing w:after="0" w:line="75" w:lineRule="exact"/>
        <w:rPr>
          <w:sz w:val="20"/>
          <w:szCs w:val="20"/>
          <w:color w:val="auto"/>
        </w:rPr>
      </w:pPr>
    </w:p>
    <w:p>
      <w:pPr>
        <w:jc w:val="both"/>
        <w:ind w:firstLine="630"/>
        <w:spacing w:after="0" w:line="286" w:lineRule="auto"/>
        <w:rPr>
          <w:sz w:val="20"/>
          <w:szCs w:val="20"/>
          <w:color w:val="auto"/>
        </w:rPr>
      </w:pPr>
      <w:r>
        <w:rPr>
          <w:rFonts w:ascii="Times New Roman" w:cs="Times New Roman" w:eastAsia="Times New Roman" w:hAnsi="Times New Roman"/>
          <w:sz w:val="19"/>
          <w:szCs w:val="19"/>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w:t>
      </w:r>
    </w:p>
    <w:p>
      <w:pPr>
        <w:sectPr>
          <w:pgSz w:w="12240" w:h="15840" w:orient="portrait"/>
          <w:cols w:equalWidth="0" w:num="1">
            <w:col w:w="10240"/>
          </w:cols>
          <w:pgMar w:left="1000" w:top="793" w:right="100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40"/>
          </w:cols>
          <w:pgMar w:left="1000" w:top="793" w:right="1000" w:bottom="0" w:gutter="0" w:footer="0" w:header="0"/>
          <w:type w:val="continuous"/>
        </w:sectPr>
      </w:pPr>
    </w:p>
    <w:bookmarkStart w:id="29" w:name="page30"/>
    <w:bookmarkEnd w:id="29"/>
    <w:p>
      <w:pPr>
        <w:ind w:right="20"/>
        <w:spacing w:after="0" w:line="278" w:lineRule="auto"/>
        <w:rPr>
          <w:sz w:val="20"/>
          <w:szCs w:val="20"/>
          <w:color w:val="auto"/>
        </w:rPr>
      </w:pPr>
      <w:r>
        <w:rPr>
          <w:rFonts w:ascii="Times New Roman" w:cs="Times New Roman" w:eastAsia="Times New Roman" w:hAnsi="Times New Roman"/>
          <w:sz w:val="19"/>
          <w:szCs w:val="19"/>
          <w:color w:val="auto"/>
        </w:rPr>
        <w:t>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68" w:lineRule="exact"/>
        <w:rPr>
          <w:sz w:val="20"/>
          <w:szCs w:val="20"/>
          <w:color w:val="auto"/>
        </w:rPr>
      </w:pPr>
    </w:p>
    <w:p>
      <w:pPr>
        <w:ind w:right="40" w:firstLine="630"/>
        <w:spacing w:after="0" w:line="255" w:lineRule="auto"/>
        <w:rPr>
          <w:sz w:val="20"/>
          <w:szCs w:val="20"/>
          <w:color w:val="auto"/>
        </w:rPr>
      </w:pPr>
      <w:r>
        <w:rPr>
          <w:rFonts w:ascii="Times New Roman" w:cs="Times New Roman" w:eastAsia="Times New Roman" w:hAnsi="Times New Roman"/>
          <w:sz w:val="20"/>
          <w:szCs w:val="20"/>
          <w:color w:val="auto"/>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0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20"/>
          <w:szCs w:val="20"/>
          <w:b w:val="1"/>
          <w:bCs w:val="1"/>
          <w:color w:val="auto"/>
        </w:rPr>
        <w:t>Our product candidates may not achieve adequate market acceptance among physicians, patients, health care payors and others in the medical community necessary for commercial success.</w:t>
      </w:r>
    </w:p>
    <w:p>
      <w:pPr>
        <w:spacing w:after="0" w:line="59" w:lineRule="exact"/>
        <w:rPr>
          <w:sz w:val="20"/>
          <w:szCs w:val="20"/>
          <w:color w:val="auto"/>
        </w:rPr>
      </w:pPr>
    </w:p>
    <w:p>
      <w:pPr>
        <w:ind w:right="260" w:firstLine="630"/>
        <w:spacing w:after="0" w:line="266" w:lineRule="auto"/>
        <w:rPr>
          <w:sz w:val="20"/>
          <w:szCs w:val="20"/>
          <w:color w:val="auto"/>
        </w:rPr>
      </w:pPr>
      <w:r>
        <w:rPr>
          <w:rFonts w:ascii="Times New Roman" w:cs="Times New Roman" w:eastAsia="Times New Roman" w:hAnsi="Times New Roman"/>
          <w:sz w:val="20"/>
          <w:szCs w:val="20"/>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5" w:lineRule="exact"/>
        <w:rPr>
          <w:sz w:val="20"/>
          <w:szCs w:val="20"/>
          <w:color w:val="auto"/>
        </w:rPr>
      </w:pPr>
    </w:p>
    <w:p>
      <w:pPr>
        <w:ind w:left="980" w:hanging="450"/>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and safety profile as demonstrated in planned clinical trials;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market introduction of the product candidate as well as competitive products;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indications for which the product candidate is approved;</w:t>
      </w:r>
    </w:p>
    <w:p>
      <w:pPr>
        <w:spacing w:after="0" w:line="130" w:lineRule="exact"/>
        <w:rPr>
          <w:rFonts w:ascii="Times New Roman" w:cs="Times New Roman" w:eastAsia="Times New Roman" w:hAnsi="Times New Roman"/>
          <w:sz w:val="20"/>
          <w:szCs w:val="20"/>
          <w:color w:val="auto"/>
        </w:rPr>
      </w:pPr>
    </w:p>
    <w:p>
      <w:pPr>
        <w:ind w:left="980" w:right="300" w:hanging="450"/>
        <w:spacing w:after="0" w:line="281" w:lineRule="auto"/>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use of our products, if approved, such as boxed warnings or contraindications in labeling or a REMS, if any, which may not be required of alternative treatments and competitor products;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the product candidate as a safe and effective treatment by physicians, clinics and patients;</w:t>
      </w:r>
    </w:p>
    <w:p>
      <w:pPr>
        <w:spacing w:after="0" w:line="130" w:lineRule="exact"/>
        <w:rPr>
          <w:rFonts w:ascii="Times New Roman" w:cs="Times New Roman" w:eastAsia="Times New Roman" w:hAnsi="Times New Roman"/>
          <w:sz w:val="20"/>
          <w:szCs w:val="20"/>
          <w:color w:val="auto"/>
        </w:rPr>
      </w:pPr>
    </w:p>
    <w:p>
      <w:pPr>
        <w:ind w:left="980" w:right="400" w:hanging="450"/>
        <w:spacing w:after="0" w:line="281" w:lineRule="auto"/>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and perceived advantages of product candidates over alternative treatments, including any similar generic treatments;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treatment in relation to alternative treatments;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coverage and adequate reimbursement and pricing by third parties and government authorities;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relative convenience and ease of administration;</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frequency and severity of adverse events;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sales and marketing efforts; and</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publicity relating to the product candidate.</w:t>
      </w:r>
    </w:p>
    <w:p>
      <w:pPr>
        <w:spacing w:after="0" w:line="210" w:lineRule="exact"/>
        <w:rPr>
          <w:sz w:val="20"/>
          <w:szCs w:val="20"/>
          <w:color w:val="auto"/>
        </w:rPr>
      </w:pPr>
    </w:p>
    <w:p>
      <w:pPr>
        <w:jc w:val="both"/>
        <w:ind w:right="400" w:firstLine="630"/>
        <w:spacing w:after="0" w:line="266" w:lineRule="auto"/>
        <w:rPr>
          <w:sz w:val="20"/>
          <w:szCs w:val="20"/>
          <w:color w:val="auto"/>
        </w:rPr>
      </w:pPr>
      <w:r>
        <w:rPr>
          <w:rFonts w:ascii="Times New Roman" w:cs="Times New Roman" w:eastAsia="Times New Roman" w:hAnsi="Times New Roman"/>
          <w:sz w:val="20"/>
          <w:szCs w:val="20"/>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188" w:lineRule="exact"/>
        <w:rPr>
          <w:sz w:val="20"/>
          <w:szCs w:val="20"/>
          <w:color w:val="auto"/>
        </w:rPr>
      </w:pPr>
    </w:p>
    <w:p>
      <w:pPr>
        <w:ind w:right="140" w:firstLine="630"/>
        <w:spacing w:after="0" w:line="268" w:lineRule="auto"/>
        <w:rPr>
          <w:sz w:val="20"/>
          <w:szCs w:val="20"/>
          <w:color w:val="auto"/>
        </w:rPr>
      </w:pPr>
      <w:r>
        <w:rPr>
          <w:rFonts w:ascii="Times New Roman" w:cs="Times New Roman" w:eastAsia="Times New Roman" w:hAnsi="Times New Roman"/>
          <w:sz w:val="20"/>
          <w:szCs w:val="20"/>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7"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20"/>
          </w:cols>
          <w:pgMar w:left="1000" w:top="793" w:right="1020" w:bottom="0" w:gutter="0" w:footer="0" w:header="0"/>
          <w:type w:val="continuous"/>
        </w:sectPr>
      </w:pPr>
    </w:p>
    <w:bookmarkStart w:id="30" w:name="page31"/>
    <w:bookmarkEnd w:id="30"/>
    <w:p>
      <w:pPr>
        <w:ind w:right="200"/>
        <w:spacing w:after="0" w:line="260" w:lineRule="auto"/>
        <w:rPr>
          <w:sz w:val="20"/>
          <w:szCs w:val="20"/>
          <w:color w:val="auto"/>
        </w:rPr>
      </w:pPr>
      <w:r>
        <w:rPr>
          <w:rFonts w:ascii="Times New Roman" w:cs="Times New Roman" w:eastAsia="Times New Roman" w:hAnsi="Times New Roman"/>
          <w:sz w:val="20"/>
          <w:szCs w:val="20"/>
          <w:color w:val="auto"/>
        </w:rPr>
        <w:t>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19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b w:val="1"/>
          <w:bCs w:val="1"/>
          <w:color w:val="auto"/>
        </w:rPr>
        <w:t>The manufacture of biologics is complex, and our third party manufacturers may encounter difficulties in production. If any of our third 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83"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spacing w:after="0" w:line="88" w:lineRule="exact"/>
        <w:rPr>
          <w:sz w:val="20"/>
          <w:szCs w:val="20"/>
          <w:color w:val="auto"/>
        </w:rPr>
      </w:pPr>
    </w:p>
    <w:p>
      <w:pPr>
        <w:ind w:right="40" w:firstLine="630"/>
        <w:spacing w:after="0" w:line="258" w:lineRule="auto"/>
        <w:rPr>
          <w:sz w:val="20"/>
          <w:szCs w:val="20"/>
          <w:color w:val="auto"/>
        </w:rPr>
      </w:pPr>
      <w:r>
        <w:rPr>
          <w:rFonts w:ascii="Times New Roman" w:cs="Times New Roman" w:eastAsia="Times New Roman" w:hAnsi="Times New Roman"/>
          <w:sz w:val="20"/>
          <w:szCs w:val="20"/>
          <w:color w:val="auto"/>
        </w:rPr>
        <w:t>Furthermore, all of our therapeutic antibodies are manufactured by starting with cells which are stored in a cell bank. We have one master cell bank for each antibody manufactured in accordance with cGMP and create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spacing w:after="0" w:line="84" w:lineRule="exact"/>
        <w:rPr>
          <w:sz w:val="20"/>
          <w:szCs w:val="20"/>
          <w:color w:val="auto"/>
        </w:rPr>
      </w:pPr>
    </w:p>
    <w:p>
      <w:pPr>
        <w:ind w:right="60" w:firstLine="630"/>
        <w:spacing w:after="0" w:line="253" w:lineRule="auto"/>
        <w:rPr>
          <w:sz w:val="20"/>
          <w:szCs w:val="20"/>
          <w:color w:val="auto"/>
        </w:rPr>
      </w:pPr>
      <w:r>
        <w:rPr>
          <w:rFonts w:ascii="Times New Roman" w:cs="Times New Roman" w:eastAsia="Times New Roman" w:hAnsi="Times New Roman"/>
          <w:sz w:val="20"/>
          <w:szCs w:val="20"/>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pacing w:after="0" w:line="96"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19"/>
          <w:szCs w:val="19"/>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United States.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United States. We cannot predict what actions may ultimately be taken with respect to trade relations between the United States and China or other countries, what products and services may be subject to such actions or what actions may be taken by the other countries in retaliation.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40"/>
          </w:cols>
          <w:pgMar w:left="1000" w:top="793" w:right="1000" w:bottom="0" w:gutter="0" w:footer="0" w:header="0"/>
          <w:type w:val="continuous"/>
        </w:sectPr>
      </w:pPr>
    </w:p>
    <w:bookmarkStart w:id="31" w:name="page32"/>
    <w:bookmarkEnd w:id="31"/>
    <w:p>
      <w:pPr>
        <w:ind w:right="420"/>
        <w:spacing w:after="0" w:line="281" w:lineRule="auto"/>
        <w:rPr>
          <w:sz w:val="20"/>
          <w:szCs w:val="20"/>
          <w:color w:val="auto"/>
        </w:rPr>
      </w:pPr>
      <w:r>
        <w:rPr>
          <w:rFonts w:ascii="Times New Roman" w:cs="Times New Roman" w:eastAsia="Times New Roman" w:hAnsi="Times New Roman"/>
          <w:sz w:val="20"/>
          <w:szCs w:val="20"/>
          <w:color w:val="auto"/>
        </w:rPr>
        <w:t>may result in shipment delays, inventory shortages, lot failures, product withdrawals or recalls, or other interruptions in the supply of our product candidates or products.</w:t>
      </w:r>
    </w:p>
    <w:p>
      <w:pPr>
        <w:spacing w:after="0" w:line="17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20"/>
          <w:szCs w:val="20"/>
          <w:b w:val="1"/>
          <w:bCs w:val="1"/>
          <w:color w:val="auto"/>
        </w:rPr>
        <w:t>The macroeconomic and geopolitical environment may have a material impact on the U.S. and global economies and could materially impact our business, financial condition and results of operations.</w:t>
      </w:r>
    </w:p>
    <w:p>
      <w:pPr>
        <w:spacing w:after="0" w:line="59" w:lineRule="exact"/>
        <w:rPr>
          <w:sz w:val="20"/>
          <w:szCs w:val="20"/>
          <w:color w:val="auto"/>
        </w:rPr>
      </w:pPr>
    </w:p>
    <w:p>
      <w:pPr>
        <w:ind w:right="20" w:firstLine="630"/>
        <w:spacing w:after="0" w:line="255" w:lineRule="auto"/>
        <w:rPr>
          <w:sz w:val="20"/>
          <w:szCs w:val="20"/>
          <w:color w:val="auto"/>
        </w:rPr>
      </w:pPr>
      <w:r>
        <w:rPr>
          <w:rFonts w:ascii="Times New Roman" w:cs="Times New Roman" w:eastAsia="Times New Roman" w:hAnsi="Times New Roman"/>
          <w:sz w:val="20"/>
          <w:szCs w:val="20"/>
          <w:color w:val="auto"/>
        </w:rPr>
        <w:t>The macroeconomic and geopolitical environment, including inflation, increased volatility in interest rates, tariffs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additional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Capital Needs</w:t>
      </w:r>
    </w:p>
    <w:p>
      <w:pPr>
        <w:spacing w:after="0" w:line="130"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20"/>
          <w:szCs w:val="20"/>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77" w:lineRule="exact"/>
        <w:rPr>
          <w:sz w:val="20"/>
          <w:szCs w:val="20"/>
          <w:color w:val="auto"/>
        </w:rPr>
      </w:pPr>
    </w:p>
    <w:p>
      <w:pPr>
        <w:ind w:right="180" w:firstLine="630"/>
        <w:spacing w:after="0" w:line="256" w:lineRule="auto"/>
        <w:rPr>
          <w:sz w:val="20"/>
          <w:szCs w:val="20"/>
          <w:color w:val="auto"/>
        </w:rPr>
      </w:pPr>
      <w:r>
        <w:rPr>
          <w:rFonts w:ascii="Times New Roman" w:cs="Times New Roman" w:eastAsia="Times New Roman" w:hAnsi="Times New Roman"/>
          <w:sz w:val="20"/>
          <w:szCs w:val="20"/>
          <w:color w:val="auto"/>
        </w:rPr>
        <w:t>We are a clinical-stage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88" w:lineRule="exact"/>
        <w:rPr>
          <w:sz w:val="20"/>
          <w:szCs w:val="20"/>
          <w:color w:val="auto"/>
        </w:rPr>
      </w:pPr>
    </w:p>
    <w:p>
      <w:pPr>
        <w:ind w:right="300" w:firstLine="630"/>
        <w:spacing w:after="0" w:line="266" w:lineRule="auto"/>
        <w:rPr>
          <w:sz w:val="20"/>
          <w:szCs w:val="20"/>
          <w:color w:val="auto"/>
        </w:rPr>
      </w:pPr>
      <w:r>
        <w:rPr>
          <w:rFonts w:ascii="Times New Roman" w:cs="Times New Roman" w:eastAsia="Times New Roman" w:hAnsi="Times New Roman"/>
          <w:sz w:val="20"/>
          <w:szCs w:val="20"/>
          <w:color w:val="auto"/>
        </w:rPr>
        <w:t>Since our inception, we have incurred significant operating losses in every year except fiscal year 2014. For the year ended December 31, 2024, our collaboration revenue was $91.3 million and our net loss was $145.2 million. As of December 31, 2024, we had an accumulated deficit of $759.3 million.</w:t>
      </w:r>
    </w:p>
    <w:p>
      <w:pPr>
        <w:spacing w:after="0" w:line="75"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 xml:space="preserve">We have financed our operations primarily through our initial public offering of common stock in January 2017, our follow-on public offerings of common stock in October 2017, September 2018, and August 2024, and royalty monetization transactions such as our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and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We have devoted substantially all of our efforts to research and development. Rosnilimab is in Phase 2 clinical development and we expect that it will be several years, if ever, before any of our active product candidates are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96" w:lineRule="exact"/>
        <w:rPr>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research and preclinical development of our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additional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existing and enter into new collaboration agreements;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additional preclinical studies and initiate clinical trials for our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approvals for the product candidates we develop or developed under our collaboration arrangements;</w:t>
      </w:r>
    </w:p>
    <w:p>
      <w:pPr>
        <w:spacing w:after="0" w:line="130" w:lineRule="exact"/>
        <w:rPr>
          <w:rFonts w:ascii="Times New Roman" w:cs="Times New Roman" w:eastAsia="Times New Roman" w:hAnsi="Times New Roman"/>
          <w:sz w:val="20"/>
          <w:szCs w:val="20"/>
          <w:color w:val="auto"/>
        </w:rPr>
      </w:pPr>
    </w:p>
    <w:p>
      <w:pPr>
        <w:ind w:left="720" w:right="8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sales, marketing and distribution infrastructure to commercialize any product candidates for which we may obtain marketing approval;</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additional executive, clinical, quality control and scientific personnel;</w:t>
      </w:r>
    </w:p>
    <w:p>
      <w:pPr>
        <w:spacing w:after="0" w:line="130" w:lineRule="exact"/>
        <w:rPr>
          <w:rFonts w:ascii="Times New Roman" w:cs="Times New Roman" w:eastAsia="Times New Roman" w:hAnsi="Times New Roman"/>
          <w:sz w:val="20"/>
          <w:szCs w:val="20"/>
          <w:color w:val="auto"/>
        </w:rPr>
      </w:pPr>
    </w:p>
    <w:p>
      <w:pPr>
        <w:ind w:left="720" w:right="38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 operational, financial and management information systems and personnel, including personnel to support our product development and commercialization efforts;</w:t>
      </w:r>
    </w:p>
    <w:p>
      <w:pPr>
        <w:spacing w:after="0" w:line="61" w:lineRule="exact"/>
        <w:rPr>
          <w:rFonts w:ascii="Times New Roman" w:cs="Times New Roman" w:eastAsia="Times New Roman" w:hAnsi="Times New Roman"/>
          <w:sz w:val="20"/>
          <w:szCs w:val="20"/>
          <w:color w:val="auto"/>
        </w:rPr>
      </w:pPr>
    </w:p>
    <w:p>
      <w:pPr>
        <w:ind w:left="720" w:right="52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maintain supply and manufacturing relationships with third parties and ensure adequate and legally compliant manufacturing of our product candidates;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coverage and adequate product reimbursement from third party payors, including government payors;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40"/>
          </w:cols>
          <w:pgMar w:left="1000" w:top="793" w:right="1000" w:bottom="0" w:gutter="0" w:footer="0" w:header="0"/>
          <w:type w:val="continuous"/>
        </w:sectPr>
      </w:pPr>
    </w:p>
    <w:bookmarkStart w:id="32" w:name="page33"/>
    <w:bookmarkEnd w:id="32"/>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in-license other product candidates and technologies;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 market acceptance for our or our collaborators’ products, if any.</w:t>
      </w:r>
    </w:p>
    <w:p>
      <w:pPr>
        <w:spacing w:after="0" w:line="130" w:lineRule="exact"/>
        <w:rPr>
          <w:sz w:val="20"/>
          <w:szCs w:val="20"/>
          <w:color w:val="auto"/>
        </w:rPr>
      </w:pPr>
    </w:p>
    <w:p>
      <w:pPr>
        <w:ind w:right="200" w:firstLine="630"/>
        <w:spacing w:after="0" w:line="256" w:lineRule="auto"/>
        <w:rPr>
          <w:sz w:val="20"/>
          <w:szCs w:val="20"/>
          <w:color w:val="auto"/>
        </w:rPr>
      </w:pPr>
      <w:r>
        <w:rPr>
          <w:rFonts w:ascii="Times New Roman" w:cs="Times New Roman" w:eastAsia="Times New Roman" w:hAnsi="Times New Roman"/>
          <w:sz w:val="20"/>
          <w:szCs w:val="20"/>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spacing w:after="0" w:line="88" w:lineRule="exact"/>
        <w:rPr>
          <w:sz w:val="20"/>
          <w:szCs w:val="20"/>
          <w:color w:val="auto"/>
        </w:rPr>
      </w:pPr>
    </w:p>
    <w:p>
      <w:pPr>
        <w:ind w:firstLine="630"/>
        <w:spacing w:after="0" w:line="268" w:lineRule="auto"/>
        <w:rPr>
          <w:sz w:val="20"/>
          <w:szCs w:val="20"/>
          <w:color w:val="auto"/>
        </w:rPr>
      </w:pPr>
      <w:r>
        <w:rPr>
          <w:rFonts w:ascii="Times New Roman" w:cs="Times New Roman" w:eastAsia="Times New Roman" w:hAnsi="Times New Roman"/>
          <w:sz w:val="19"/>
          <w:szCs w:val="19"/>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19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20"/>
          <w:szCs w:val="20"/>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77" w:lineRule="exact"/>
        <w:rPr>
          <w:sz w:val="20"/>
          <w:szCs w:val="20"/>
          <w:color w:val="auto"/>
        </w:rPr>
      </w:pPr>
    </w:p>
    <w:p>
      <w:pPr>
        <w:ind w:right="80" w:firstLine="630"/>
        <w:spacing w:after="0" w:line="253" w:lineRule="auto"/>
        <w:rPr>
          <w:sz w:val="20"/>
          <w:szCs w:val="20"/>
          <w:color w:val="auto"/>
        </w:rPr>
      </w:pPr>
      <w:r>
        <w:rPr>
          <w:rFonts w:ascii="Times New Roman" w:cs="Times New Roman" w:eastAsia="Times New Roman" w:hAnsi="Times New Roman"/>
          <w:sz w:val="20"/>
          <w:szCs w:val="20"/>
          <w:color w:val="auto"/>
        </w:rPr>
        <w:t>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93" w:lineRule="exact"/>
        <w:rPr>
          <w:sz w:val="20"/>
          <w:szCs w:val="20"/>
          <w:color w:val="auto"/>
        </w:rPr>
      </w:pPr>
    </w:p>
    <w:p>
      <w:pPr>
        <w:ind w:right="40" w:firstLine="630"/>
        <w:spacing w:after="0" w:line="260" w:lineRule="auto"/>
        <w:rPr>
          <w:sz w:val="20"/>
          <w:szCs w:val="20"/>
          <w:color w:val="auto"/>
        </w:rPr>
      </w:pPr>
      <w:r>
        <w:rPr>
          <w:rFonts w:ascii="Times New Roman" w:cs="Times New Roman" w:eastAsia="Times New Roman" w:hAnsi="Times New Roman"/>
          <w:sz w:val="20"/>
          <w:szCs w:val="20"/>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83" w:lineRule="exact"/>
        <w:rPr>
          <w:sz w:val="20"/>
          <w:szCs w:val="20"/>
          <w:color w:val="auto"/>
        </w:rPr>
      </w:pPr>
    </w:p>
    <w:p>
      <w:pPr>
        <w:ind w:left="72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significantly delay, scale back or discontinue the development or commercialization of our product candidates or cease operations altogether;</w:t>
      </w:r>
    </w:p>
    <w:p>
      <w:pPr>
        <w:spacing w:after="0" w:line="61"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strategic alliances for research and development programs at an earlier stage than we would otherwise desire or on terms less favorable than might otherwise be available;</w:t>
      </w:r>
    </w:p>
    <w:p>
      <w:pPr>
        <w:spacing w:after="0" w:line="61"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relinquish, or license on unfavorable terms, our rights to technologies or future product candidates that we otherwise would seek to develop or commercialize ourselves; or</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staff to conserve resources.</w:t>
      </w:r>
    </w:p>
    <w:p>
      <w:pPr>
        <w:spacing w:after="0" w:line="130" w:lineRule="exact"/>
        <w:rPr>
          <w:sz w:val="20"/>
          <w:szCs w:val="20"/>
          <w:color w:val="auto"/>
        </w:rPr>
      </w:pPr>
    </w:p>
    <w:p>
      <w:pPr>
        <w:ind w:right="60" w:firstLine="630"/>
        <w:spacing w:after="0" w:line="253" w:lineRule="auto"/>
        <w:rPr>
          <w:sz w:val="20"/>
          <w:szCs w:val="20"/>
          <w:color w:val="auto"/>
        </w:rPr>
      </w:pPr>
      <w:r>
        <w:rPr>
          <w:rFonts w:ascii="Times New Roman" w:cs="Times New Roman" w:eastAsia="Times New Roman" w:hAnsi="Times New Roman"/>
          <w:sz w:val="20"/>
          <w:szCs w:val="20"/>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fluctuating interest rates, tariffs,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ectPr>
          <w:pgSz w:w="12240" w:h="15840" w:orient="portrait"/>
          <w:cols w:equalWidth="0" w:num="1">
            <w:col w:w="10220"/>
          </w:cols>
          <w:pgMar w:left="1000" w:top="793" w:right="1020" w:bottom="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20"/>
          </w:cols>
          <w:pgMar w:left="1000" w:top="793" w:right="1020" w:bottom="0" w:gutter="0" w:footer="0" w:header="0"/>
          <w:type w:val="continuous"/>
        </w:sectPr>
      </w:pPr>
    </w:p>
    <w:bookmarkStart w:id="33" w:name="page34"/>
    <w:bookmarkEnd w:id="33"/>
    <w:p>
      <w:pPr>
        <w:ind w:left="720" w:right="8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initiation, progress, timing, costs and results of preclinical studies and clinical trials for our product candidates and future product candidates we may develop;</w:t>
      </w:r>
    </w:p>
    <w:p>
      <w:pPr>
        <w:spacing w:after="0" w:line="61"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size of clinical trials needed to show safety, efficacy and an acceptable risk/benefit profile for any of our product candidates;</w:t>
      </w:r>
    </w:p>
    <w:p>
      <w:pPr>
        <w:spacing w:after="0" w:line="61" w:lineRule="exact"/>
        <w:rPr>
          <w:rFonts w:ascii="Times New Roman" w:cs="Times New Roman" w:eastAsia="Times New Roman" w:hAnsi="Times New Roman"/>
          <w:sz w:val="20"/>
          <w:szCs w:val="20"/>
          <w:color w:val="auto"/>
        </w:rPr>
      </w:pPr>
    </w:p>
    <w:p>
      <w:pPr>
        <w:ind w:left="720" w:right="10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71" w:lineRule="exact"/>
        <w:rPr>
          <w:rFonts w:ascii="Times New Roman" w:cs="Times New Roman" w:eastAsia="Times New Roman" w:hAnsi="Times New Roman"/>
          <w:sz w:val="20"/>
          <w:szCs w:val="20"/>
          <w:color w:val="auto"/>
        </w:rPr>
      </w:pPr>
    </w:p>
    <w:p>
      <w:pPr>
        <w:ind w:left="720" w:right="480" w:hanging="370"/>
        <w:spacing w:after="0" w:line="285"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commercial success or failure of products sold by our collaborators, such as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by GSK, and the timing thereof;</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existing and enter into new collaboration agreements;</w:t>
      </w:r>
    </w:p>
    <w:p>
      <w:pPr>
        <w:spacing w:after="0" w:line="130" w:lineRule="exact"/>
        <w:rPr>
          <w:rFonts w:ascii="Times New Roman" w:cs="Times New Roman" w:eastAsia="Times New Roman" w:hAnsi="Times New Roman"/>
          <w:sz w:val="20"/>
          <w:szCs w:val="20"/>
          <w:color w:val="auto"/>
        </w:rPr>
      </w:pPr>
    </w:p>
    <w:p>
      <w:pPr>
        <w:ind w:left="72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competing technological and market developments;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acceptance of any approved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acquiring, licensing or investing in additional businesses, products, product candidates and technologies;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recruiting and retaining key employees;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fees associated with any delays or cancellations of forecasted manufacturing batches;</w:t>
      </w:r>
    </w:p>
    <w:p>
      <w:pPr>
        <w:spacing w:after="0" w:line="238" w:lineRule="exact"/>
        <w:rPr>
          <w:rFonts w:ascii="Times New Roman" w:cs="Times New Roman" w:eastAsia="Times New Roman" w:hAnsi="Times New Roman"/>
          <w:sz w:val="20"/>
          <w:szCs w:val="20"/>
          <w:color w:val="auto"/>
        </w:rPr>
      </w:pPr>
    </w:p>
    <w:p>
      <w:pPr>
        <w:ind w:left="720" w:right="82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timing of selecting, auditing and potentially validating manufacturing sites for commercial-scale manufacturing; and</w:t>
      </w:r>
    </w:p>
    <w:p>
      <w:pPr>
        <w:spacing w:after="0" w:line="61" w:lineRule="exact"/>
        <w:rPr>
          <w:rFonts w:ascii="Times New Roman" w:cs="Times New Roman" w:eastAsia="Times New Roman" w:hAnsi="Times New Roman"/>
          <w:sz w:val="20"/>
          <w:szCs w:val="20"/>
          <w:color w:val="auto"/>
        </w:rPr>
      </w:pPr>
    </w:p>
    <w:p>
      <w:pPr>
        <w:ind w:left="720" w:right="42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75" w:lineRule="exact"/>
        <w:rPr>
          <w:sz w:val="20"/>
          <w:szCs w:val="20"/>
          <w:color w:val="auto"/>
        </w:rPr>
      </w:pPr>
    </w:p>
    <w:p>
      <w:pPr>
        <w:ind w:right="300" w:firstLine="630"/>
        <w:spacing w:after="0" w:line="281" w:lineRule="auto"/>
        <w:rPr>
          <w:sz w:val="20"/>
          <w:szCs w:val="20"/>
          <w:color w:val="auto"/>
        </w:rPr>
      </w:pPr>
      <w:r>
        <w:rPr>
          <w:rFonts w:ascii="Times New Roman" w:cs="Times New Roman" w:eastAsia="Times New Roman" w:hAnsi="Times New Roman"/>
          <w:sz w:val="20"/>
          <w:szCs w:val="20"/>
          <w:color w:val="auto"/>
        </w:rPr>
        <w:t>If we cannot expand our operations or otherwise capitalize on our business opportunities due to a lack of capital, our business, financial condition and results of operations could be adversely affected.</w:t>
      </w:r>
    </w:p>
    <w:p>
      <w:pPr>
        <w:spacing w:after="0" w:line="17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0"/>
          <w:szCs w:val="20"/>
          <w:b w:val="1"/>
          <w:bCs w:val="1"/>
          <w:color w:val="auto"/>
        </w:rPr>
        <w:t>Raising additional capital may cause dilution to our existing stockholders, restrict our operations or require us to relinquish rights to our product candidates on unfavorable terms to us.</w:t>
      </w:r>
    </w:p>
    <w:p>
      <w:pPr>
        <w:spacing w:after="0" w:line="59"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13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20"/>
          <w:szCs w:val="20"/>
          <w:b w:val="1"/>
          <w:bCs w:val="1"/>
          <w:color w:val="auto"/>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spacing w:after="0" w:line="77"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We have entered into collaboration with GSK to develop several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For example, in October 2023, we agreed with GSK to terminate the LAG-3 antagonist antibody development program under our existing collaboration. As a result, we will not receive any additional milestones or any royalties from GSK for that development program.</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40"/>
          </w:cols>
          <w:pgMar w:left="1000" w:top="793" w:right="1000" w:bottom="0" w:gutter="0" w:footer="0" w:header="0"/>
          <w:type w:val="continuous"/>
        </w:sectPr>
      </w:pPr>
    </w:p>
    <w:bookmarkStart w:id="34" w:name="page35"/>
    <w:bookmarkEnd w:id="34"/>
    <w:p>
      <w:pPr>
        <w:ind w:right="40" w:firstLine="630"/>
        <w:spacing w:after="0" w:line="252" w:lineRule="auto"/>
        <w:rPr>
          <w:sz w:val="20"/>
          <w:szCs w:val="20"/>
          <w:color w:val="auto"/>
        </w:rPr>
      </w:pPr>
      <w:r>
        <w:rPr>
          <w:rFonts w:ascii="Times New Roman" w:cs="Times New Roman" w:eastAsia="Times New Roman" w:hAnsi="Times New Roman"/>
          <w:sz w:val="20"/>
          <w:szCs w:val="20"/>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October 2020, we settled a matter with GSK related to an alleged breach of our collaboration agreement in connection with GSK’s use of certain antibodies originally developed by us for the development of a drug not covered by the agreement. There can be no assurance that we will not encounter such issues under our collaborations with GSK or other parties in the future.</w:t>
      </w:r>
    </w:p>
    <w:p>
      <w:pPr>
        <w:spacing w:after="0" w:line="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20"/>
          <w:szCs w:val="20"/>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59"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Moreover, if we fail to establish and maintain additional collaborations related to our product candidates:</w:t>
      </w:r>
    </w:p>
    <w:p>
      <w:pPr>
        <w:spacing w:after="0" w:line="130" w:lineRule="exact"/>
        <w:rPr>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of certain of our current or future product candidates may be terminated or delayed;</w:t>
      </w:r>
    </w:p>
    <w:p>
      <w:pPr>
        <w:spacing w:after="0" w:line="130" w:lineRule="exact"/>
        <w:rPr>
          <w:rFonts w:ascii="Times New Roman" w:cs="Times New Roman" w:eastAsia="Times New Roman" w:hAnsi="Times New Roman"/>
          <w:sz w:val="20"/>
          <w:szCs w:val="20"/>
          <w:color w:val="auto"/>
        </w:rPr>
      </w:pPr>
    </w:p>
    <w:p>
      <w:pPr>
        <w:ind w:left="720" w:right="40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cash expenditures related to development of certain of our current or future product candidates would increase significantly and we may need to seek additional financing;</w:t>
      </w:r>
    </w:p>
    <w:p>
      <w:pPr>
        <w:spacing w:after="0" w:line="6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hire additional employees or otherwise develop expertise, such as sales and marketing expertise, for which we have not budgeted; and</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bear all of the risk related to the development and commercialization of any such product candidates.</w:t>
      </w:r>
    </w:p>
    <w:p>
      <w:pPr>
        <w:spacing w:after="0" w:line="243"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9"/>
          <w:szCs w:val="19"/>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61"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93" w:lineRule="exact"/>
        <w:rPr>
          <w:sz w:val="20"/>
          <w:szCs w:val="20"/>
          <w:color w:val="auto"/>
        </w:rPr>
      </w:pPr>
    </w:p>
    <w:p>
      <w:pPr>
        <w:ind w:right="200" w:firstLine="630"/>
        <w:spacing w:after="0" w:line="286" w:lineRule="auto"/>
        <w:rPr>
          <w:sz w:val="20"/>
          <w:szCs w:val="20"/>
          <w:color w:val="auto"/>
        </w:rPr>
      </w:pPr>
      <w:r>
        <w:rPr>
          <w:rFonts w:ascii="Times New Roman" w:cs="Times New Roman" w:eastAsia="Times New Roman" w:hAnsi="Times New Roman"/>
          <w:sz w:val="19"/>
          <w:szCs w:val="19"/>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w:t>
      </w:r>
    </w:p>
    <w:p>
      <w:pPr>
        <w:sectPr>
          <w:pgSz w:w="12240" w:h="15840" w:orient="portrait"/>
          <w:cols w:equalWidth="0" w:num="1">
            <w:col w:w="10240"/>
          </w:cols>
          <w:pgMar w:left="1000" w:top="793" w:right="100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40"/>
          </w:cols>
          <w:pgMar w:left="1000" w:top="793" w:right="1000" w:bottom="0" w:gutter="0" w:footer="0" w:header="0"/>
          <w:type w:val="continuous"/>
        </w:sectPr>
      </w:pPr>
    </w:p>
    <w:bookmarkStart w:id="35" w:name="page36"/>
    <w:bookmarkEnd w:id="35"/>
    <w:p>
      <w:pPr>
        <w:ind w:right="140"/>
        <w:spacing w:after="0" w:line="260" w:lineRule="auto"/>
        <w:rPr>
          <w:sz w:val="20"/>
          <w:szCs w:val="20"/>
          <w:color w:val="auto"/>
        </w:rPr>
      </w:pPr>
      <w:r>
        <w:rPr>
          <w:rFonts w:ascii="Times New Roman" w:cs="Times New Roman" w:eastAsia="Times New Roman" w:hAnsi="Times New Roman"/>
          <w:sz w:val="20"/>
          <w:szCs w:val="20"/>
          <w:color w:val="auto"/>
        </w:rPr>
        <w:t>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We rely completely on third parties to manufacture our nonclinical, clinical and future commercial drug supplies of any approved products.</w:t>
      </w:r>
    </w:p>
    <w:p>
      <w:pPr>
        <w:spacing w:after="0" w:line="59" w:lineRule="exact"/>
        <w:rPr>
          <w:sz w:val="20"/>
          <w:szCs w:val="20"/>
          <w:color w:val="auto"/>
        </w:rPr>
      </w:pPr>
    </w:p>
    <w:p>
      <w:pPr>
        <w:ind w:right="60" w:firstLine="630"/>
        <w:spacing w:after="0" w:line="267" w:lineRule="auto"/>
        <w:rPr>
          <w:sz w:val="20"/>
          <w:szCs w:val="20"/>
          <w:color w:val="auto"/>
        </w:rPr>
      </w:pPr>
      <w:r>
        <w:rPr>
          <w:rFonts w:ascii="Times New Roman" w:cs="Times New Roman" w:eastAsia="Times New Roman" w:hAnsi="Times New Roman"/>
          <w:sz w:val="19"/>
          <w:szCs w:val="19"/>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 party manufacturer or otherwise, could considerably harm our business and ability to generate revenue and delay completion of our clinical trials, product testing and potential regulatory approval of our product candidates.</w:t>
      </w:r>
    </w:p>
    <w:p>
      <w:pPr>
        <w:spacing w:after="0" w:line="83" w:lineRule="exact"/>
        <w:rPr>
          <w:sz w:val="20"/>
          <w:szCs w:val="20"/>
          <w:color w:val="auto"/>
        </w:rPr>
      </w:pPr>
    </w:p>
    <w:p>
      <w:pPr>
        <w:ind w:right="100" w:firstLine="630"/>
        <w:spacing w:after="0" w:line="260" w:lineRule="auto"/>
        <w:rPr>
          <w:sz w:val="20"/>
          <w:szCs w:val="20"/>
          <w:color w:val="auto"/>
        </w:rPr>
      </w:pPr>
      <w:r>
        <w:rPr>
          <w:rFonts w:ascii="Times New Roman" w:cs="Times New Roman" w:eastAsia="Times New Roman" w:hAnsi="Times New Roman"/>
          <w:sz w:val="20"/>
          <w:szCs w:val="20"/>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83" w:lineRule="exact"/>
        <w:rPr>
          <w:sz w:val="20"/>
          <w:szCs w:val="20"/>
          <w:color w:val="auto"/>
        </w:rPr>
      </w:pPr>
    </w:p>
    <w:p>
      <w:pPr>
        <w:ind w:right="100" w:firstLine="630"/>
        <w:spacing w:after="0" w:line="255" w:lineRule="auto"/>
        <w:rPr>
          <w:sz w:val="20"/>
          <w:szCs w:val="20"/>
          <w:color w:val="auto"/>
        </w:rPr>
      </w:pPr>
      <w:r>
        <w:rPr>
          <w:rFonts w:ascii="Times New Roman" w:cs="Times New Roman" w:eastAsia="Times New Roman" w:hAnsi="Times New Roman"/>
          <w:sz w:val="20"/>
          <w:szCs w:val="20"/>
          <w:color w:val="auto"/>
        </w:rPr>
        <w:t>Reliance on third 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0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77" w:lineRule="exact"/>
        <w:rPr>
          <w:sz w:val="20"/>
          <w:szCs w:val="20"/>
          <w:color w:val="auto"/>
        </w:rPr>
      </w:pPr>
    </w:p>
    <w:p>
      <w:pPr>
        <w:ind w:right="180" w:firstLine="630"/>
        <w:spacing w:after="0" w:line="253" w:lineRule="auto"/>
        <w:rPr>
          <w:sz w:val="20"/>
          <w:szCs w:val="20"/>
          <w:color w:val="auto"/>
        </w:rPr>
      </w:pPr>
      <w:r>
        <w:rPr>
          <w:rFonts w:ascii="Times New Roman" w:cs="Times New Roman" w:eastAsia="Times New Roman" w:hAnsi="Times New Roman"/>
          <w:sz w:val="20"/>
          <w:szCs w:val="20"/>
          <w:color w:val="auto"/>
        </w:rPr>
        <w:t>We depend on the availability of key raw materials for our product candidates from a small number of third 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Approval of Our Product Candidates and Other Legal Compliance Matters</w:t>
      </w:r>
    </w:p>
    <w:p>
      <w:pPr>
        <w:spacing w:after="0" w:line="25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20"/>
          <w:szCs w:val="20"/>
          <w:b w:val="1"/>
          <w:bCs w:val="1"/>
          <w:color w:val="auto"/>
        </w:rPr>
        <w:t>The failure to obtain regulatory approval in international jurisdictions would prevent us or our collaborators from marketing our product candidates outside the United States.</w:t>
      </w:r>
    </w:p>
    <w:p>
      <w:pPr>
        <w:spacing w:after="0" w:line="59"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20"/>
          </w:cols>
          <w:pgMar w:left="1000" w:top="793" w:right="1020" w:bottom="0" w:gutter="0" w:footer="0" w:header="0"/>
          <w:type w:val="continuous"/>
        </w:sectPr>
      </w:pPr>
    </w:p>
    <w:bookmarkStart w:id="36" w:name="page37"/>
    <w:bookmarkEnd w:id="36"/>
    <w:p>
      <w:pPr>
        <w:ind w:right="340"/>
        <w:spacing w:after="0" w:line="281" w:lineRule="auto"/>
        <w:rPr>
          <w:sz w:val="20"/>
          <w:szCs w:val="20"/>
          <w:color w:val="auto"/>
        </w:rPr>
      </w:pPr>
      <w:r>
        <w:rPr>
          <w:rFonts w:ascii="Times New Roman" w:cs="Times New Roman" w:eastAsia="Times New Roman" w:hAnsi="Times New Roman"/>
          <w:sz w:val="20"/>
          <w:szCs w:val="20"/>
          <w:color w:val="auto"/>
        </w:rPr>
        <w:t>regulatory approvals and compliance with foreign regulatory requirements could result in significant delays, difficulties and costs for us and could delay or prevent the introduction of our products in certain countries.</w:t>
      </w:r>
    </w:p>
    <w:p>
      <w:pPr>
        <w:spacing w:after="0" w:line="61"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Any drugs we develop may become subject to unfavorable third party reimbursement practices and pricing regulations.</w:t>
      </w:r>
    </w:p>
    <w:p>
      <w:pPr>
        <w:spacing w:after="0" w:line="137"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 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spacing w:after="0" w:line="93"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spacing w:after="0" w:line="89"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Increasingly, third 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 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spacing w:after="0" w:line="96" w:lineRule="exact"/>
        <w:rPr>
          <w:sz w:val="20"/>
          <w:szCs w:val="20"/>
          <w:color w:val="auto"/>
        </w:rPr>
      </w:pPr>
    </w:p>
    <w:p>
      <w:pPr>
        <w:ind w:right="60" w:firstLine="630"/>
        <w:spacing w:after="0" w:line="267" w:lineRule="auto"/>
        <w:rPr>
          <w:sz w:val="20"/>
          <w:szCs w:val="20"/>
          <w:color w:val="auto"/>
        </w:rPr>
      </w:pPr>
      <w:r>
        <w:rPr>
          <w:rFonts w:ascii="Times New Roman" w:cs="Times New Roman" w:eastAsia="Times New Roman" w:hAnsi="Times New Roman"/>
          <w:sz w:val="19"/>
          <w:szCs w:val="19"/>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83" w:lineRule="exact"/>
        <w:rPr>
          <w:sz w:val="20"/>
          <w:szCs w:val="20"/>
          <w:color w:val="auto"/>
        </w:rPr>
      </w:pPr>
    </w:p>
    <w:p>
      <w:pPr>
        <w:ind w:right="100" w:firstLine="630"/>
        <w:spacing w:after="0" w:line="260" w:lineRule="auto"/>
        <w:rPr>
          <w:sz w:val="20"/>
          <w:szCs w:val="20"/>
          <w:color w:val="auto"/>
        </w:rPr>
      </w:pPr>
      <w:r>
        <w:rPr>
          <w:rFonts w:ascii="Times New Roman" w:cs="Times New Roman" w:eastAsia="Times New Roman" w:hAnsi="Times New Roman"/>
          <w:sz w:val="20"/>
          <w:szCs w:val="20"/>
          <w:color w:val="auto"/>
        </w:rPr>
        <w:t>Moreover, increasing efforts by governmental and third 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w:t>
      </w:r>
    </w:p>
    <w:p>
      <w:pPr>
        <w:sectPr>
          <w:pgSz w:w="12240" w:h="15840" w:orient="portrait"/>
          <w:cols w:equalWidth="0" w:num="1">
            <w:col w:w="10240"/>
          </w:cols>
          <w:pgMar w:left="1000" w:top="793" w:right="1000" w:bottom="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40"/>
          </w:cols>
          <w:pgMar w:left="1000" w:top="793" w:right="1000" w:bottom="0" w:gutter="0" w:footer="0" w:header="0"/>
          <w:type w:val="continuous"/>
        </w:sectPr>
      </w:pPr>
    </w:p>
    <w:bookmarkStart w:id="37" w:name="page38"/>
    <w:bookmarkEnd w:id="37"/>
    <w:p>
      <w:pPr>
        <w:ind w:right="220"/>
        <w:spacing w:after="0" w:line="260" w:lineRule="auto"/>
        <w:rPr>
          <w:sz w:val="20"/>
          <w:szCs w:val="20"/>
          <w:color w:val="auto"/>
        </w:rPr>
      </w:pPr>
      <w:r>
        <w:rPr>
          <w:rFonts w:ascii="Times New Roman" w:cs="Times New Roman" w:eastAsia="Times New Roman" w:hAnsi="Times New Roman"/>
          <w:sz w:val="20"/>
          <w:szCs w:val="20"/>
          <w:color w:val="auto"/>
        </w:rPr>
        <w:t>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83" w:lineRule="exact"/>
        <w:rPr>
          <w:sz w:val="20"/>
          <w:szCs w:val="20"/>
          <w:color w:val="auto"/>
        </w:rPr>
      </w:pPr>
    </w:p>
    <w:p>
      <w:pPr>
        <w:ind w:right="120" w:firstLine="630"/>
        <w:spacing w:after="0" w:line="258" w:lineRule="auto"/>
        <w:rPr>
          <w:sz w:val="20"/>
          <w:szCs w:val="20"/>
          <w:color w:val="auto"/>
        </w:rPr>
      </w:pPr>
      <w:r>
        <w:rPr>
          <w:rFonts w:ascii="Times New Roman" w:cs="Times New Roman" w:eastAsia="Times New Roman" w:hAnsi="Times New Roman"/>
          <w:sz w:val="20"/>
          <w:szCs w:val="20"/>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84"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If we or our collaborators are unable to establish or sustain coverage and adequate reimbursement for any future product candidates from third party payors, the adoption of those product candidates and sales revenue will be adversely affected, which, in turn, could adversely affect the ability to market or sell those product candidates, if approved. Coverage policies and third 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01" w:lineRule="exact"/>
        <w:rPr>
          <w:sz w:val="20"/>
          <w:szCs w:val="20"/>
          <w:color w:val="auto"/>
        </w:rPr>
      </w:pPr>
    </w:p>
    <w:p>
      <w:pPr>
        <w:ind w:right="460"/>
        <w:spacing w:after="0" w:line="313" w:lineRule="auto"/>
        <w:rPr>
          <w:sz w:val="20"/>
          <w:szCs w:val="20"/>
          <w:color w:val="auto"/>
        </w:rPr>
      </w:pPr>
      <w:r>
        <w:rPr>
          <w:rFonts w:ascii="Times New Roman" w:cs="Times New Roman" w:eastAsia="Times New Roman" w:hAnsi="Times New Roman"/>
          <w:sz w:val="19"/>
          <w:szCs w:val="19"/>
          <w:b w:val="1"/>
          <w:bCs w:val="1"/>
          <w:color w:val="auto"/>
        </w:rPr>
        <w:t>Healthcare legislative reform measures may increase the difficulty and cost for us or our collaborators to obtain marketing approval of and commercialize our product candidates and affect the pricing of our product candidates.</w:t>
      </w:r>
    </w:p>
    <w:p>
      <w:pPr>
        <w:spacing w:after="0" w:line="37" w:lineRule="exact"/>
        <w:rPr>
          <w:sz w:val="20"/>
          <w:szCs w:val="20"/>
          <w:color w:val="auto"/>
        </w:rPr>
      </w:pPr>
    </w:p>
    <w:p>
      <w:pPr>
        <w:ind w:right="20" w:firstLine="630"/>
        <w:spacing w:after="0" w:line="270" w:lineRule="auto"/>
        <w:rPr>
          <w:sz w:val="20"/>
          <w:szCs w:val="20"/>
          <w:color w:val="auto"/>
        </w:rPr>
      </w:pPr>
      <w:r>
        <w:rPr>
          <w:rFonts w:ascii="Times New Roman" w:cs="Times New Roman" w:eastAsia="Times New Roman" w:hAnsi="Times New Roman"/>
          <w:sz w:val="19"/>
          <w:szCs w:val="19"/>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spacing w:after="0" w:line="74" w:lineRule="exact"/>
        <w:rPr>
          <w:sz w:val="20"/>
          <w:szCs w:val="20"/>
          <w:color w:val="auto"/>
        </w:rPr>
      </w:pPr>
    </w:p>
    <w:p>
      <w:pPr>
        <w:ind w:right="140" w:firstLine="630"/>
        <w:spacing w:after="0" w:line="258" w:lineRule="auto"/>
        <w:rPr>
          <w:sz w:val="20"/>
          <w:szCs w:val="20"/>
          <w:color w:val="auto"/>
        </w:rPr>
      </w:pPr>
      <w:r>
        <w:rPr>
          <w:rFonts w:ascii="Times New Roman" w:cs="Times New Roman" w:eastAsia="Times New Roman" w:hAnsi="Times New Roman"/>
          <w:sz w:val="20"/>
          <w:szCs w:val="20"/>
          <w:color w:val="auto"/>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spacing w:after="0" w:line="84" w:lineRule="exact"/>
        <w:rPr>
          <w:sz w:val="20"/>
          <w:szCs w:val="20"/>
          <w:color w:val="auto"/>
        </w:rPr>
      </w:pPr>
    </w:p>
    <w:p>
      <w:pPr>
        <w:ind w:firstLine="630"/>
        <w:spacing w:after="0" w:line="235"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7 years (11 years for biologics). The negotiated prices, which will first become effective in 2026, will be capped at a statutory ceiling price.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are taking effect progressively starting in 2023, although they are subject to legal challenges. For example, the provisions related to the negotiation of selling prices of high-expenditure single-source drugs and biologics have been challenged in multiple lawsuits. Thus, it is unclear how the IRA will be implemented but it will likely have a significant impact on the pharmaceutical industry and the pricing of our products and product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40"/>
          </w:cols>
          <w:pgMar w:left="1000" w:top="793" w:right="1000" w:bottom="0" w:gutter="0" w:footer="0" w:header="0"/>
          <w:type w:val="continuous"/>
        </w:sectPr>
      </w:pPr>
    </w:p>
    <w:bookmarkStart w:id="38" w:name="page39"/>
    <w:bookmarkEnd w:id="38"/>
    <w:p>
      <w:pPr>
        <w:ind w:right="80" w:firstLine="630"/>
        <w:spacing w:after="0" w:line="256" w:lineRule="auto"/>
        <w:rPr>
          <w:sz w:val="20"/>
          <w:szCs w:val="20"/>
          <w:color w:val="auto"/>
        </w:rPr>
      </w:pPr>
      <w:r>
        <w:rPr>
          <w:rFonts w:ascii="Times New Roman" w:cs="Times New Roman" w:eastAsia="Times New Roman" w:hAnsi="Times New Roman"/>
          <w:sz w:val="20"/>
          <w:szCs w:val="20"/>
          <w:color w:val="auto"/>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We cannot predict the reform initiatives that may be adopted in the future or whether initiatives that have been adopted will be repealed or modified.</w:t>
      </w:r>
    </w:p>
    <w:p>
      <w:pPr>
        <w:spacing w:after="0" w:line="88" w:lineRule="exact"/>
        <w:rPr>
          <w:sz w:val="20"/>
          <w:szCs w:val="20"/>
          <w:color w:val="auto"/>
        </w:rPr>
      </w:pPr>
    </w:p>
    <w:p>
      <w:pPr>
        <w:ind w:right="180" w:firstLine="630"/>
        <w:spacing w:after="0" w:line="260" w:lineRule="auto"/>
        <w:rPr>
          <w:sz w:val="20"/>
          <w:szCs w:val="20"/>
          <w:color w:val="auto"/>
        </w:rPr>
      </w:pPr>
      <w:r>
        <w:rPr>
          <w:rFonts w:ascii="Times New Roman" w:cs="Times New Roman" w:eastAsia="Times New Roman" w:hAnsi="Times New Roman"/>
          <w:sz w:val="20"/>
          <w:szCs w:val="20"/>
          <w:color w:val="auto"/>
        </w:rPr>
        <w:t>We expect that the ACA, the IRA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9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20"/>
          <w:szCs w:val="20"/>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9"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0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0"/>
          <w:szCs w:val="20"/>
          <w:b w:val="1"/>
          <w:bCs w:val="1"/>
          <w:color w:val="auto"/>
        </w:rPr>
        <w:t>Our relationships with customers and third 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83" w:lineRule="exact"/>
        <w:rPr>
          <w:sz w:val="20"/>
          <w:szCs w:val="20"/>
          <w:color w:val="auto"/>
        </w:rPr>
      </w:pPr>
    </w:p>
    <w:p>
      <w:pPr>
        <w:ind w:right="60" w:firstLine="630"/>
        <w:spacing w:after="0" w:line="256" w:lineRule="auto"/>
        <w:rPr>
          <w:sz w:val="20"/>
          <w:szCs w:val="20"/>
          <w:color w:val="auto"/>
        </w:rPr>
      </w:pPr>
      <w:r>
        <w:rPr>
          <w:rFonts w:ascii="Times New Roman" w:cs="Times New Roman" w:eastAsia="Times New Roman" w:hAnsi="Times New Roman"/>
          <w:sz w:val="20"/>
          <w:szCs w:val="20"/>
          <w:color w:val="auto"/>
        </w:rPr>
        <w:t>Health care providers and third party payors play a primary role in the recommendation and prescription of any product candidates for which we or our collaborators obtain marketing approval. Our future arrangements with third 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spacing w:after="0" w:line="88" w:lineRule="exact"/>
        <w:rPr>
          <w:sz w:val="20"/>
          <w:szCs w:val="20"/>
          <w:color w:val="auto"/>
        </w:rPr>
      </w:pPr>
    </w:p>
    <w:p>
      <w:pPr>
        <w:ind w:left="720" w:right="100" w:hanging="370"/>
        <w:spacing w:after="0" w:line="278" w:lineRule="auto"/>
        <w:tabs>
          <w:tab w:leader="none" w:pos="7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67" w:lineRule="exact"/>
        <w:rPr>
          <w:rFonts w:ascii="Times New Roman" w:cs="Times New Roman" w:eastAsia="Times New Roman" w:hAnsi="Times New Roman"/>
          <w:sz w:val="19"/>
          <w:szCs w:val="19"/>
          <w:color w:val="auto"/>
        </w:rPr>
      </w:pPr>
    </w:p>
    <w:p>
      <w:pPr>
        <w:ind w:left="720" w:right="60" w:hanging="370"/>
        <w:spacing w:after="0" w:line="258"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3" w:lineRule="exact"/>
        <w:rPr>
          <w:rFonts w:ascii="Times New Roman" w:cs="Times New Roman" w:eastAsia="Times New Roman" w:hAnsi="Times New Roman"/>
          <w:sz w:val="20"/>
          <w:szCs w:val="20"/>
          <w:color w:val="auto"/>
        </w:rPr>
      </w:pPr>
    </w:p>
    <w:p>
      <w:pPr>
        <w:ind w:left="720" w:right="300" w:hanging="370"/>
        <w:spacing w:after="0" w:line="28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imposes criminal and civil liability for, among other things, executing or attempting to execute a scheme to defraud any health care benefit program or making false statements relating to health care matters;</w:t>
      </w:r>
    </w:p>
    <w:p>
      <w:pPr>
        <w:spacing w:after="0" w:line="61" w:lineRule="exact"/>
        <w:rPr>
          <w:rFonts w:ascii="Times New Roman" w:cs="Times New Roman" w:eastAsia="Times New Roman" w:hAnsi="Times New Roman"/>
          <w:sz w:val="20"/>
          <w:szCs w:val="20"/>
          <w:color w:val="auto"/>
        </w:rPr>
      </w:pPr>
    </w:p>
    <w:p>
      <w:pPr>
        <w:ind w:left="720" w:right="960" w:hanging="370"/>
        <w:spacing w:after="0" w:line="266"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Times New Roman" w:cs="Times New Roman" w:eastAsia="Times New Roman" w:hAnsi="Times New Roman"/>
          <w:sz w:val="20"/>
          <w:szCs w:val="20"/>
          <w:color w:val="auto"/>
        </w:rPr>
      </w:pPr>
    </w:p>
    <w:p>
      <w:pPr>
        <w:ind w:left="720" w:right="20" w:hanging="370"/>
        <w:spacing w:after="0" w:line="278" w:lineRule="auto"/>
        <w:tabs>
          <w:tab w:leader="none" w:pos="7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w:t>
      </w:r>
    </w:p>
    <w:p>
      <w:pPr>
        <w:sectPr>
          <w:pgSz w:w="12240" w:h="15840" w:orient="portrait"/>
          <w:cols w:equalWidth="0" w:num="1">
            <w:col w:w="10240"/>
          </w:cols>
          <w:pgMar w:left="1000" w:top="793" w:right="1000" w:bottom="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40"/>
          </w:cols>
          <w:pgMar w:left="1000" w:top="793" w:right="1000" w:bottom="0" w:gutter="0" w:footer="0" w:header="0"/>
          <w:type w:val="continuous"/>
        </w:sectPr>
      </w:pPr>
    </w:p>
    <w:bookmarkStart w:id="39" w:name="page40"/>
    <w:bookmarkEnd w:id="39"/>
    <w:p>
      <w:pPr>
        <w:ind w:left="720"/>
        <w:spacing w:after="0" w:line="281" w:lineRule="auto"/>
        <w:rPr>
          <w:sz w:val="20"/>
          <w:szCs w:val="20"/>
          <w:color w:val="auto"/>
        </w:rPr>
      </w:pPr>
      <w:r>
        <w:rPr>
          <w:rFonts w:ascii="Times New Roman" w:cs="Times New Roman" w:eastAsia="Times New Roman" w:hAnsi="Times New Roman"/>
          <w:sz w:val="20"/>
          <w:szCs w:val="20"/>
          <w:color w:val="auto"/>
        </w:rPr>
        <w:t>physicians and their immediate family members. The information was initially made publicly available on a searchable website in September 2014 and is disclosed on an annual basis; and</w:t>
      </w:r>
    </w:p>
    <w:p>
      <w:pPr>
        <w:spacing w:after="0" w:line="61" w:lineRule="exact"/>
        <w:rPr>
          <w:sz w:val="20"/>
          <w:szCs w:val="20"/>
          <w:color w:val="auto"/>
        </w:rPr>
      </w:pPr>
    </w:p>
    <w:p>
      <w:pPr>
        <w:ind w:left="720" w:right="80" w:hanging="370"/>
        <w:spacing w:after="0" w:line="266"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may apply to sales or marketing arrangements and claims involving health care items or services reimbursed by non-governmental third party payors, including private insurers.</w:t>
      </w:r>
    </w:p>
    <w:p>
      <w:pPr>
        <w:spacing w:after="0" w:line="75" w:lineRule="exact"/>
        <w:rPr>
          <w:sz w:val="20"/>
          <w:szCs w:val="20"/>
          <w:color w:val="auto"/>
        </w:rPr>
      </w:pPr>
    </w:p>
    <w:p>
      <w:pPr>
        <w:ind w:right="160" w:firstLine="630"/>
        <w:spacing w:after="0" w:line="258" w:lineRule="auto"/>
        <w:rPr>
          <w:sz w:val="20"/>
          <w:szCs w:val="20"/>
          <w:color w:val="auto"/>
        </w:rPr>
      </w:pPr>
      <w:r>
        <w:rPr>
          <w:rFonts w:ascii="Times New Roman" w:cs="Times New Roman" w:eastAsia="Times New Roman" w:hAnsi="Times New Roman"/>
          <w:sz w:val="20"/>
          <w:szCs w:val="20"/>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84"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20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20"/>
          <w:szCs w:val="20"/>
          <w:b w:val="1"/>
          <w:bCs w:val="1"/>
          <w:color w:val="auto"/>
        </w:rPr>
        <w:t>Our failure to comply with privacy and data security laws, regulations and standards may cause our business to be materially adversely affected.</w:t>
      </w:r>
    </w:p>
    <w:p>
      <w:pPr>
        <w:spacing w:after="0" w:line="59" w:lineRule="exact"/>
        <w:rPr>
          <w:sz w:val="20"/>
          <w:szCs w:val="20"/>
          <w:color w:val="auto"/>
        </w:rPr>
      </w:pPr>
    </w:p>
    <w:p>
      <w:pPr>
        <w:ind w:right="20" w:firstLine="630"/>
        <w:spacing w:after="0" w:line="252" w:lineRule="auto"/>
        <w:rPr>
          <w:sz w:val="20"/>
          <w:szCs w:val="20"/>
          <w:color w:val="auto"/>
        </w:rPr>
      </w:pPr>
      <w:r>
        <w:rPr>
          <w:rFonts w:ascii="Times New Roman" w:cs="Times New Roman" w:eastAsia="Times New Roman" w:hAnsi="Times New Roman"/>
          <w:sz w:val="20"/>
          <w:szCs w:val="20"/>
          <w:color w:val="auto"/>
        </w:rPr>
        <w:t>We process a quantity of sensitive, confidential and/or regulated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processing and protection of personal information, including federal and state health information privacy laws, federal and state security breach notification laws, and federal and state consumer protection laws. In the EU and United Kingdom (“UK”), their respective General Data Protection Regulations (collectively, “GDPR”), which apply extraterritorially, impose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(including the United States). Companies that must comply with the GDPR face increased compliance obligations and risk, including more robust regulatory enforcement of data protection requirements and potential fines for noncompliance of up to €20 million (approximately $22.6 million) or 4 percent of the annual global revenues of the noncompliant company, whichever is greater.</w:t>
      </w:r>
    </w:p>
    <w:p>
      <w:pPr>
        <w:spacing w:after="0" w:line="98"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impact our compliance efforts. For example, California enacted the California Consumer Privacy Act (as amended, the “CCPA”). Failure to comply with the CCPA may result in significant civil penalties, injunctive relief, or statutory or actual damages as determined by the California Privacy Protection Agency or the California Attorney General. Following California’s lead, 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has a broader scope than HIPAA and includes a private right of action. In addition, various comprehensive federal privacy bills have been proposed in Congress.</w:t>
      </w:r>
    </w:p>
    <w:p>
      <w:pPr>
        <w:spacing w:after="0" w:line="91" w:lineRule="exact"/>
        <w:rPr>
          <w:sz w:val="20"/>
          <w:szCs w:val="20"/>
          <w:color w:val="auto"/>
        </w:rPr>
      </w:pPr>
    </w:p>
    <w:p>
      <w:pPr>
        <w:ind w:right="240" w:firstLine="630"/>
        <w:spacing w:after="0" w:line="258" w:lineRule="auto"/>
        <w:rPr>
          <w:sz w:val="20"/>
          <w:szCs w:val="20"/>
          <w:color w:val="auto"/>
        </w:rPr>
      </w:pPr>
      <w:r>
        <w:rPr>
          <w:rFonts w:ascii="Times New Roman" w:cs="Times New Roman" w:eastAsia="Times New Roman" w:hAnsi="Times New Roman"/>
          <w:sz w:val="20"/>
          <w:szCs w:val="20"/>
          <w:color w:val="auto"/>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40"/>
          </w:cols>
          <w:pgMar w:left="1000" w:top="793" w:right="1000" w:bottom="0" w:gutter="0" w:footer="0" w:header="0"/>
          <w:type w:val="continuous"/>
        </w:sectPr>
      </w:pPr>
    </w:p>
    <w:bookmarkStart w:id="40" w:name="page41"/>
    <w:bookmarkEnd w:id="40"/>
    <w:p>
      <w:pPr>
        <w:ind w:right="20" w:firstLine="630"/>
        <w:spacing w:after="0" w:line="254" w:lineRule="auto"/>
        <w:rPr>
          <w:sz w:val="20"/>
          <w:szCs w:val="20"/>
          <w:color w:val="auto"/>
        </w:rPr>
      </w:pPr>
      <w:r>
        <w:rPr>
          <w:rFonts w:ascii="Times New Roman" w:cs="Times New Roman" w:eastAsia="Times New Roman" w:hAnsi="Times New Roman"/>
          <w:sz w:val="20"/>
          <w:szCs w:val="20"/>
          <w:color w:val="auto"/>
        </w:rPr>
        <w:t>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 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spacing w:after="0" w:line="93"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spacing w:after="0" w:line="20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0"/>
          <w:szCs w:val="20"/>
          <w:b w:val="1"/>
          <w:bCs w:val="1"/>
          <w:color w:val="auto"/>
        </w:rPr>
        <w:t>Our employees may engage in misconduct or other improper activities, including noncompliance with regulatory standards and requirements and insider trading.</w:t>
      </w:r>
    </w:p>
    <w:p>
      <w:pPr>
        <w:spacing w:after="0" w:line="59"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13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20"/>
          <w:szCs w:val="20"/>
          <w:b w:val="1"/>
          <w:bCs w:val="1"/>
          <w:color w:val="auto"/>
        </w:rPr>
        <w:t>If we are unable to obtain or protect intellectual property rights, we may not be able to compete effectively in our market.</w:t>
      </w:r>
    </w:p>
    <w:p>
      <w:pPr>
        <w:spacing w:after="0" w:line="59" w:lineRule="exact"/>
        <w:rPr>
          <w:sz w:val="20"/>
          <w:szCs w:val="20"/>
          <w:color w:val="auto"/>
        </w:rPr>
      </w:pPr>
    </w:p>
    <w:p>
      <w:pPr>
        <w:ind w:right="60" w:firstLine="630"/>
        <w:spacing w:after="0" w:line="267" w:lineRule="auto"/>
        <w:rPr>
          <w:sz w:val="20"/>
          <w:szCs w:val="20"/>
          <w:color w:val="auto"/>
        </w:rPr>
      </w:pPr>
      <w:r>
        <w:rPr>
          <w:rFonts w:ascii="Times New Roman" w:cs="Times New Roman" w:eastAsia="Times New Roman" w:hAnsi="Times New Roman"/>
          <w:sz w:val="19"/>
          <w:szCs w:val="19"/>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20"/>
          </w:cols>
          <w:pgMar w:left="1000" w:top="793" w:right="1020" w:bottom="0" w:gutter="0" w:footer="0" w:header="0"/>
          <w:type w:val="continuous"/>
        </w:sectPr>
      </w:pPr>
    </w:p>
    <w:bookmarkStart w:id="41" w:name="page42"/>
    <w:bookmarkEnd w:id="41"/>
    <w:p>
      <w:pPr>
        <w:ind w:right="20"/>
        <w:spacing w:after="0" w:line="278" w:lineRule="auto"/>
        <w:rPr>
          <w:sz w:val="20"/>
          <w:szCs w:val="20"/>
          <w:color w:val="auto"/>
        </w:rPr>
      </w:pPr>
      <w:r>
        <w:rPr>
          <w:rFonts w:ascii="Times New Roman" w:cs="Times New Roman" w:eastAsia="Times New Roman" w:hAnsi="Times New Roman"/>
          <w:sz w:val="19"/>
          <w:szCs w:val="19"/>
          <w:color w:val="auto"/>
        </w:rPr>
        <w:t>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68"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88"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93"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88"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40"/>
          </w:cols>
          <w:pgMar w:left="1000" w:top="793" w:right="100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We may not be able to protect our intellectual property rights throughout the world.</w:t>
      </w:r>
    </w:p>
    <w:p>
      <w:pPr>
        <w:spacing w:after="0" w:line="137" w:lineRule="exact"/>
        <w:rPr>
          <w:sz w:val="20"/>
          <w:szCs w:val="20"/>
          <w:color w:val="auto"/>
        </w:rPr>
      </w:pPr>
    </w:p>
    <w:p>
      <w:pPr>
        <w:ind w:right="120" w:firstLine="630"/>
        <w:spacing w:after="0" w:line="253" w:lineRule="auto"/>
        <w:rPr>
          <w:sz w:val="20"/>
          <w:szCs w:val="20"/>
          <w:color w:val="auto"/>
        </w:rPr>
      </w:pPr>
      <w:r>
        <w:rPr>
          <w:rFonts w:ascii="Times New Roman" w:cs="Times New Roman" w:eastAsia="Times New Roman" w:hAnsi="Times New Roman"/>
          <w:sz w:val="20"/>
          <w:szCs w:val="20"/>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88"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20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0"/>
          <w:szCs w:val="20"/>
          <w:b w:val="1"/>
          <w:bCs w:val="1"/>
          <w:color w:val="auto"/>
        </w:rPr>
        <w:t>Changes in patent law could diminish the value of patents in general, thereby impairing our ability to protect our product candidates.</w:t>
      </w:r>
    </w:p>
    <w:p>
      <w:pPr>
        <w:spacing w:after="0" w:line="59" w:lineRule="exact"/>
        <w:rPr>
          <w:sz w:val="20"/>
          <w:szCs w:val="20"/>
          <w:color w:val="auto"/>
        </w:rPr>
      </w:pPr>
    </w:p>
    <w:p>
      <w:pPr>
        <w:ind w:right="560" w:firstLine="630"/>
        <w:spacing w:after="0" w:line="286" w:lineRule="auto"/>
        <w:rPr>
          <w:sz w:val="20"/>
          <w:szCs w:val="20"/>
          <w:color w:val="auto"/>
        </w:rPr>
      </w:pPr>
      <w:r>
        <w:rPr>
          <w:rFonts w:ascii="Times New Roman" w:cs="Times New Roman" w:eastAsia="Times New Roman" w:hAnsi="Times New Roman"/>
          <w:sz w:val="19"/>
          <w:szCs w:val="19"/>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59" w:lineRule="exact"/>
        <w:rPr>
          <w:sz w:val="20"/>
          <w:szCs w:val="20"/>
          <w:color w:val="auto"/>
        </w:rPr>
      </w:pPr>
    </w:p>
    <w:p>
      <w:pPr>
        <w:ind w:right="100" w:firstLine="630"/>
        <w:spacing w:after="0" w:line="258" w:lineRule="auto"/>
        <w:rPr>
          <w:sz w:val="20"/>
          <w:szCs w:val="20"/>
          <w:color w:val="auto"/>
        </w:rPr>
      </w:pPr>
      <w:r>
        <w:rPr>
          <w:rFonts w:ascii="Times New Roman" w:cs="Times New Roman" w:eastAsia="Times New Roman" w:hAnsi="Times New Roman"/>
          <w:sz w:val="20"/>
          <w:szCs w:val="20"/>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84"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88" w:lineRule="exact"/>
        <w:rPr>
          <w:sz w:val="20"/>
          <w:szCs w:val="20"/>
          <w:color w:val="auto"/>
        </w:rPr>
      </w:pPr>
    </w:p>
    <w:p>
      <w:pPr>
        <w:ind w:right="60" w:firstLine="630"/>
        <w:spacing w:after="0" w:line="254" w:lineRule="auto"/>
        <w:rPr>
          <w:sz w:val="20"/>
          <w:szCs w:val="20"/>
          <w:color w:val="auto"/>
        </w:rPr>
      </w:pPr>
      <w:r>
        <w:rPr>
          <w:rFonts w:ascii="Times New Roman" w:cs="Times New Roman" w:eastAsia="Times New Roman" w:hAnsi="Times New Roman"/>
          <w:sz w:val="20"/>
          <w:szCs w:val="20"/>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89" w:lineRule="exact"/>
        <w:rPr>
          <w:sz w:val="20"/>
          <w:szCs w:val="20"/>
          <w:color w:val="auto"/>
        </w:rPr>
      </w:pPr>
    </w:p>
    <w:p>
      <w:pPr>
        <w:ind w:right="80" w:firstLine="630"/>
        <w:spacing w:after="0" w:line="286" w:lineRule="auto"/>
        <w:rPr>
          <w:sz w:val="20"/>
          <w:szCs w:val="20"/>
          <w:color w:val="auto"/>
        </w:rPr>
      </w:pPr>
      <w:r>
        <w:rPr>
          <w:rFonts w:ascii="Times New Roman" w:cs="Times New Roman" w:eastAsia="Times New Roman" w:hAnsi="Times New Roman"/>
          <w:sz w:val="19"/>
          <w:szCs w:val="19"/>
          <w:color w:val="auto"/>
        </w:rPr>
        <w:t>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40"/>
          </w:cols>
          <w:pgMar w:left="1000" w:top="786" w:right="1000" w:bottom="0" w:gutter="0" w:footer="0" w:header="0"/>
          <w:type w:val="continuous"/>
        </w:sectPr>
      </w:pPr>
    </w:p>
    <w:bookmarkStart w:id="43" w:name="page44"/>
    <w:bookmarkEnd w:id="43"/>
    <w:p>
      <w:pPr>
        <w:spacing w:after="0" w:line="253" w:lineRule="auto"/>
        <w:rPr>
          <w:sz w:val="20"/>
          <w:szCs w:val="20"/>
          <w:color w:val="auto"/>
        </w:rPr>
      </w:pPr>
      <w:r>
        <w:rPr>
          <w:rFonts w:ascii="Times New Roman" w:cs="Times New Roman" w:eastAsia="Times New Roman" w:hAnsi="Times New Roman"/>
          <w:sz w:val="20"/>
          <w:szCs w:val="20"/>
          <w:color w:val="auto"/>
        </w:rPr>
        <w:t xml:space="preserve">on our business and financial conditions. For example, the U.S. Supreme Court and the U.S. Court of Appeals for the Federal Circuit rendered decisions in several patent cases such as </w:t>
      </w:r>
      <w:r>
        <w:rPr>
          <w:rFonts w:ascii="Times New Roman" w:cs="Times New Roman" w:eastAsia="Times New Roman" w:hAnsi="Times New Roman"/>
          <w:sz w:val="20"/>
          <w:szCs w:val="20"/>
          <w:b w:val="1"/>
          <w:bCs w:val="1"/>
          <w:i w:val="1"/>
          <w:iCs w:val="1"/>
          <w:color w:val="auto"/>
        </w:rPr>
        <w:t>Association for Molecular Pathology v. Myriad Genetics, Inc.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BRCA1- &amp; BRCA2-Based Hereditary Cancer Test Patent Litig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Mayo Collaborative Services v. Prometheus Laboratories, Inc., </w:t>
      </w: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b w:val="1"/>
          <w:bCs w:val="1"/>
          <w:i w:val="1"/>
          <w:iCs w:val="1"/>
          <w:color w:val="auto"/>
        </w:rPr>
        <w:t>Alice Corporation Pty. Ltd. v. CLS Bank International</w:t>
      </w:r>
      <w:r>
        <w:rPr>
          <w:rFonts w:ascii="Times New Roman" w:cs="Times New Roman" w:eastAsia="Times New Roman" w:hAnsi="Times New Roman"/>
          <w:sz w:val="20"/>
          <w:szCs w:val="20"/>
          <w:color w:val="auto"/>
        </w:rPr>
        <w:t>,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20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7"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20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9"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 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93" w:lineRule="exact"/>
        <w:rPr>
          <w:sz w:val="20"/>
          <w:szCs w:val="20"/>
          <w:color w:val="auto"/>
        </w:rPr>
      </w:pPr>
    </w:p>
    <w:p>
      <w:pPr>
        <w:ind w:right="60" w:firstLine="630"/>
        <w:spacing w:after="0" w:line="253" w:lineRule="auto"/>
        <w:rPr>
          <w:sz w:val="20"/>
          <w:szCs w:val="20"/>
          <w:color w:val="auto"/>
        </w:rPr>
      </w:pPr>
      <w:r>
        <w:rPr>
          <w:rFonts w:ascii="Times New Roman" w:cs="Times New Roman" w:eastAsia="Times New Roman" w:hAnsi="Times New Roman"/>
          <w:sz w:val="20"/>
          <w:szCs w:val="20"/>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spacing w:after="0" w:line="20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20"/>
          <w:szCs w:val="20"/>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9" w:lineRule="exact"/>
        <w:rPr>
          <w:sz w:val="20"/>
          <w:szCs w:val="20"/>
          <w:color w:val="auto"/>
        </w:rPr>
      </w:pPr>
    </w:p>
    <w:p>
      <w:pPr>
        <w:ind w:firstLine="630"/>
        <w:spacing w:after="0" w:line="275" w:lineRule="auto"/>
        <w:rPr>
          <w:sz w:val="20"/>
          <w:szCs w:val="20"/>
          <w:color w:val="auto"/>
        </w:rPr>
      </w:pPr>
      <w:r>
        <w:rPr>
          <w:rFonts w:ascii="Times New Roman" w:cs="Times New Roman" w:eastAsia="Times New Roman" w:hAnsi="Times New Roman"/>
          <w:sz w:val="19"/>
          <w:szCs w:val="19"/>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to protect our or our licensors’, licensees’ or collaborators’ trade secrets or to determine the validity or scope of intellectual property rights we own or control. Also, third parties may initiate legal proceedings against us or our licensors,</w:t>
      </w:r>
    </w:p>
    <w:p>
      <w:pPr>
        <w:sectPr>
          <w:pgSz w:w="12240" w:h="15840" w:orient="portrait"/>
          <w:cols w:equalWidth="0" w:num="1">
            <w:col w:w="10240"/>
          </w:cols>
          <w:pgMar w:left="1000" w:top="793" w:right="100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40"/>
          </w:cols>
          <w:pgMar w:left="1000" w:top="793" w:right="1000" w:bottom="0" w:gutter="0" w:footer="0" w:header="0"/>
          <w:type w:val="continuous"/>
        </w:sectPr>
      </w:pPr>
    </w:p>
    <w:bookmarkStart w:id="44" w:name="page45"/>
    <w:bookmarkEnd w:id="44"/>
    <w:p>
      <w:pPr>
        <w:ind w:right="40"/>
        <w:spacing w:after="0" w:line="254" w:lineRule="auto"/>
        <w:rPr>
          <w:sz w:val="20"/>
          <w:szCs w:val="20"/>
          <w:color w:val="auto"/>
        </w:rPr>
      </w:pPr>
      <w:r>
        <w:rPr>
          <w:rFonts w:ascii="Times New Roman" w:cs="Times New Roman" w:eastAsia="Times New Roman" w:hAnsi="Times New Roman"/>
          <w:sz w:val="20"/>
          <w:szCs w:val="20"/>
          <w:color w:val="auto"/>
        </w:rPr>
        <w:t>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93" w:lineRule="exact"/>
        <w:rPr>
          <w:sz w:val="20"/>
          <w:szCs w:val="20"/>
          <w:color w:val="auto"/>
        </w:rPr>
      </w:pPr>
    </w:p>
    <w:p>
      <w:pPr>
        <w:ind w:right="120" w:firstLine="630"/>
        <w:spacing w:after="0" w:line="258" w:lineRule="auto"/>
        <w:rPr>
          <w:sz w:val="20"/>
          <w:szCs w:val="20"/>
          <w:color w:val="auto"/>
        </w:rPr>
      </w:pPr>
      <w:r>
        <w:rPr>
          <w:rFonts w:ascii="Times New Roman" w:cs="Times New Roman" w:eastAsia="Times New Roman" w:hAnsi="Times New Roman"/>
          <w:sz w:val="20"/>
          <w:szCs w:val="20"/>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84"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 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91" w:lineRule="exact"/>
        <w:rPr>
          <w:sz w:val="20"/>
          <w:szCs w:val="20"/>
          <w:color w:val="auto"/>
        </w:rPr>
      </w:pPr>
    </w:p>
    <w:p>
      <w:pPr>
        <w:ind w:right="20" w:firstLine="630"/>
        <w:spacing w:after="0" w:line="258" w:lineRule="auto"/>
        <w:rPr>
          <w:sz w:val="20"/>
          <w:szCs w:val="20"/>
          <w:color w:val="auto"/>
        </w:rPr>
      </w:pPr>
      <w:r>
        <w:rPr>
          <w:rFonts w:ascii="Times New Roman" w:cs="Times New Roman" w:eastAsia="Times New Roman" w:hAnsi="Times New Roman"/>
          <w:sz w:val="20"/>
          <w:szCs w:val="20"/>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84" w:lineRule="exact"/>
        <w:rPr>
          <w:sz w:val="20"/>
          <w:szCs w:val="20"/>
          <w:color w:val="auto"/>
        </w:rPr>
      </w:pPr>
    </w:p>
    <w:p>
      <w:pPr>
        <w:ind w:right="40" w:firstLine="630"/>
        <w:spacing w:after="0" w:line="258"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97"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20"/>
          <w:szCs w:val="20"/>
          <w:b w:val="1"/>
          <w:bCs w:val="1"/>
          <w:color w:val="auto"/>
        </w:rPr>
        <w:t>If we breach the license agreements related to our product candidates, we could lose the ability to continue the development and commercialization of our product candidates.</w:t>
      </w:r>
    </w:p>
    <w:p>
      <w:pPr>
        <w:spacing w:after="0" w:line="59"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Our commercial success depends upon our ability, and the ability of our licensors, licensees and collaborators, to develop, manufacture, market and sell our product candidates and use our and our licensors’, licensees’ or collaborators’ wholly owned technologies without infringing the proprietary rights of third parties. A third party may hold intellectual property, 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Disputes may arise regarding intellectual property subject to a licensing agreement, including:</w:t>
      </w:r>
    </w:p>
    <w:p>
      <w:pPr>
        <w:spacing w:after="0" w:line="130"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40"/>
          </w:cols>
          <w:pgMar w:left="1000" w:top="793" w:right="1000" w:bottom="0" w:gutter="0" w:footer="0" w:header="0"/>
          <w:type w:val="continuous"/>
        </w:sectPr>
      </w:pPr>
    </w:p>
    <w:bookmarkStart w:id="45" w:name="page46"/>
    <w:bookmarkEnd w:id="45"/>
    <w:p>
      <w:pPr>
        <w:ind w:left="720" w:right="140" w:hanging="37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our technology and processes infringe on intellectual property of the licensor that is not subject to the licensing agreement;</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sublicensing of patent and other rights under any collaboration relationships we might enter into in the future;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20"/>
          <w:szCs w:val="20"/>
          <w:color w:val="auto"/>
        </w:rPr>
      </w:pPr>
    </w:p>
    <w:p>
      <w:pPr>
        <w:ind w:left="720" w:right="240" w:hanging="37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ownership of inventions and know-how resulting from the joint creation or use of intellectual property by us and our licensors, licensees or collaborators; and</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priority of invention of patented technology.</w:t>
      </w:r>
    </w:p>
    <w:p>
      <w:pPr>
        <w:spacing w:after="0" w:line="130" w:lineRule="exact"/>
        <w:rPr>
          <w:sz w:val="20"/>
          <w:szCs w:val="20"/>
          <w:color w:val="auto"/>
        </w:rPr>
      </w:pPr>
    </w:p>
    <w:p>
      <w:pPr>
        <w:ind w:right="40" w:firstLine="630"/>
        <w:spacing w:after="0" w:line="266" w:lineRule="auto"/>
        <w:rPr>
          <w:sz w:val="20"/>
          <w:szCs w:val="20"/>
          <w:color w:val="auto"/>
        </w:rPr>
      </w:pPr>
      <w:r>
        <w:rPr>
          <w:rFonts w:ascii="Times New Roman" w:cs="Times New Roman" w:eastAsia="Times New Roman" w:hAnsi="Times New Roman"/>
          <w:sz w:val="20"/>
          <w:szCs w:val="20"/>
          <w:color w:val="auto"/>
        </w:rPr>
        <w:t>If disputes over intellectual property that we have licensed prevent or impair our ability to maintain any future licensing arrangements on acceptable terms, we may be unable to successfully develop and commercialize the affected product candidates.</w:t>
      </w:r>
    </w:p>
    <w:p>
      <w:pPr>
        <w:spacing w:after="0" w:line="18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0"/>
          <w:szCs w:val="20"/>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83" w:lineRule="exact"/>
        <w:rPr>
          <w:sz w:val="20"/>
          <w:szCs w:val="20"/>
          <w:color w:val="auto"/>
        </w:rPr>
      </w:pPr>
    </w:p>
    <w:p>
      <w:pPr>
        <w:ind w:right="20" w:firstLine="630"/>
        <w:spacing w:after="0" w:line="255" w:lineRule="auto"/>
        <w:rPr>
          <w:sz w:val="20"/>
          <w:szCs w:val="20"/>
          <w:color w:val="auto"/>
        </w:rPr>
      </w:pPr>
      <w:r>
        <w:rPr>
          <w:rFonts w:ascii="Times New Roman" w:cs="Times New Roman" w:eastAsia="Times New Roman" w:hAnsi="Times New Roman"/>
          <w:sz w:val="20"/>
          <w:szCs w:val="20"/>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90"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20"/>
          <w:szCs w:val="20"/>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9" w:lineRule="exact"/>
        <w:rPr>
          <w:sz w:val="20"/>
          <w:szCs w:val="20"/>
          <w:color w:val="auto"/>
        </w:rPr>
      </w:pPr>
    </w:p>
    <w:p>
      <w:pPr>
        <w:ind w:right="40" w:firstLine="630"/>
        <w:spacing w:after="0" w:line="255" w:lineRule="auto"/>
        <w:rPr>
          <w:sz w:val="20"/>
          <w:szCs w:val="20"/>
          <w:color w:val="auto"/>
        </w:rPr>
      </w:pPr>
      <w:r>
        <w:rPr>
          <w:rFonts w:ascii="Times New Roman" w:cs="Times New Roman" w:eastAsia="Times New Roman" w:hAnsi="Times New Roman"/>
          <w:sz w:val="20"/>
          <w:szCs w:val="20"/>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90" w:lineRule="exact"/>
        <w:rPr>
          <w:sz w:val="20"/>
          <w:szCs w:val="20"/>
          <w:color w:val="auto"/>
        </w:rPr>
      </w:pPr>
    </w:p>
    <w:p>
      <w:pPr>
        <w:ind w:right="100" w:firstLine="630"/>
        <w:spacing w:after="0" w:line="256" w:lineRule="auto"/>
        <w:rPr>
          <w:sz w:val="20"/>
          <w:szCs w:val="20"/>
          <w:color w:val="auto"/>
        </w:rPr>
      </w:pPr>
      <w:r>
        <w:rPr>
          <w:rFonts w:ascii="Times New Roman" w:cs="Times New Roman" w:eastAsia="Times New Roman" w:hAnsi="Times New Roman"/>
          <w:sz w:val="20"/>
          <w:szCs w:val="20"/>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0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20"/>
          <w:szCs w:val="20"/>
          <w:b w:val="1"/>
          <w:bCs w:val="1"/>
          <w:color w:val="auto"/>
        </w:rPr>
        <w:t>Our inability to protect our confidential information and trade secrets would harm our business and competitive position.</w:t>
      </w:r>
    </w:p>
    <w:p>
      <w:pPr>
        <w:spacing w:after="0" w:line="5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In addition to seeking patents for some of our technology and products, we also rely on trade secrets, including</w:t>
      </w:r>
    </w:p>
    <w:p>
      <w:pPr>
        <w:spacing w:after="0" w:line="3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unpatented know-how, technology and other proprietary information, to maintain our competitive position. We seek to protect</w:t>
      </w:r>
    </w:p>
    <w:p>
      <w:pPr>
        <w:sectPr>
          <w:pgSz w:w="12240" w:h="15840" w:orient="portrait"/>
          <w:cols w:equalWidth="0" w:num="1">
            <w:col w:w="10240"/>
          </w:cols>
          <w:pgMar w:left="1000" w:top="793" w:right="1000" w:bottom="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40"/>
          </w:cols>
          <w:pgMar w:left="1000" w:top="793" w:right="1000" w:bottom="0" w:gutter="0" w:footer="0" w:header="0"/>
          <w:type w:val="continuous"/>
        </w:sectPr>
      </w:pPr>
    </w:p>
    <w:bookmarkStart w:id="46" w:name="page47"/>
    <w:bookmarkEnd w:id="46"/>
    <w:p>
      <w:pPr>
        <w:spacing w:after="0" w:line="253" w:lineRule="auto"/>
        <w:rPr>
          <w:sz w:val="20"/>
          <w:szCs w:val="20"/>
          <w:color w:val="auto"/>
        </w:rPr>
      </w:pPr>
      <w:r>
        <w:rPr>
          <w:rFonts w:ascii="Times New Roman" w:cs="Times New Roman" w:eastAsia="Times New Roman" w:hAnsi="Times New Roman"/>
          <w:sz w:val="20"/>
          <w:szCs w:val="20"/>
          <w:color w:val="auto"/>
        </w:rPr>
        <w:t>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20"/>
          <w:szCs w:val="20"/>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9"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328" w:lineRule="exact"/>
        <w:rPr>
          <w:sz w:val="20"/>
          <w:szCs w:val="20"/>
          <w:color w:val="auto"/>
        </w:rPr>
      </w:pPr>
    </w:p>
    <w:p>
      <w:pPr>
        <w:ind w:right="3400"/>
        <w:spacing w:after="0" w:line="399" w:lineRule="auto"/>
        <w:rPr>
          <w:sz w:val="20"/>
          <w:szCs w:val="20"/>
          <w:color w:val="auto"/>
        </w:rPr>
      </w:pPr>
      <w:r>
        <w:rPr>
          <w:rFonts w:ascii="Times New Roman" w:cs="Times New Roman" w:eastAsia="Times New Roman" w:hAnsi="Times New Roman"/>
          <w:sz w:val="19"/>
          <w:szCs w:val="19"/>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140" w:firstLine="630"/>
        <w:spacing w:after="0" w:line="254" w:lineRule="auto"/>
        <w:rPr>
          <w:sz w:val="20"/>
          <w:szCs w:val="20"/>
          <w:color w:val="auto"/>
        </w:rPr>
      </w:pPr>
      <w:r>
        <w:rPr>
          <w:rFonts w:ascii="Times New Roman" w:cs="Times New Roman" w:eastAsia="Times New Roman" w:hAnsi="Times New Roman"/>
          <w:sz w:val="20"/>
          <w:szCs w:val="20"/>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w:t>
      </w:r>
    </w:p>
    <w:p>
      <w:pPr>
        <w:spacing w:after="0" w:line="89" w:lineRule="exact"/>
        <w:rPr>
          <w:sz w:val="20"/>
          <w:szCs w:val="20"/>
          <w:color w:val="auto"/>
        </w:rPr>
      </w:pPr>
    </w:p>
    <w:p>
      <w:pPr>
        <w:ind w:right="120" w:firstLine="630"/>
        <w:spacing w:after="0" w:line="258" w:lineRule="auto"/>
        <w:rPr>
          <w:sz w:val="20"/>
          <w:szCs w:val="20"/>
          <w:color w:val="auto"/>
        </w:rPr>
      </w:pPr>
      <w:r>
        <w:rPr>
          <w:rFonts w:ascii="Times New Roman" w:cs="Times New Roman" w:eastAsia="Times New Roman" w:hAnsi="Times New Roman"/>
          <w:sz w:val="20"/>
          <w:szCs w:val="20"/>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9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20"/>
          <w:szCs w:val="20"/>
          <w:b w:val="1"/>
          <w:bCs w:val="1"/>
          <w:color w:val="auto"/>
        </w:rPr>
        <w:t>We expect to expand our development and regulatory capabilities, and as a result, we may encounter difficulties in managing our growth, which could disrupt our operations.</w:t>
      </w:r>
    </w:p>
    <w:p>
      <w:pPr>
        <w:spacing w:after="0" w:line="59"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40"/>
          </w:cols>
          <w:pgMar w:left="1000" w:top="793" w:right="1000" w:bottom="0" w:gutter="0" w:footer="0" w:header="0"/>
          <w:type w:val="continuous"/>
        </w:sectPr>
      </w:pPr>
    </w:p>
    <w:bookmarkStart w:id="47" w:name="page48"/>
    <w:bookmarkEnd w:id="47"/>
    <w:p>
      <w:pPr>
        <w:ind w:right="160"/>
        <w:spacing w:after="0" w:line="286" w:lineRule="auto"/>
        <w:rPr>
          <w:sz w:val="20"/>
          <w:szCs w:val="20"/>
          <w:color w:val="auto"/>
        </w:rPr>
      </w:pPr>
      <w:r>
        <w:rPr>
          <w:rFonts w:ascii="Times New Roman" w:cs="Times New Roman" w:eastAsia="Times New Roman" w:hAnsi="Times New Roman"/>
          <w:sz w:val="20"/>
          <w:szCs w:val="20"/>
          <w:b w:val="1"/>
          <w:bCs w:val="1"/>
          <w:color w:val="auto"/>
        </w:rPr>
        <w:t>Our internal computer systems, or those of our third-party collaborators or other service providers, may fail or suffer security breaches and cyber-attacks, which could result in a material disruption of our development programs.</w:t>
      </w:r>
    </w:p>
    <w:p>
      <w:pPr>
        <w:spacing w:after="0" w:line="59" w:lineRule="exact"/>
        <w:rPr>
          <w:sz w:val="20"/>
          <w:szCs w:val="20"/>
          <w:color w:val="auto"/>
        </w:rPr>
      </w:pPr>
    </w:p>
    <w:p>
      <w:pPr>
        <w:ind w:right="20" w:firstLine="630"/>
        <w:spacing w:after="0" w:line="252" w:lineRule="auto"/>
        <w:rPr>
          <w:sz w:val="20"/>
          <w:szCs w:val="20"/>
          <w:color w:val="auto"/>
        </w:rPr>
      </w:pPr>
      <w:r>
        <w:rPr>
          <w:rFonts w:ascii="Times New Roman" w:cs="Times New Roman" w:eastAsia="Times New Roman" w:hAnsi="Times New Roman"/>
          <w:sz w:val="20"/>
          <w:szCs w:val="20"/>
          <w:color w:val="auto"/>
        </w:rPr>
        <w:t>We are increasingly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Despite the implementation of security measures, any of the internal technology systems belonging to us, our collaborators or our third 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collaborators’ or in third party service providers’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sensitive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92"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Our system protections may be ineffective or inadequate, or we could be impacted by software bugs or other technical malfunctions, as well as employee error or malfeasance. Additionally, laws and regulations regarding privacy and data protection are evolving, and it is possible that they may be interpreted and applied in a manner that is inconsistent with our data handling safeguards and practices that could result in fines, lawsuits, and other penalties, and significant changes to our or our collaborators or third party service providers’ business practices and products and service offerings. To the extent that the measures we or our collaborators or third-party service providers have taken prove to be insufficient or inadequate, we may become subject to 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our collaborators to hacks, viruses, and other disruptions. For example, the loss of clinical trial data from completed or future clinical trials could result in delays in our regulatory approval efforts and significantly increase our costs to recover or reproduce the data.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spacing w:after="0" w:line="2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77" w:lineRule="exact"/>
        <w:rPr>
          <w:sz w:val="20"/>
          <w:szCs w:val="20"/>
          <w:color w:val="auto"/>
        </w:rPr>
      </w:pPr>
    </w:p>
    <w:p>
      <w:pPr>
        <w:ind w:right="80" w:firstLine="630"/>
        <w:spacing w:after="0" w:line="253" w:lineRule="auto"/>
        <w:rPr>
          <w:sz w:val="20"/>
          <w:szCs w:val="20"/>
          <w:color w:val="auto"/>
        </w:rPr>
      </w:pPr>
      <w:r>
        <w:rPr>
          <w:rFonts w:ascii="Times New Roman" w:cs="Times New Roman" w:eastAsia="Times New Roman" w:hAnsi="Times New Roman"/>
          <w:sz w:val="20"/>
          <w:szCs w:val="20"/>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ectPr>
          <w:pgSz w:w="12240" w:h="15840" w:orient="portrait"/>
          <w:cols w:equalWidth="0" w:num="1">
            <w:col w:w="10200"/>
          </w:cols>
          <w:pgMar w:left="1000" w:top="78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00"/>
          </w:cols>
          <w:pgMar w:left="1000" w:top="786" w:right="1040" w:bottom="0" w:gutter="0" w:footer="0" w:header="0"/>
          <w:type w:val="continuous"/>
        </w:sectPr>
      </w:pPr>
    </w:p>
    <w:bookmarkStart w:id="48" w:name="page49"/>
    <w:bookmarkEnd w:id="48"/>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Furthermore, integral parties in our supply chain are geographically concentrated and operating from single sites, increasing their vulnerability to natural disasters or other sudden, unforeseen and severe and/or material disruptions. If such an event were to affect our supply chain, it could have a material adverse effect on our business.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130"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20"/>
          <w:szCs w:val="20"/>
          <w:b w:val="1"/>
          <w:bCs w:val="1"/>
          <w:color w:val="auto"/>
        </w:rPr>
        <w:t>The market price of our stock has been and may continue to be volatile, and you could lose all or part of your investment.</w:t>
      </w:r>
    </w:p>
    <w:p>
      <w:pPr>
        <w:spacing w:after="0" w:line="59" w:lineRule="exact"/>
        <w:rPr>
          <w:sz w:val="20"/>
          <w:szCs w:val="20"/>
          <w:color w:val="auto"/>
        </w:rPr>
      </w:pPr>
    </w:p>
    <w:p>
      <w:pPr>
        <w:jc w:val="both"/>
        <w:ind w:right="220" w:firstLine="630"/>
        <w:spacing w:after="0" w:line="266" w:lineRule="auto"/>
        <w:rPr>
          <w:sz w:val="20"/>
          <w:szCs w:val="20"/>
          <w:color w:val="auto"/>
        </w:rPr>
      </w:pPr>
      <w:r>
        <w:rPr>
          <w:rFonts w:ascii="Times New Roman" w:cs="Times New Roman" w:eastAsia="Times New Roman" w:hAnsi="Times New Roman"/>
          <w:sz w:val="20"/>
          <w:szCs w:val="20"/>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75"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competitive products;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actions with respect to our products or our competitors’ products;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growth rate relative to our competitors;</w:t>
      </w:r>
    </w:p>
    <w:p>
      <w:pPr>
        <w:spacing w:after="0" w:line="130" w:lineRule="exact"/>
        <w:rPr>
          <w:rFonts w:ascii="Times New Roman" w:cs="Times New Roman" w:eastAsia="Times New Roman" w:hAnsi="Times New Roman"/>
          <w:sz w:val="20"/>
          <w:szCs w:val="20"/>
          <w:color w:val="auto"/>
        </w:rPr>
      </w:pPr>
    </w:p>
    <w:p>
      <w:pPr>
        <w:ind w:left="720" w:right="920" w:hanging="370"/>
        <w:spacing w:after="0" w:line="28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acquisitions, strategic collaborations, joint ventures, collaborations or capital commitments;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preclinical studies and clinical trials of our product candidates or those of our competitors;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or legal developments in the United States and other countries;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expenses related to any of our product candidates or clinical development programs;</w:t>
      </w:r>
    </w:p>
    <w:p>
      <w:pPr>
        <w:spacing w:after="0" w:line="130" w:lineRule="exact"/>
        <w:rPr>
          <w:rFonts w:ascii="Times New Roman" w:cs="Times New Roman" w:eastAsia="Times New Roman" w:hAnsi="Times New Roman"/>
          <w:sz w:val="20"/>
          <w:szCs w:val="20"/>
          <w:color w:val="auto"/>
        </w:rPr>
      </w:pPr>
    </w:p>
    <w:p>
      <w:pPr>
        <w:ind w:left="720" w:right="760" w:hanging="370"/>
        <w:spacing w:after="0" w:line="28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with respect to our existing collaboration agreements and announcements of new collaboration agreements;</w:t>
      </w:r>
    </w:p>
    <w:p>
      <w:pPr>
        <w:spacing w:after="0" w:line="61" w:lineRule="exact"/>
        <w:rPr>
          <w:rFonts w:ascii="Times New Roman" w:cs="Times New Roman" w:eastAsia="Times New Roman" w:hAnsi="Times New Roman"/>
          <w:sz w:val="20"/>
          <w:szCs w:val="20"/>
          <w:color w:val="auto"/>
        </w:rPr>
      </w:pPr>
    </w:p>
    <w:p>
      <w:pPr>
        <w:ind w:left="720" w:right="240" w:hanging="370"/>
        <w:spacing w:after="0" w:line="28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breaches and terminations of our manufacturing agreements, collaborations agreements or other important agreements;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efforts to in-license or acquire additional product candidates or products;</w:t>
      </w:r>
    </w:p>
    <w:p>
      <w:pPr>
        <w:spacing w:after="0" w:line="130" w:lineRule="exact"/>
        <w:rPr>
          <w:rFonts w:ascii="Times New Roman" w:cs="Times New Roman" w:eastAsia="Times New Roman" w:hAnsi="Times New Roman"/>
          <w:sz w:val="20"/>
          <w:szCs w:val="20"/>
          <w:color w:val="auto"/>
        </w:rPr>
      </w:pPr>
    </w:p>
    <w:p>
      <w:pPr>
        <w:ind w:left="720" w:right="580" w:hanging="370"/>
        <w:spacing w:after="0" w:line="28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estimates as to financial results, development timelines or recommendations by securities analysts;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valuation of companies perceived by investors to be comparable to us;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price and volume fluctuations attributable to inconsistent trading volume levels of our shares;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 or expectation of additional financing efforts;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 by us, our insiders or our other stockholders;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our common stock by us pursuant to a stock repurchase program;</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structure of health care payment systems;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in the biotechnology sector; and</w:t>
      </w:r>
    </w:p>
    <w:p>
      <w:pPr>
        <w:spacing w:after="0" w:line="130" w:lineRule="exact"/>
        <w:rPr>
          <w:rFonts w:ascii="Times New Roman" w:cs="Times New Roman" w:eastAsia="Times New Roman" w:hAnsi="Times New Roman"/>
          <w:sz w:val="20"/>
          <w:szCs w:val="20"/>
          <w:color w:val="auto"/>
        </w:rPr>
      </w:pPr>
    </w:p>
    <w:p>
      <w:pPr>
        <w:ind w:left="720" w:right="60" w:hanging="370"/>
        <w:spacing w:after="0" w:line="266"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spacing w:after="0" w:line="75"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0"/>
          <w:szCs w:val="20"/>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w:t>
      </w:r>
    </w:p>
    <w:p>
      <w:pPr>
        <w:sectPr>
          <w:pgSz w:w="12240" w:h="15840" w:orient="portrait"/>
          <w:cols w:equalWidth="0" w:num="1">
            <w:col w:w="10200"/>
          </w:cols>
          <w:pgMar w:left="1000" w:top="793" w:right="104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00"/>
          </w:cols>
          <w:pgMar w:left="1000" w:top="793" w:right="1040" w:bottom="0" w:gutter="0" w:footer="0" w:header="0"/>
          <w:type w:val="continuous"/>
        </w:sectPr>
      </w:pPr>
    </w:p>
    <w:bookmarkStart w:id="49" w:name="page50"/>
    <w:bookmarkEnd w:id="49"/>
    <w:p>
      <w:pPr>
        <w:ind w:right="440"/>
        <w:spacing w:after="0" w:line="281" w:lineRule="auto"/>
        <w:rPr>
          <w:sz w:val="20"/>
          <w:szCs w:val="20"/>
          <w:color w:val="auto"/>
        </w:rPr>
      </w:pPr>
      <w:r>
        <w:rPr>
          <w:rFonts w:ascii="Times New Roman" w:cs="Times New Roman" w:eastAsia="Times New Roman" w:hAnsi="Times New Roman"/>
          <w:sz w:val="20"/>
          <w:szCs w:val="20"/>
          <w:color w:val="auto"/>
        </w:rPr>
        <w:t>of a broad range of other risks, including those described in this “Risk Factors” section, could have a dramatic and adverse impact on the market price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have broad discretion in the use of the net proceeds from our public offerings and may not use them effectively.</w:t>
      </w:r>
    </w:p>
    <w:p>
      <w:pPr>
        <w:spacing w:after="0" w:line="137" w:lineRule="exact"/>
        <w:rPr>
          <w:sz w:val="20"/>
          <w:szCs w:val="20"/>
          <w:color w:val="auto"/>
        </w:rPr>
      </w:pPr>
    </w:p>
    <w:p>
      <w:pPr>
        <w:ind w:right="160" w:firstLine="630"/>
        <w:spacing w:after="0" w:line="258" w:lineRule="auto"/>
        <w:rPr>
          <w:sz w:val="20"/>
          <w:szCs w:val="20"/>
          <w:color w:val="auto"/>
        </w:rPr>
      </w:pPr>
      <w:r>
        <w:rPr>
          <w:rFonts w:ascii="Times New Roman" w:cs="Times New Roman" w:eastAsia="Times New Roman" w:hAnsi="Times New Roman"/>
          <w:sz w:val="20"/>
          <w:szCs w:val="20"/>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be subject to securities litigation, which is expensive and could divert management attention.</w:t>
      </w:r>
    </w:p>
    <w:p>
      <w:pPr>
        <w:spacing w:after="0" w:line="137" w:lineRule="exact"/>
        <w:rPr>
          <w:sz w:val="20"/>
          <w:szCs w:val="20"/>
          <w:color w:val="auto"/>
        </w:rPr>
      </w:pPr>
    </w:p>
    <w:p>
      <w:pPr>
        <w:ind w:right="40" w:firstLine="630"/>
        <w:spacing w:after="0" w:line="260" w:lineRule="auto"/>
        <w:rPr>
          <w:sz w:val="20"/>
          <w:szCs w:val="20"/>
          <w:color w:val="auto"/>
        </w:rPr>
      </w:pPr>
      <w:r>
        <w:rPr>
          <w:rFonts w:ascii="Times New Roman" w:cs="Times New Roman" w:eastAsia="Times New Roman" w:hAnsi="Times New Roman"/>
          <w:sz w:val="20"/>
          <w:szCs w:val="20"/>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spacing w:after="0" w:line="19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20"/>
          <w:szCs w:val="20"/>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59" w:lineRule="exact"/>
        <w:rPr>
          <w:sz w:val="20"/>
          <w:szCs w:val="20"/>
          <w:color w:val="auto"/>
        </w:rPr>
      </w:pPr>
    </w:p>
    <w:p>
      <w:pPr>
        <w:ind w:right="40" w:firstLine="630"/>
        <w:spacing w:after="0" w:line="252" w:lineRule="auto"/>
        <w:rPr>
          <w:sz w:val="20"/>
          <w:szCs w:val="20"/>
          <w:color w:val="auto"/>
        </w:rPr>
      </w:pPr>
      <w:r>
        <w:rPr>
          <w:rFonts w:ascii="Times New Roman" w:cs="Times New Roman" w:eastAsia="Times New Roman" w:hAnsi="Times New Roman"/>
          <w:sz w:val="20"/>
          <w:szCs w:val="20"/>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99"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While we have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4"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20"/>
          <w:szCs w:val="20"/>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77" w:lineRule="exact"/>
        <w:rPr>
          <w:sz w:val="20"/>
          <w:szCs w:val="20"/>
          <w:color w:val="auto"/>
        </w:rPr>
      </w:pPr>
    </w:p>
    <w:p>
      <w:pPr>
        <w:ind w:firstLine="630"/>
        <w:spacing w:after="0" w:line="270" w:lineRule="auto"/>
        <w:rPr>
          <w:sz w:val="20"/>
          <w:szCs w:val="20"/>
          <w:color w:val="auto"/>
        </w:rPr>
      </w:pPr>
      <w:r>
        <w:rPr>
          <w:rFonts w:ascii="Times New Roman" w:cs="Times New Roman" w:eastAsia="Times New Roman" w:hAnsi="Times New Roman"/>
          <w:sz w:val="19"/>
          <w:szCs w:val="19"/>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or upon vesting of outstanding awards. These shares can be freely sold in the public market upon issuance and once vested, subject to volume limitations applicable to affiliates. If any of these additional shares are sold, or if it is perceived that they will be sold,</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40"/>
          </w:cols>
          <w:pgMar w:left="1000" w:top="793" w:right="1000" w:bottom="0" w:gutter="0" w:footer="0" w:header="0"/>
          <w:type w:val="continuous"/>
        </w:sectPr>
      </w:pPr>
    </w:p>
    <w:bookmarkStart w:id="50" w:name="page51"/>
    <w:bookmarkEnd w:id="50"/>
    <w:p>
      <w:pPr>
        <w:ind w:right="60"/>
        <w:spacing w:after="0" w:line="254" w:lineRule="auto"/>
        <w:rPr>
          <w:sz w:val="20"/>
          <w:szCs w:val="20"/>
          <w:color w:val="auto"/>
        </w:rPr>
      </w:pPr>
      <w:r>
        <w:rPr>
          <w:rFonts w:ascii="Times New Roman" w:cs="Times New Roman" w:eastAsia="Times New Roman" w:hAnsi="Times New Roman"/>
          <w:sz w:val="20"/>
          <w:szCs w:val="20"/>
          <w:color w:val="auto"/>
        </w:rPr>
        <w:t>in the public market, the market price of our common stock could decline. Such sales may also result in material dilution to our existing stockholders, and new investors could gain rights, preferences and privileges senior to the holders of our common stock. In November 2022, we entered into a sales agreement with Cowen and Company, LLC (“Cowen”), through which we may offer and sell shares of our common stock, having an aggregate offering of up to $150.0 million through Cowen as our sales agent. In November 2024, we entered into a sales agreement with TD Securities (USA) LLC (“TD Cowen”), through which we may offer and sell shares of our common stock, having an aggregate offering of up to $100.0 million through TD Cowen as our sales agent. Our prior sales agreement with Cowen terminated upon effectiveness of the registration statement on the Form S-3 we filed in connection with our sales agreement with TD Cowen.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disclosure controls and procedures may not prevent or detect all errors or acts of fraud.</w:t>
      </w:r>
    </w:p>
    <w:p>
      <w:pPr>
        <w:spacing w:after="0" w:line="137" w:lineRule="exact"/>
        <w:rPr>
          <w:sz w:val="20"/>
          <w:szCs w:val="20"/>
          <w:color w:val="auto"/>
        </w:rPr>
      </w:pPr>
    </w:p>
    <w:p>
      <w:pPr>
        <w:ind w:right="320" w:firstLine="630"/>
        <w:spacing w:after="0" w:line="256" w:lineRule="auto"/>
        <w:rPr>
          <w:sz w:val="20"/>
          <w:szCs w:val="20"/>
          <w:color w:val="auto"/>
        </w:rPr>
      </w:pPr>
      <w:r>
        <w:rPr>
          <w:rFonts w:ascii="Times New Roman" w:cs="Times New Roman" w:eastAsia="Times New Roman" w:hAnsi="Times New Roman"/>
          <w:sz w:val="20"/>
          <w:szCs w:val="20"/>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8" w:lineRule="exact"/>
        <w:rPr>
          <w:sz w:val="20"/>
          <w:szCs w:val="20"/>
          <w:color w:val="auto"/>
        </w:rPr>
      </w:pPr>
    </w:p>
    <w:p>
      <w:pPr>
        <w:ind w:right="320" w:firstLine="630"/>
        <w:spacing w:after="0" w:line="278" w:lineRule="auto"/>
        <w:rPr>
          <w:sz w:val="20"/>
          <w:szCs w:val="20"/>
          <w:color w:val="auto"/>
        </w:rPr>
      </w:pPr>
      <w:r>
        <w:rPr>
          <w:rFonts w:ascii="Times New Roman" w:cs="Times New Roman" w:eastAsia="Times New Roman" w:hAnsi="Times New Roman"/>
          <w:sz w:val="19"/>
          <w:szCs w:val="19"/>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do not intend to pay dividends on our common stock, so any returns will be limited to the value of our stock.</w:t>
      </w:r>
    </w:p>
    <w:p>
      <w:pPr>
        <w:spacing w:after="0" w:line="137"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20"/>
          <w:szCs w:val="20"/>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20"/>
          <w:szCs w:val="20"/>
          <w:b w:val="1"/>
          <w:bCs w:val="1"/>
          <w:color w:val="auto"/>
        </w:rPr>
        <w:t>Our cash and investments could be adversely affected if the financial institutions in which we hold our cash and investments fail.</w:t>
      </w:r>
    </w:p>
    <w:p>
      <w:pPr>
        <w:spacing w:after="0" w:line="59" w:lineRule="exact"/>
        <w:rPr>
          <w:sz w:val="20"/>
          <w:szCs w:val="20"/>
          <w:color w:val="auto"/>
        </w:rPr>
      </w:pPr>
    </w:p>
    <w:p>
      <w:pPr>
        <w:ind w:right="260" w:firstLine="630"/>
        <w:spacing w:after="0" w:line="256" w:lineRule="auto"/>
        <w:rPr>
          <w:sz w:val="20"/>
          <w:szCs w:val="20"/>
          <w:color w:val="auto"/>
        </w:rPr>
      </w:pPr>
      <w:r>
        <w:rPr>
          <w:rFonts w:ascii="Times New Roman" w:cs="Times New Roman" w:eastAsia="Times New Roman" w:hAnsi="Times New Roman"/>
          <w:sz w:val="20"/>
          <w:szCs w:val="20"/>
          <w:color w:val="auto"/>
        </w:rPr>
        <w:t>We regularly maintain cash balances at third 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spacing w:after="0" w:line="20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20"/>
          <w:szCs w:val="20"/>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77" w:lineRule="exact"/>
        <w:rPr>
          <w:sz w:val="20"/>
          <w:szCs w:val="20"/>
          <w:color w:val="auto"/>
        </w:rPr>
      </w:pPr>
    </w:p>
    <w:p>
      <w:pPr>
        <w:ind w:right="20" w:firstLine="630"/>
        <w:spacing w:after="0" w:line="260" w:lineRule="auto"/>
        <w:rPr>
          <w:sz w:val="20"/>
          <w:szCs w:val="20"/>
          <w:color w:val="auto"/>
        </w:rPr>
      </w:pPr>
      <w:r>
        <w:rPr>
          <w:rFonts w:ascii="Times New Roman" w:cs="Times New Roman" w:eastAsia="Times New Roman" w:hAnsi="Times New Roman"/>
          <w:sz w:val="20"/>
          <w:szCs w:val="20"/>
          <w:color w:val="auto"/>
        </w:rPr>
        <w:t>Our amended and restated certificate of incorporation, or restated certificate, and second amended and restated bylaws, or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83" w:lineRule="exact"/>
        <w:rPr>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classified Board of Directors so that not all members of our Board of Directors are elected at one time;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only the Board of Directors to establish the number of directors and fill vacancies on the Board of Directors;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directors may only be removed “for cause” and only with the approval of two-thirds of our stockholders;</w:t>
      </w:r>
    </w:p>
    <w:p>
      <w:pPr>
        <w:spacing w:after="0" w:line="130" w:lineRule="exact"/>
        <w:rPr>
          <w:rFonts w:ascii="Times New Roman" w:cs="Times New Roman" w:eastAsia="Times New Roman" w:hAnsi="Times New Roman"/>
          <w:sz w:val="20"/>
          <w:szCs w:val="20"/>
          <w:color w:val="auto"/>
        </w:rPr>
      </w:pPr>
    </w:p>
    <w:p>
      <w:pPr>
        <w:ind w:left="720" w:right="640" w:hanging="37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super-majority voting to amend some provisions in our restated certificate of incorporation and restated bylaws;</w:t>
      </w:r>
    </w:p>
    <w:p>
      <w:pPr>
        <w:spacing w:after="0" w:line="61" w:lineRule="exact"/>
        <w:rPr>
          <w:rFonts w:ascii="Times New Roman" w:cs="Times New Roman" w:eastAsia="Times New Roman" w:hAnsi="Times New Roman"/>
          <w:sz w:val="20"/>
          <w:szCs w:val="20"/>
          <w:color w:val="auto"/>
        </w:rPr>
      </w:pPr>
    </w:p>
    <w:p>
      <w:pPr>
        <w:ind w:left="720" w:right="840" w:hanging="37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the issuance of “blank check” preferred stock that our Board of Directors could use to implement a stockholder rights plan (also known as a “poison pill”);</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the ability of our stockholders to call special meetings of stockholders;</w:t>
      </w:r>
    </w:p>
    <w:p>
      <w:pPr>
        <w:spacing w:after="0" w:line="130" w:lineRule="exact"/>
        <w:rPr>
          <w:rFonts w:ascii="Times New Roman" w:cs="Times New Roman" w:eastAsia="Times New Roman" w:hAnsi="Times New Roman"/>
          <w:sz w:val="20"/>
          <w:szCs w:val="20"/>
          <w:color w:val="auto"/>
        </w:rPr>
      </w:pPr>
    </w:p>
    <w:p>
      <w:pPr>
        <w:ind w:left="720" w:right="240" w:hanging="37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stockholder action by written consent, which requires all stockholder actions to be taken at a meeting of our stockholders;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40"/>
          </w:cols>
          <w:pgMar w:left="1000" w:top="793" w:right="1000" w:bottom="0" w:gutter="0" w:footer="0" w:header="0"/>
          <w:type w:val="continuous"/>
        </w:sectPr>
      </w:pPr>
    </w:p>
    <w:bookmarkStart w:id="51" w:name="page52"/>
    <w:bookmarkEnd w:id="51"/>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cumulative voting; and</w:t>
      </w:r>
    </w:p>
    <w:p>
      <w:pPr>
        <w:spacing w:after="0" w:line="130" w:lineRule="exact"/>
        <w:rPr>
          <w:rFonts w:ascii="Times New Roman" w:cs="Times New Roman" w:eastAsia="Times New Roman" w:hAnsi="Times New Roman"/>
          <w:sz w:val="20"/>
          <w:szCs w:val="20"/>
          <w:color w:val="auto"/>
        </w:rPr>
      </w:pPr>
    </w:p>
    <w:p>
      <w:pPr>
        <w:ind w:left="720" w:right="160" w:hanging="370"/>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of Directors or for proposing matters that can be acted upon by stockholders at annual stockholder meetings.</w:t>
      </w:r>
    </w:p>
    <w:p>
      <w:pPr>
        <w:spacing w:after="0" w:line="61" w:lineRule="exact"/>
        <w:rPr>
          <w:sz w:val="20"/>
          <w:szCs w:val="20"/>
          <w:color w:val="auto"/>
        </w:rPr>
      </w:pPr>
    </w:p>
    <w:p>
      <w:pPr>
        <w:ind w:right="300" w:firstLine="630"/>
        <w:spacing w:after="0" w:line="266" w:lineRule="auto"/>
        <w:rPr>
          <w:sz w:val="20"/>
          <w:szCs w:val="20"/>
          <w:color w:val="auto"/>
        </w:rPr>
      </w:pPr>
      <w:r>
        <w:rPr>
          <w:rFonts w:ascii="Times New Roman" w:cs="Times New Roman" w:eastAsia="Times New Roman" w:hAnsi="Times New Roman"/>
          <w:sz w:val="20"/>
          <w:szCs w:val="20"/>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6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20"/>
          <w:szCs w:val="20"/>
          <w:b w:val="1"/>
          <w:b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77" w:lineRule="exact"/>
        <w:rPr>
          <w:sz w:val="20"/>
          <w:szCs w:val="20"/>
          <w:color w:val="auto"/>
        </w:rPr>
      </w:pPr>
    </w:p>
    <w:p>
      <w:pPr>
        <w:ind w:firstLine="555"/>
        <w:spacing w:after="0" w:line="255" w:lineRule="auto"/>
        <w:rPr>
          <w:sz w:val="20"/>
          <w:szCs w:val="20"/>
          <w:color w:val="auto"/>
        </w:rPr>
      </w:pPr>
      <w:r>
        <w:rPr>
          <w:rFonts w:ascii="Times New Roman" w:cs="Times New Roman" w:eastAsia="Times New Roman" w:hAnsi="Times New Roman"/>
          <w:sz w:val="20"/>
          <w:szCs w:val="20"/>
          <w:color w:val="auto"/>
        </w:rPr>
        <w:t>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w:t>
      </w:r>
    </w:p>
    <w:p>
      <w:pPr>
        <w:spacing w:after="0" w:line="90" w:lineRule="exact"/>
        <w:rPr>
          <w:sz w:val="20"/>
          <w:szCs w:val="20"/>
          <w:color w:val="auto"/>
        </w:rPr>
      </w:pPr>
    </w:p>
    <w:p>
      <w:pPr>
        <w:ind w:right="40" w:firstLine="555"/>
        <w:spacing w:after="0" w:line="256" w:lineRule="auto"/>
        <w:rPr>
          <w:sz w:val="20"/>
          <w:szCs w:val="20"/>
          <w:color w:val="auto"/>
        </w:rPr>
      </w:pPr>
      <w:r>
        <w:rPr>
          <w:rFonts w:ascii="Times New Roman" w:cs="Times New Roman" w:eastAsia="Times New Roman" w:hAnsi="Times New Roman"/>
          <w:sz w:val="20"/>
          <w:szCs w:val="20"/>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88" w:lineRule="exact"/>
        <w:rPr>
          <w:sz w:val="20"/>
          <w:szCs w:val="20"/>
          <w:color w:val="auto"/>
        </w:rPr>
      </w:pPr>
    </w:p>
    <w:p>
      <w:pPr>
        <w:ind w:firstLine="555"/>
        <w:spacing w:after="0" w:line="252" w:lineRule="auto"/>
        <w:rPr>
          <w:sz w:val="20"/>
          <w:szCs w:val="20"/>
          <w:color w:val="auto"/>
        </w:rPr>
      </w:pPr>
      <w:r>
        <w:rPr>
          <w:rFonts w:ascii="Times New Roman" w:cs="Times New Roman" w:eastAsia="Times New Roman" w:hAnsi="Times New Roman"/>
          <w:sz w:val="20"/>
          <w:szCs w:val="20"/>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92" w:lineRule="exact"/>
        <w:rPr>
          <w:sz w:val="20"/>
          <w:szCs w:val="20"/>
          <w:color w:val="auto"/>
        </w:rPr>
      </w:pPr>
    </w:p>
    <w:p>
      <w:pPr>
        <w:ind w:firstLine="555"/>
        <w:spacing w:after="0" w:line="258" w:lineRule="auto"/>
        <w:rPr>
          <w:sz w:val="20"/>
          <w:szCs w:val="20"/>
          <w:color w:val="auto"/>
        </w:rPr>
      </w:pPr>
      <w:r>
        <w:rPr>
          <w:rFonts w:ascii="Times New Roman" w:cs="Times New Roman" w:eastAsia="Times New Roman" w:hAnsi="Times New Roman"/>
          <w:sz w:val="20"/>
          <w:szCs w:val="20"/>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9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20"/>
          <w:szCs w:val="20"/>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9"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0"/>
          <w:szCs w:val="20"/>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ectPr>
          <w:pgSz w:w="12240" w:h="15840" w:orient="portrait"/>
          <w:cols w:equalWidth="0" w:num="1">
            <w:col w:w="10240"/>
          </w:cols>
          <w:pgMar w:left="1000" w:top="793" w:right="100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40"/>
          </w:cols>
          <w:pgMar w:left="1000" w:top="793" w:right="1000" w:bottom="0" w:gutter="0" w:footer="0" w:header="0"/>
          <w:type w:val="continuous"/>
        </w:sectPr>
      </w:pPr>
    </w:p>
    <w:bookmarkStart w:id="52" w:name="page53"/>
    <w:bookmarkEnd w:id="52"/>
    <w:p>
      <w:pPr>
        <w:spacing w:after="0" w:line="268" w:lineRule="auto"/>
        <w:rPr>
          <w:sz w:val="20"/>
          <w:szCs w:val="20"/>
          <w:color w:val="auto"/>
        </w:rPr>
      </w:pPr>
      <w:r>
        <w:rPr>
          <w:rFonts w:ascii="Times New Roman" w:cs="Times New Roman" w:eastAsia="Times New Roman" w:hAnsi="Times New Roman"/>
          <w:sz w:val="20"/>
          <w:szCs w:val="20"/>
          <w:b w:val="1"/>
          <w:bCs w:val="1"/>
          <w:color w:val="auto"/>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spacing w:after="0" w:line="77"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19"/>
          <w:szCs w:val="19"/>
          <w:color w:val="auto"/>
        </w:rPr>
        <w:t>We plan to use our current year operating losses to offset taxable income from any revenue generated from operations or corporate collaborations. To the extent we have taxable income in excess of current year operating losses, we plan to use our NOL carryforwards to offset income that would otherwise be taxable. However, the benefits from the use of our NOL carryforwards may be limited under Section 382 of the Code, if we undergo an “ownership change,” which is generally defined as a greater than 50 percentage point change (by value) in its equity ownership by certain stockholders over a three-year period. We experienced ownership changes as defined by Section 382 of the Code during 2007, 2017 and 2021. Our use of federal and state NOLs could be further limited if we experience one or more ownership changes subsequent to December 31, 2024.</w:t>
      </w:r>
    </w:p>
    <w:p>
      <w:pPr>
        <w:spacing w:after="0" w:line="76" w:lineRule="exact"/>
        <w:rPr>
          <w:sz w:val="20"/>
          <w:szCs w:val="20"/>
          <w:color w:val="auto"/>
        </w:rPr>
      </w:pPr>
    </w:p>
    <w:p>
      <w:pPr>
        <w:ind w:firstLine="630"/>
        <w:spacing w:after="0" w:line="238" w:lineRule="auto"/>
        <w:rPr>
          <w:sz w:val="20"/>
          <w:szCs w:val="20"/>
          <w:color w:val="auto"/>
        </w:rPr>
      </w:pPr>
      <w:r>
        <w:rPr>
          <w:rFonts w:ascii="Times New Roman" w:cs="Times New Roman" w:eastAsia="Times New Roman" w:hAnsi="Times New Roman"/>
          <w:sz w:val="20"/>
          <w:szCs w:val="20"/>
          <w:color w:val="auto"/>
        </w:rPr>
        <w:t>Under legislative changes made by the Tax Cuts and Jobs Act, the U.S. federal NOLs incurred in 2018 and in future years may be carried forward indefinitely, but the ability to utilize such federal NOLs to offset taxable income is limited to 80% of our taxable income (without regard to certain deductions). Our significant state NOLs were generated in the state of California, which provides for a 20 year carry forward. State NOL carryforwards may be similarly limited by cumulative ownership changes. In addition, there may be periods during which the use of NOL carryforwards is suspended or otherwise limited at the state level, which could also impact our ability to utilize NOL carryforwards. Any such limitations on the use of our NOLs may result in greater tax liabilities than we would incur in the absence of such a limitation, and any increased liabilities could adversely affect our business, results of operations, financial condition and cash flow.</w:t>
      </w:r>
    </w:p>
    <w:p>
      <w:pPr>
        <w:spacing w:after="0" w:line="88" w:lineRule="exact"/>
        <w:rPr>
          <w:sz w:val="20"/>
          <w:szCs w:val="20"/>
          <w:color w:val="auto"/>
        </w:rPr>
      </w:pPr>
    </w:p>
    <w:p>
      <w:pPr>
        <w:jc w:val="both"/>
        <w:ind w:right="340" w:firstLine="630"/>
        <w:spacing w:after="0" w:line="286" w:lineRule="auto"/>
        <w:rPr>
          <w:sz w:val="20"/>
          <w:szCs w:val="20"/>
          <w:color w:val="auto"/>
        </w:rPr>
      </w:pPr>
      <w:r>
        <w:rPr>
          <w:rFonts w:ascii="Times New Roman" w:cs="Times New Roman" w:eastAsia="Times New Roman" w:hAnsi="Times New Roman"/>
          <w:sz w:val="19"/>
          <w:szCs w:val="19"/>
          <w:color w:val="auto"/>
        </w:rPr>
        <w:t>As of December 31, 2024, we had federal NOLs of approximately $300.7 million. Of this, $38.6 million will expire beginning in 2031 through 2037, if not used to reduce income taxes payable in the future and $262.0 million carry forward indefinitely. We had state NOLs of approximately $73.0 million, which will expire beginning in 2028 through 2044.</w:t>
      </w:r>
    </w:p>
    <w:p>
      <w:pPr>
        <w:spacing w:after="0" w:line="172" w:lineRule="exact"/>
        <w:rPr>
          <w:sz w:val="20"/>
          <w:szCs w:val="20"/>
          <w:color w:val="auto"/>
        </w:rPr>
      </w:pPr>
    </w:p>
    <w:p>
      <w:pPr>
        <w:jc w:val="both"/>
        <w:ind w:right="340"/>
        <w:spacing w:after="0" w:line="313" w:lineRule="auto"/>
        <w:rPr>
          <w:sz w:val="20"/>
          <w:szCs w:val="20"/>
          <w:color w:val="auto"/>
        </w:rPr>
      </w:pPr>
      <w:r>
        <w:rPr>
          <w:rFonts w:ascii="Times New Roman" w:cs="Times New Roman" w:eastAsia="Times New Roman" w:hAnsi="Times New Roman"/>
          <w:sz w:val="19"/>
          <w:szCs w:val="19"/>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37" w:lineRule="exact"/>
        <w:rPr>
          <w:sz w:val="20"/>
          <w:szCs w:val="20"/>
          <w:color w:val="auto"/>
        </w:rPr>
      </w:pPr>
    </w:p>
    <w:p>
      <w:pPr>
        <w:ind w:right="100" w:firstLine="630"/>
        <w:spacing w:after="0" w:line="254" w:lineRule="auto"/>
        <w:rPr>
          <w:sz w:val="20"/>
          <w:szCs w:val="20"/>
          <w:color w:val="auto"/>
        </w:rPr>
      </w:pPr>
      <w:r>
        <w:rPr>
          <w:rFonts w:ascii="Times New Roman" w:cs="Times New Roman" w:eastAsia="Times New Roman" w:hAnsi="Times New Roman"/>
          <w:sz w:val="20"/>
          <w:szCs w:val="20"/>
          <w:color w:val="auto"/>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second fiscal quarter.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89" w:lineRule="exact"/>
        <w:rPr>
          <w:sz w:val="20"/>
          <w:szCs w:val="20"/>
          <w:color w:val="auto"/>
        </w:rPr>
      </w:pPr>
    </w:p>
    <w:p>
      <w:pPr>
        <w:ind w:right="260" w:firstLine="630"/>
        <w:spacing w:after="0" w:line="281" w:lineRule="auto"/>
        <w:rPr>
          <w:sz w:val="20"/>
          <w:szCs w:val="20"/>
          <w:color w:val="auto"/>
        </w:rPr>
      </w:pPr>
      <w:r>
        <w:rPr>
          <w:rFonts w:ascii="Times New Roman" w:cs="Times New Roman" w:eastAsia="Times New Roman" w:hAnsi="Times New Roman"/>
          <w:sz w:val="20"/>
          <w:szCs w:val="20"/>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37" w:lineRule="exact"/>
        <w:rPr>
          <w:sz w:val="20"/>
          <w:szCs w:val="20"/>
          <w:color w:val="auto"/>
        </w:rPr>
      </w:pPr>
    </w:p>
    <w:p>
      <w:pPr>
        <w:ind w:right="80" w:firstLine="630"/>
        <w:spacing w:after="0" w:line="266" w:lineRule="auto"/>
        <w:rPr>
          <w:sz w:val="20"/>
          <w:szCs w:val="20"/>
          <w:color w:val="auto"/>
        </w:rPr>
      </w:pPr>
      <w:r>
        <w:rPr>
          <w:rFonts w:ascii="Times New Roman" w:cs="Times New Roman" w:eastAsia="Times New Roman" w:hAnsi="Times New Roman"/>
          <w:sz w:val="20"/>
          <w:szCs w:val="20"/>
          <w:color w:val="auto"/>
        </w:rPr>
        <w:t xml:space="preserve">We recognize the critical </w:t>
      </w:r>
      <w:r>
        <w:rPr>
          <w:rFonts w:ascii="Times New Roman" w:cs="Times New Roman" w:eastAsia="Times New Roman" w:hAnsi="Times New Roman"/>
          <w:sz w:val="20"/>
          <w:szCs w:val="20"/>
          <w:color w:val="221E1F"/>
        </w:rPr>
        <w:t>importance of maintaining the trust and confidence of all of our stakeholders. Our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21E1F"/>
        </w:rPr>
        <w:t>depends on the efficient and uninterrupted operation of our information technology systems and those of our third party CROs, CMOs, or other vendors, contractors or consultants.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21E1F"/>
        </w:rPr>
        <w:t>Risk Management and Strategy</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The Company’s cybersecurity program is focused on the following key </w:t>
      </w:r>
      <w:r>
        <w:rPr>
          <w:rFonts w:ascii="Times New Roman" w:cs="Times New Roman" w:eastAsia="Times New Roman" w:hAnsi="Times New Roman"/>
          <w:sz w:val="20"/>
          <w:szCs w:val="20"/>
          <w:color w:val="221E1F"/>
        </w:rPr>
        <w:t>areas</w:t>
      </w:r>
      <w:r>
        <w:rPr>
          <w:rFonts w:ascii="Times New Roman" w:cs="Times New Roman" w:eastAsia="Times New Roman" w:hAnsi="Times New Roman"/>
          <w:sz w:val="20"/>
          <w:szCs w:val="20"/>
          <w:color w:val="auto"/>
        </w:rPr>
        <w:t>:</w:t>
      </w:r>
    </w:p>
    <w:p>
      <w:pPr>
        <w:spacing w:after="0" w:line="126" w:lineRule="exact"/>
        <w:rPr>
          <w:sz w:val="20"/>
          <w:szCs w:val="20"/>
          <w:color w:val="auto"/>
        </w:rPr>
      </w:pPr>
    </w:p>
    <w:p>
      <w:pPr>
        <w:ind w:right="180" w:firstLine="1350"/>
        <w:spacing w:after="0" w:line="313" w:lineRule="auto"/>
        <w:rPr>
          <w:sz w:val="20"/>
          <w:szCs w:val="20"/>
          <w:color w:val="auto"/>
        </w:rPr>
      </w:pPr>
      <w:r>
        <w:rPr>
          <w:rFonts w:ascii="Times New Roman" w:cs="Times New Roman" w:eastAsia="Times New Roman" w:hAnsi="Times New Roman"/>
          <w:sz w:val="19"/>
          <w:szCs w:val="19"/>
          <w:b w:val="1"/>
          <w:bCs w:val="1"/>
          <w:color w:val="auto"/>
        </w:rPr>
        <w:t xml:space="preserve">Governance: </w:t>
      </w:r>
      <w:r>
        <w:rPr>
          <w:rFonts w:ascii="Times New Roman" w:cs="Times New Roman" w:eastAsia="Times New Roman" w:hAnsi="Times New Roman"/>
          <w:sz w:val="19"/>
          <w:szCs w:val="19"/>
          <w:color w:val="auto"/>
        </w:rPr>
        <w:t>The Board’s oversight of cybersecurity risk management is supported by the Audit Committee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Board (the “Audit Committee”), which regularly interacts with our Head of IT and our executive management team.</w:t>
      </w:r>
    </w:p>
    <w:p>
      <w:pPr>
        <w:spacing w:after="0" w:line="30" w:lineRule="exact"/>
        <w:rPr>
          <w:sz w:val="20"/>
          <w:szCs w:val="20"/>
          <w:color w:val="auto"/>
        </w:rPr>
      </w:pPr>
    </w:p>
    <w:p>
      <w:pPr>
        <w:ind w:right="160" w:firstLine="1350"/>
        <w:spacing w:after="0" w:line="313" w:lineRule="auto"/>
        <w:rPr>
          <w:sz w:val="20"/>
          <w:szCs w:val="20"/>
          <w:color w:val="auto"/>
        </w:rPr>
      </w:pPr>
      <w:r>
        <w:rPr>
          <w:rFonts w:ascii="Times New Roman" w:cs="Times New Roman" w:eastAsia="Times New Roman" w:hAnsi="Times New Roman"/>
          <w:sz w:val="19"/>
          <w:szCs w:val="19"/>
          <w:b w:val="1"/>
          <w:bCs w:val="1"/>
          <w:color w:val="auto"/>
        </w:rPr>
        <w:t xml:space="preserve">Collaborative Approach: </w:t>
      </w:r>
      <w:r>
        <w:rPr>
          <w:rFonts w:ascii="Times New Roman" w:cs="Times New Roman" w:eastAsia="Times New Roman" w:hAnsi="Times New Roman"/>
          <w:sz w:val="19"/>
          <w:szCs w:val="19"/>
          <w:color w:val="auto"/>
        </w:rPr>
        <w:t>We have implemented a cross-functional approach to identifying, preventing,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mitigating cybersecurity threats and incidents, while also implementing controls and procedures that provide for the prompt</w:t>
      </w:r>
    </w:p>
    <w:p>
      <w:pPr>
        <w:sectPr>
          <w:pgSz w:w="12240" w:h="15840" w:orient="portrait"/>
          <w:cols w:equalWidth="0" w:num="1">
            <w:col w:w="10220"/>
          </w:cols>
          <w:pgMar w:left="1000" w:top="78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20"/>
          </w:cols>
          <w:pgMar w:left="1000" w:top="786" w:right="1020" w:bottom="0" w:gutter="0" w:footer="0" w:header="0"/>
          <w:type w:val="continuous"/>
        </w:sectPr>
      </w:pPr>
    </w:p>
    <w:bookmarkStart w:id="53" w:name="page54"/>
    <w:bookmarkEnd w:id="53"/>
    <w:p>
      <w:pPr>
        <w:spacing w:after="0" w:line="281" w:lineRule="auto"/>
        <w:rPr>
          <w:sz w:val="20"/>
          <w:szCs w:val="20"/>
          <w:color w:val="auto"/>
        </w:rPr>
      </w:pPr>
      <w:r>
        <w:rPr>
          <w:rFonts w:ascii="Times New Roman" w:cs="Times New Roman" w:eastAsia="Times New Roman" w:hAnsi="Times New Roman"/>
          <w:sz w:val="20"/>
          <w:szCs w:val="20"/>
          <w:color w:val="auto"/>
        </w:rPr>
        <w:t>escalation of certain cybersecurity incidents so that decisions regarding the public disclosure and reporting of such incidents can be made by management in a timely manner.</w:t>
      </w:r>
    </w:p>
    <w:p>
      <w:pPr>
        <w:spacing w:after="0" w:line="57" w:lineRule="exact"/>
        <w:rPr>
          <w:sz w:val="20"/>
          <w:szCs w:val="20"/>
          <w:color w:val="auto"/>
        </w:rPr>
      </w:pPr>
    </w:p>
    <w:p>
      <w:pPr>
        <w:ind w:right="200" w:firstLine="1350"/>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Technical Safeguards: </w:t>
      </w:r>
      <w:r>
        <w:rPr>
          <w:rFonts w:ascii="Times New Roman" w:cs="Times New Roman" w:eastAsia="Times New Roman" w:hAnsi="Times New Roman"/>
          <w:sz w:val="19"/>
          <w:szCs w:val="19"/>
          <w:color w:val="auto"/>
        </w:rPr>
        <w:t>We deploy technical safeguards that are designed to protect our information systems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cybersecurity threats, including firewalls, intrusion prevention and detection systems, anti-malware functionality and access controls, which are evaluated and improved through vulnerability assessments and cybersecurity threat intelligence.</w:t>
      </w:r>
    </w:p>
    <w:p>
      <w:pPr>
        <w:spacing w:after="0" w:line="53" w:lineRule="exact"/>
        <w:rPr>
          <w:sz w:val="20"/>
          <w:szCs w:val="20"/>
          <w:color w:val="auto"/>
        </w:rPr>
      </w:pPr>
    </w:p>
    <w:p>
      <w:pPr>
        <w:ind w:right="60" w:firstLine="135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Incident Response and Recovery Planning: </w:t>
      </w:r>
      <w:r>
        <w:rPr>
          <w:rFonts w:ascii="Times New Roman" w:cs="Times New Roman" w:eastAsia="Times New Roman" w:hAnsi="Times New Roman"/>
          <w:sz w:val="20"/>
          <w:szCs w:val="20"/>
          <w:color w:val="auto"/>
        </w:rPr>
        <w:t>We have established and maintain incident response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recovery plans to address our response to a cybersecurity incident. We use a manage, detection, and response (MDR) partner to provide threat detection and response capabilities. We also utilize security consultants including a vCISO to assess and continuously improve our cybersecurity program.</w:t>
      </w:r>
    </w:p>
    <w:p>
      <w:pPr>
        <w:spacing w:after="0" w:line="76" w:lineRule="exact"/>
        <w:rPr>
          <w:sz w:val="20"/>
          <w:szCs w:val="20"/>
          <w:color w:val="auto"/>
        </w:rPr>
      </w:pPr>
    </w:p>
    <w:p>
      <w:pPr>
        <w:ind w:right="200" w:firstLine="135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Third Party Risk Management: </w:t>
      </w:r>
      <w:r>
        <w:rPr>
          <w:rFonts w:ascii="Times New Roman" w:cs="Times New Roman" w:eastAsia="Times New Roman" w:hAnsi="Times New Roman"/>
          <w:sz w:val="20"/>
          <w:szCs w:val="20"/>
          <w:color w:val="auto"/>
        </w:rPr>
        <w:t>We strive to proactively manage third party risks to minimize any adverse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effects on our business that may arise due to a cybersecurity incident affecting third party systems and vendors. Although we rely on third party vendors to manage and maintain their own cybersecurity defense programs, we continue to improve on our vendor risk management program to assess our exposure to these external cybersecurity risks, including the use of external security rating services and by evaluating vendor responses to our cybersecurity questionnaire.</w:t>
      </w:r>
    </w:p>
    <w:p>
      <w:pPr>
        <w:spacing w:after="0" w:line="79" w:lineRule="exact"/>
        <w:rPr>
          <w:sz w:val="20"/>
          <w:szCs w:val="20"/>
          <w:color w:val="auto"/>
        </w:rPr>
      </w:pPr>
    </w:p>
    <w:p>
      <w:pPr>
        <w:jc w:val="both"/>
        <w:ind w:right="980" w:firstLine="135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Education and Awareness: </w:t>
      </w:r>
      <w:r>
        <w:rPr>
          <w:rFonts w:ascii="Times New Roman" w:cs="Times New Roman" w:eastAsia="Times New Roman" w:hAnsi="Times New Roman"/>
          <w:sz w:val="20"/>
          <w:szCs w:val="20"/>
          <w:color w:val="auto"/>
        </w:rPr>
        <w:t>We provide mandatory training and resources for personnel regarding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cybersecurity threats as a means to equip our employees with effective tools to address cybersecurity threats, and to communicate our evolving information security policies, standards, processes and practices.</w:t>
      </w:r>
    </w:p>
    <w:p>
      <w:pPr>
        <w:spacing w:after="0" w:line="74" w:lineRule="exact"/>
        <w:rPr>
          <w:sz w:val="20"/>
          <w:szCs w:val="20"/>
          <w:color w:val="auto"/>
        </w:rPr>
      </w:pPr>
    </w:p>
    <w:p>
      <w:pPr>
        <w:ind w:right="80" w:firstLine="630"/>
        <w:spacing w:after="0" w:line="260" w:lineRule="auto"/>
        <w:rPr>
          <w:sz w:val="20"/>
          <w:szCs w:val="20"/>
          <w:color w:val="auto"/>
        </w:rPr>
      </w:pPr>
      <w:r>
        <w:rPr>
          <w:rFonts w:ascii="Times New Roman" w:cs="Times New Roman" w:eastAsia="Times New Roman" w:hAnsi="Times New Roman"/>
          <w:sz w:val="20"/>
          <w:szCs w:val="20"/>
          <w:color w:val="auto"/>
        </w:rPr>
        <w:t xml:space="preserve">We engage in the </w:t>
      </w:r>
      <w:r>
        <w:rPr>
          <w:rFonts w:ascii="Times New Roman" w:cs="Times New Roman" w:eastAsia="Times New Roman" w:hAnsi="Times New Roman"/>
          <w:sz w:val="20"/>
          <w:szCs w:val="20"/>
          <w:color w:val="221E1F"/>
        </w:rPr>
        <w:t>periodic</w:t>
      </w:r>
      <w:r>
        <w:rPr>
          <w:rFonts w:ascii="Times New Roman" w:cs="Times New Roman" w:eastAsia="Times New Roman" w:hAnsi="Times New Roman"/>
          <w:sz w:val="20"/>
          <w:szCs w:val="20"/>
          <w:color w:val="auto"/>
        </w:rPr>
        <w:t xml:space="preserve"> assessment and testing of our </w:t>
      </w:r>
      <w:r>
        <w:rPr>
          <w:rFonts w:ascii="Times New Roman" w:cs="Times New Roman" w:eastAsia="Times New Roman" w:hAnsi="Times New Roman"/>
          <w:sz w:val="20"/>
          <w:szCs w:val="20"/>
          <w:color w:val="221E1F"/>
        </w:rPr>
        <w:t>cybersecurity program. These efforts include a wide range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21E1F"/>
        </w:rPr>
        <w:t>activities, including audits, assessments, vulnerability testing and other exercises focused on evaluating the effectiveness of our cybersecurity measures and planning. These activities may be performed by external cybersecurity and application security professionals.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21E1F"/>
        </w:rPr>
        <w:t>Governance</w:t>
      </w:r>
    </w:p>
    <w:p>
      <w:pPr>
        <w:spacing w:after="0" w:line="134" w:lineRule="exact"/>
        <w:rPr>
          <w:sz w:val="20"/>
          <w:szCs w:val="20"/>
          <w:color w:val="auto"/>
        </w:rPr>
      </w:pPr>
    </w:p>
    <w:p>
      <w:pPr>
        <w:ind w:right="60" w:firstLine="630"/>
        <w:spacing w:after="0" w:line="260" w:lineRule="auto"/>
        <w:rPr>
          <w:sz w:val="20"/>
          <w:szCs w:val="20"/>
          <w:color w:val="auto"/>
        </w:rPr>
      </w:pPr>
      <w:r>
        <w:rPr>
          <w:rFonts w:ascii="Times New Roman" w:cs="Times New Roman" w:eastAsia="Times New Roman" w:hAnsi="Times New Roman"/>
          <w:sz w:val="20"/>
          <w:szCs w:val="20"/>
          <w:color w:val="221E1F"/>
        </w:rPr>
        <w:t>The Board, in coordination with the Audit Committee, oversees our risk management process. The Board and the Audit Committee also receive prompt and timely information regarding any cybersecurity incident that meets established reporting thresholds, as well as ongoing updates regarding any such incident until it has been addressed. On a quarterly basis, the Audit Committee discuss our approach to cybersecurity risk management with the Head of IT.</w:t>
      </w:r>
    </w:p>
    <w:p>
      <w:pPr>
        <w:spacing w:after="0" w:line="83" w:lineRule="exact"/>
        <w:rPr>
          <w:sz w:val="20"/>
          <w:szCs w:val="20"/>
          <w:color w:val="auto"/>
        </w:rPr>
      </w:pPr>
    </w:p>
    <w:p>
      <w:pPr>
        <w:jc w:val="both"/>
        <w:ind w:right="140" w:firstLine="630"/>
        <w:spacing w:after="0" w:line="256" w:lineRule="auto"/>
        <w:rPr>
          <w:sz w:val="20"/>
          <w:szCs w:val="20"/>
          <w:color w:val="auto"/>
        </w:rPr>
      </w:pPr>
      <w:r>
        <w:rPr>
          <w:rFonts w:ascii="Times New Roman" w:cs="Times New Roman" w:eastAsia="Times New Roman" w:hAnsi="Times New Roman"/>
          <w:sz w:val="20"/>
          <w:szCs w:val="20"/>
          <w:color w:val="221E1F"/>
        </w:rPr>
        <w:t>Our Head of IT, in coordination with our executive management team, works collaboratively across the company to implement a program designed to protect our information systems from cybersecurity threats and to promptly respond to any cybersecurity incidents in accordance with our incident response and recovery plans. Through ongoing communications with our entire employee base and appropriate third-party contractors, the Head of IT and the executive management team monitor the prevention, detection, mitigation and remediation of cybersecurity threats and incidents in real time and report such threats and incidents to the Audit Committee when appropriate.</w:t>
      </w:r>
    </w:p>
    <w:p>
      <w:pPr>
        <w:spacing w:after="0" w:line="88" w:lineRule="exact"/>
        <w:rPr>
          <w:sz w:val="20"/>
          <w:szCs w:val="20"/>
          <w:color w:val="auto"/>
        </w:rPr>
      </w:pPr>
    </w:p>
    <w:p>
      <w:pPr>
        <w:ind w:right="200" w:firstLine="630"/>
        <w:spacing w:after="0" w:line="244" w:lineRule="auto"/>
        <w:rPr>
          <w:sz w:val="20"/>
          <w:szCs w:val="20"/>
          <w:color w:val="auto"/>
        </w:rPr>
      </w:pPr>
      <w:r>
        <w:rPr>
          <w:rFonts w:ascii="Times New Roman" w:cs="Times New Roman" w:eastAsia="Times New Roman" w:hAnsi="Times New Roman"/>
          <w:sz w:val="20"/>
          <w:szCs w:val="20"/>
          <w:color w:val="221E1F"/>
        </w:rPr>
        <w:t>Our Head of IT has over 20 years of IT experience in the pharmaceutical industry and oversees the cybersecurity program at AnaptysBio. He has experience developing and leading cybersecurity programs for pharmaceutical companies, including experience in evaluating and implementing tools and technologies that enable defense and response capabilities and developing critical cybersecurity procedures and training and awareness programs.</w:t>
      </w:r>
    </w:p>
    <w:p>
      <w:pPr>
        <w:spacing w:after="0" w:line="81" w:lineRule="exact"/>
        <w:rPr>
          <w:sz w:val="20"/>
          <w:szCs w:val="20"/>
          <w:color w:val="auto"/>
        </w:rPr>
      </w:pPr>
    </w:p>
    <w:p>
      <w:pPr>
        <w:jc w:val="both"/>
        <w:ind w:right="120" w:firstLine="630"/>
        <w:spacing w:after="0" w:line="266" w:lineRule="auto"/>
        <w:rPr>
          <w:sz w:val="20"/>
          <w:szCs w:val="20"/>
          <w:color w:val="auto"/>
        </w:rPr>
      </w:pPr>
      <w:r>
        <w:rPr>
          <w:rFonts w:ascii="Times New Roman" w:cs="Times New Roman" w:eastAsia="Times New Roman" w:hAnsi="Times New Roman"/>
          <w:sz w:val="20"/>
          <w:szCs w:val="20"/>
          <w:color w:val="221E1F"/>
        </w:rPr>
        <w:t>Although we are subject to ongoing and evolving cybersecurity threats, we are not aware of any material cybersecurity threats, that have materially affected or are reasonably likely to affect us, including our business strategy, results of operations or financial condition. For more information on our cybersecurity risks, see Item 1A “Risk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37" w:lineRule="exact"/>
        <w:rPr>
          <w:sz w:val="20"/>
          <w:szCs w:val="20"/>
          <w:color w:val="auto"/>
        </w:rPr>
      </w:pPr>
    </w:p>
    <w:p>
      <w:pPr>
        <w:ind w:right="20" w:firstLine="630"/>
        <w:spacing w:after="0" w:line="258" w:lineRule="auto"/>
        <w:rPr>
          <w:sz w:val="20"/>
          <w:szCs w:val="20"/>
          <w:color w:val="auto"/>
        </w:rPr>
      </w:pPr>
      <w:r>
        <w:rPr>
          <w:rFonts w:ascii="Times New Roman" w:cs="Times New Roman" w:eastAsia="Times New Roman" w:hAnsi="Times New Roman"/>
          <w:sz w:val="20"/>
          <w:szCs w:val="20"/>
          <w:color w:val="auto"/>
        </w:rPr>
        <w:t>Our principal executive office is located at 10770 Wateridge Circle in San Diego, California, and consists of approximately 45,000 square feet of leased office and laboratory space under a lease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We use these facilities for our administrative, research and development and other activities.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37"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0"/>
          <w:szCs w:val="20"/>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40"/>
          </w:cols>
          <w:pgMar w:left="1000" w:top="793" w:right="100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ectPr>
          <w:pgSz w:w="12240" w:h="15840" w:orient="portrait"/>
          <w:cols w:equalWidth="0" w:num="1">
            <w:col w:w="9800"/>
          </w:cols>
          <w:pgMar w:left="1000" w:top="786" w:right="1440" w:bottom="0" w:gutter="0" w:footer="0" w:header="0"/>
        </w:sectPr>
      </w:pP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Not applicable.</w:t>
      </w:r>
    </w:p>
    <w:p>
      <w:pPr>
        <w:sectPr>
          <w:pgSz w:w="12240" w:h="15840" w:orient="portrait"/>
          <w:cols w:equalWidth="0" w:num="1">
            <w:col w:w="9800"/>
          </w:cols>
          <w:pgMar w:left="1000" w:top="78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800"/>
          </w:cols>
          <w:pgMar w:left="1000" w:top="786" w:right="1440" w:bottom="0" w:gutter="0" w:footer="0" w:header="0"/>
          <w:type w:val="continuous"/>
        </w:sectPr>
      </w:pPr>
    </w:p>
    <w:bookmarkStart w:id="55" w:name="page56"/>
    <w:bookmarkEnd w:id="55"/>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Trading Symbol and Holders</w:t>
      </w:r>
    </w:p>
    <w:p>
      <w:pPr>
        <w:spacing w:after="0" w:line="137" w:lineRule="exact"/>
        <w:rPr>
          <w:sz w:val="20"/>
          <w:szCs w:val="20"/>
          <w:color w:val="auto"/>
        </w:rPr>
      </w:pPr>
    </w:p>
    <w:p>
      <w:pPr>
        <w:ind w:right="60" w:firstLine="630"/>
        <w:spacing w:after="0" w:line="266" w:lineRule="auto"/>
        <w:rPr>
          <w:sz w:val="20"/>
          <w:szCs w:val="20"/>
          <w:color w:val="auto"/>
        </w:rPr>
      </w:pPr>
      <w:r>
        <w:rPr>
          <w:rFonts w:ascii="Times New Roman" w:cs="Times New Roman" w:eastAsia="Times New Roman" w:hAnsi="Times New Roman"/>
          <w:sz w:val="20"/>
          <w:szCs w:val="20"/>
          <w:color w:val="auto"/>
        </w:rPr>
        <w:t>Our common stock has been listed on the Nasdaq Global Select market under the symbol “ANAB” since January 26, 2017. As of February 24, 2025, we had approximately seven holders of record of our common stock. This number does not include beneficial owners whose shares were held in street name.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37"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0"/>
          <w:szCs w:val="20"/>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We did not repurchase any of our registered equity securities during the quarter ended December 31,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40"/>
          </w:cols>
          <w:pgMar w:left="1000" w:top="786"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40"/>
          </w:cols>
          <w:pgMar w:left="1000" w:top="786" w:right="120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33"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You should read the following discussion and analysis of our financial condition and results of operations together with the historical consolidated financial statements and the notes thereto included in Part II, Item 8—Consolidated Financial Statements and Supplementary Data of this Annual Report on Form 10-K. This discussion and other sections of this Annual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 Item 1A of this Annual Report. You should also carefully read “Special Note Regarding Forward-Looking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7" w:lineRule="exact"/>
        <w:rPr>
          <w:sz w:val="20"/>
          <w:szCs w:val="20"/>
          <w:color w:val="auto"/>
        </w:rPr>
      </w:pPr>
    </w:p>
    <w:p>
      <w:pPr>
        <w:ind w:right="20" w:firstLine="540"/>
        <w:spacing w:after="0" w:line="270" w:lineRule="auto"/>
        <w:rPr>
          <w:sz w:val="20"/>
          <w:szCs w:val="20"/>
          <w:color w:val="auto"/>
        </w:rPr>
      </w:pPr>
      <w:r>
        <w:rPr>
          <w:rFonts w:ascii="Times New Roman" w:cs="Times New Roman" w:eastAsia="Times New Roman" w:hAnsi="Times New Roman"/>
          <w:sz w:val="19"/>
          <w:szCs w:val="19"/>
          <w:color w:val="auto"/>
        </w:rPr>
        <w:t>We are a clinical-stage biotechnology company focused on delivering innovative immunology therapeutics for autoimmune and inflammatory diseases. Our pipeline includes our lead program, rosnilimab, a depleter and agonist targeting PD-1+ T cells, in a Phase 2b trial for the treatment of moderate-to-severe rheumatoid arthritis (“RA”) and a Phase 2 trial for the treatment of moderate-to-severe ulcerative colitis (“UC”). We also have other antibodies in our portfolio, including ANB033, a CD122 antagonist in a Phase 1 trial and ANB101, a BDCA2 modulator, entering a Phase 1 trial. We have also discovered multiple therapeutic antibodies licensed to GlaxoSmithKline, Inc. (“GSK”) in a financial collaboration for immuno-oncology, including a PD-1 antagonist (</w:t>
      </w:r>
      <w:r>
        <w:rPr>
          <w:rFonts w:ascii="Times New Roman" w:cs="Times New Roman" w:eastAsia="Times New Roman" w:hAnsi="Times New Roman"/>
          <w:sz w:val="19"/>
          <w:szCs w:val="19"/>
          <w:b w:val="1"/>
          <w:bCs w:val="1"/>
          <w:i w:val="1"/>
          <w:iCs w:val="1"/>
          <w:color w:val="auto"/>
        </w:rPr>
        <w:t>Jemperli</w:t>
      </w:r>
      <w:r>
        <w:rPr>
          <w:rFonts w:ascii="Times New Roman" w:cs="Times New Roman" w:eastAsia="Times New Roman" w:hAnsi="Times New Roman"/>
          <w:sz w:val="19"/>
          <w:szCs w:val="19"/>
          <w:color w:val="auto"/>
        </w:rPr>
        <w:t xml:space="preserve"> (dostarlimab-gxly) or “</w:t>
      </w:r>
      <w:r>
        <w:rPr>
          <w:rFonts w:ascii="Times New Roman" w:cs="Times New Roman" w:eastAsia="Times New Roman" w:hAnsi="Times New Roman"/>
          <w:sz w:val="19"/>
          <w:szCs w:val="19"/>
          <w:b w:val="1"/>
          <w:bCs w:val="1"/>
          <w:i w:val="1"/>
          <w:iCs w:val="1"/>
          <w:color w:val="auto"/>
        </w:rPr>
        <w:t>Jemperli</w:t>
      </w:r>
      <w:r>
        <w:rPr>
          <w:rFonts w:ascii="Times New Roman" w:cs="Times New Roman" w:eastAsia="Times New Roman" w:hAnsi="Times New Roman"/>
          <w:sz w:val="19"/>
          <w:szCs w:val="19"/>
          <w:color w:val="auto"/>
        </w:rPr>
        <w:t>”) and a TIM-3 antagonist (cobolimab, GSK4069889). We currently recognize revenue from milestones and royalties achieved under our immuno-oncology collaboration with GSK.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Wholly Owned Product Candidate Pipeline</w:t>
      </w:r>
    </w:p>
    <w:p>
      <w:pPr>
        <w:spacing w:after="0" w:line="137" w:lineRule="exact"/>
        <w:rPr>
          <w:sz w:val="20"/>
          <w:szCs w:val="20"/>
          <w:color w:val="auto"/>
        </w:rPr>
      </w:pPr>
    </w:p>
    <w:p>
      <w:pPr>
        <w:ind w:right="20" w:firstLine="540"/>
        <w:spacing w:after="0" w:line="260" w:lineRule="auto"/>
        <w:rPr>
          <w:sz w:val="20"/>
          <w:szCs w:val="20"/>
          <w:color w:val="auto"/>
        </w:rPr>
      </w:pPr>
      <w:r>
        <w:rPr>
          <w:rFonts w:ascii="Times New Roman" w:cs="Times New Roman" w:eastAsia="Times New Roman" w:hAnsi="Times New Roman"/>
          <w:sz w:val="20"/>
          <w:szCs w:val="20"/>
          <w:color w:val="auto"/>
        </w:rPr>
        <w:t>Our immune cell modulating antibodies treat inflammatory disorders by down regulating immune responses mediated by multiple immune cell types including T cells. We believe these molecules have potential applicability across a broad range of autoimmune and inflammatory diseases including dermatology, rheumatology, gastroenterology, respiratory, and neurology therapeutic areas.</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Rosnilimab</w:t>
      </w:r>
    </w:p>
    <w:p>
      <w:pPr>
        <w:spacing w:after="0" w:line="139" w:lineRule="exact"/>
        <w:rPr>
          <w:sz w:val="20"/>
          <w:szCs w:val="20"/>
          <w:color w:val="auto"/>
        </w:rPr>
      </w:pPr>
    </w:p>
    <w:p>
      <w:pPr>
        <w:ind w:right="40" w:firstLine="540"/>
        <w:spacing w:after="0" w:line="258" w:lineRule="auto"/>
        <w:rPr>
          <w:sz w:val="20"/>
          <w:szCs w:val="20"/>
          <w:color w:val="auto"/>
        </w:rPr>
      </w:pPr>
      <w:r>
        <w:rPr>
          <w:rFonts w:ascii="Times New Roman" w:cs="Times New Roman" w:eastAsia="Times New Roman" w:hAnsi="Times New Roman"/>
          <w:sz w:val="20"/>
          <w:szCs w:val="20"/>
          <w:color w:val="auto"/>
        </w:rPr>
        <w:t>PD-1, or programmed cell death protein 1, is a co-inhibitory receptor that regulates T cell proliferation, and cytokine secretion. It is expressed preferentially on activated T cells, reducing the potential for off-target activity by rosnilimab. Genetic mutations in the PD-1 pathway are known to be associated with increased susceptibility to human inflammatory diseases which leads us to believe that rosnilimab is applicable to diseases where PD-1 co-inhibitory receptor function may be insufficient to maintain immune homeostasis.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Rosnilimab is an IgG1 antibody that directly targets PD-1+ T cells, resulting in their depletion or agonism, broadly</w:t>
      </w:r>
    </w:p>
    <w:p>
      <w:pPr>
        <w:spacing w:after="0" w:line="30"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impacting pathogenic drivers of autoimmune and inflammatory diseases. An IgG1 PD-1 agonist acts through three distinct mechanisms; depletion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effector T cells, depletion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Tfh and Tph cells, and agonism of PD-1</w:t>
      </w:r>
      <w:r>
        <w:rPr>
          <w:rFonts w:ascii="Times New Roman" w:cs="Times New Roman" w:eastAsia="Times New Roman" w:hAnsi="Times New Roman"/>
          <w:sz w:val="25"/>
          <w:szCs w:val="25"/>
          <w:color w:val="auto"/>
          <w:vertAlign w:val="superscript"/>
        </w:rPr>
        <w:t>int</w:t>
      </w:r>
      <w:r>
        <w:rPr>
          <w:rFonts w:ascii="Times New Roman" w:cs="Times New Roman" w:eastAsia="Times New Roman" w:hAnsi="Times New Roman"/>
          <w:sz w:val="19"/>
          <w:szCs w:val="19"/>
          <w:color w:val="auto"/>
        </w:rPr>
        <w:t xml:space="preserve"> T cells. This</w:t>
      </w:r>
    </w:p>
    <w:p>
      <w:pPr>
        <w:spacing w:after="0" w:line="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drives specific immunological outcomes in both inflamed tissue and the periphery, such as reduction in T cell proliferation, migration, and cytokine secretion, and reduction of plasma cell generation and autoantibody levels. Rosnilimab is designed to enable formation of a tight immune synapse by binding to PD-1 on a membrane-proximal epitope, and simultaneously anchoring to an Fc receptor on an opposing cell, supporting crosslinking and excluding activating phosphatases such as CD45. Rosnilimab also facilitates depletion by bringing effector cells into closer proximity to pathogenically activated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T cells.</w:t>
      </w:r>
    </w:p>
    <w:p>
      <w:pPr>
        <w:spacing w:after="0" w:line="12" w:lineRule="exact"/>
        <w:rPr>
          <w:sz w:val="20"/>
          <w:szCs w:val="20"/>
          <w:color w:val="auto"/>
        </w:rPr>
      </w:pPr>
    </w:p>
    <w:p>
      <w:pPr>
        <w:ind w:right="140" w:firstLine="540"/>
        <w:spacing w:after="0" w:line="262"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studies, when PD-1+ T cells were cocultured in the presence of NK cells, rosnilimab demonstrated potent depletion of PD-1+ T cells. In separate in </w:t>
      </w:r>
      <w:r>
        <w:rPr>
          <w:rFonts w:ascii="Times New Roman" w:cs="Times New Roman" w:eastAsia="Times New Roman" w:hAnsi="Times New Roman"/>
          <w:sz w:val="20"/>
          <w:szCs w:val="20"/>
          <w:b w:val="1"/>
          <w:bCs w:val="1"/>
          <w:i w:val="1"/>
          <w:iCs w:val="1"/>
          <w:color w:val="auto"/>
        </w:rPr>
        <w:t>vitro</w:t>
      </w:r>
      <w:r>
        <w:rPr>
          <w:rFonts w:ascii="Times New Roman" w:cs="Times New Roman" w:eastAsia="Times New Roman" w:hAnsi="Times New Roman"/>
          <w:sz w:val="20"/>
          <w:szCs w:val="20"/>
          <w:color w:val="auto"/>
        </w:rPr>
        <w:t xml:space="preserve"> studies, in which T cells were stimulated in the presence of only dendritic cells (in the absence of any cells capable of mediating depletion), rosnilimab demonstrated potent agonism properties such as a reduction in PD-1+ T cell proliferation and reduction in secretion of inflammatory cytokines.</w:t>
      </w:r>
    </w:p>
    <w:p>
      <w:pPr>
        <w:spacing w:after="0" w:line="80"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20"/>
          <w:szCs w:val="20"/>
          <w:color w:val="auto"/>
        </w:rPr>
        <w:t>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w:t>
      </w:r>
    </w:p>
    <w:p>
      <w:pPr>
        <w:spacing w:after="0" w:line="84" w:lineRule="exact"/>
        <w:rPr>
          <w:sz w:val="20"/>
          <w:szCs w:val="20"/>
          <w:color w:val="auto"/>
        </w:rPr>
      </w:pPr>
    </w:p>
    <w:p>
      <w:pPr>
        <w:ind w:right="220" w:firstLine="540"/>
        <w:spacing w:after="0" w:line="274" w:lineRule="auto"/>
        <w:rPr>
          <w:sz w:val="20"/>
          <w:szCs w:val="20"/>
          <w:color w:val="auto"/>
        </w:rPr>
      </w:pPr>
      <w:r>
        <w:rPr>
          <w:rFonts w:ascii="Times New Roman" w:cs="Times New Roman" w:eastAsia="Times New Roman" w:hAnsi="Times New Roman"/>
          <w:sz w:val="19"/>
          <w:szCs w:val="19"/>
          <w:color w:val="auto"/>
        </w:rPr>
        <w:t>Rosnilimab demonstrated a favorable pharmacokinetic (“PK”) profile with an estimated two-week half-life for subcutaneous and IV routes of administration. Full PD-1 receptor occupancy was observed rapidly and was maintained for at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9"/>
          <w:szCs w:val="19"/>
          <w:color w:val="auto"/>
        </w:rPr>
        <w:t>least 30 days. Potent and sustained reduction was observed in peripheral PD-1+ T cells for &gt;30 days, including &gt;90% reduction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T cells and a &gt;50% reduction of PD-1+ T cells bringing the overall T cell composition to a less activated state,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without meaningfully reducing overall T cell numbers.</w:t>
      </w:r>
    </w:p>
    <w:p>
      <w:pPr>
        <w:sectPr>
          <w:pgSz w:w="12240" w:h="15840" w:orient="portrait"/>
          <w:cols w:equalWidth="0" w:num="1">
            <w:col w:w="10220"/>
          </w:cols>
          <w:pgMar w:left="1000" w:top="78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20"/>
          </w:cols>
          <w:pgMar w:left="1000" w:top="786" w:right="1020" w:bottom="0" w:gutter="0" w:footer="0" w:header="0"/>
          <w:type w:val="continuous"/>
        </w:sectPr>
      </w:pPr>
    </w:p>
    <w:bookmarkStart w:id="57" w:name="page58"/>
    <w:bookmarkEnd w:id="57"/>
    <w:p>
      <w:pPr>
        <w:ind w:right="340" w:firstLine="540"/>
        <w:spacing w:after="0" w:line="258" w:lineRule="auto"/>
        <w:rPr>
          <w:sz w:val="20"/>
          <w:szCs w:val="20"/>
          <w:color w:val="auto"/>
        </w:rPr>
      </w:pPr>
      <w:r>
        <w:rPr>
          <w:rFonts w:ascii="Times New Roman" w:cs="Times New Roman" w:eastAsia="Times New Roman" w:hAnsi="Times New Roman"/>
          <w:sz w:val="20"/>
          <w:szCs w:val="20"/>
          <w:color w:val="auto"/>
        </w:rPr>
        <w:t>In February 2025, we announced top-line data from rosnilimab’s randomized, placebo-controlled, global 424-patient, Phase 2b clinical trial for moderate-to-severe rheumatoid arthritis. Patients were randomized to receive either 100mg of subcutaneous rosnilimab every four weeks (Q4W), 400mg Q4W, 600mg every two weeks (Q2W), or placebo. The trial achieved its primary endpoint of the mean change from baseline in baseline disease activity score -- 28 joints (DAS-28) C-Reactive Protein (CRP) score at Week 12 for all three doses of rosnilimab compared to the placebo.</w:t>
      </w:r>
    </w:p>
    <w:p>
      <w:pPr>
        <w:spacing w:after="0" w:line="84"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20"/>
          <w:szCs w:val="20"/>
          <w:color w:val="auto"/>
        </w:rPr>
        <w:t>Rosnilimab achieved statistical significance in at least one dose and numerical superiority at all doses, including once monthly administration, on key secondary endpoints of ACR20, ACR50 and clinical disease activity index (CDAI) low disease activity (LDA) score at Week 12. Following completion of the Week 14 visit, 69% (or 220 of the 318) rosnilimab-treated patients who achieved CDAI LDA and continued their assigned treatment in a blinded, all-active treatment period as of the December 10, 2024 data cutoff, appeared to show sustained CDAI LDA, ACR50 and ACR70 responses out to end-of-treatment at Week 28. These Phase 2b data to date have demonstrated a favorable safety and tolerability profile.</w:t>
      </w:r>
    </w:p>
    <w:p>
      <w:pPr>
        <w:spacing w:after="0" w:line="88" w:lineRule="exact"/>
        <w:rPr>
          <w:sz w:val="20"/>
          <w:szCs w:val="20"/>
          <w:color w:val="auto"/>
        </w:rPr>
      </w:pPr>
    </w:p>
    <w:p>
      <w:pPr>
        <w:ind w:right="100" w:firstLine="540"/>
        <w:spacing w:after="0"/>
        <w:rPr>
          <w:sz w:val="20"/>
          <w:szCs w:val="20"/>
          <w:color w:val="auto"/>
        </w:rPr>
      </w:pPr>
      <w:r>
        <w:rPr>
          <w:rFonts w:ascii="Times New Roman" w:cs="Times New Roman" w:eastAsia="Times New Roman" w:hAnsi="Times New Roman"/>
          <w:sz w:val="20"/>
          <w:szCs w:val="20"/>
          <w:color w:val="auto"/>
        </w:rPr>
        <w:t>Translational blood biomarker data, across all doses in the Phase 2b trial, showed similar immunological impact with robust on-target pharmacological activity in rosnilimab-treated patients that was not observed in patients on placebo. Rosnilimab demonstrated rapid and sustained reduction of approximately 90% PD-1</w:t>
      </w:r>
      <w:r>
        <w:rPr>
          <w:rFonts w:ascii="Times New Roman" w:cs="Times New Roman" w:eastAsia="Times New Roman" w:hAnsi="Times New Roman"/>
          <w:sz w:val="26"/>
          <w:szCs w:val="26"/>
          <w:color w:val="auto"/>
          <w:vertAlign w:val="superscript"/>
        </w:rPr>
        <w:t>high</w:t>
      </w:r>
      <w:r>
        <w:rPr>
          <w:rFonts w:ascii="Times New Roman" w:cs="Times New Roman" w:eastAsia="Times New Roman" w:hAnsi="Times New Roman"/>
          <w:sz w:val="20"/>
          <w:szCs w:val="20"/>
          <w:color w:val="auto"/>
        </w:rPr>
        <w:t xml:space="preserve"> T cells and approximately 50% of PD-1+ T cells, and an increase in total Tregs. Additionally, an approximate 50% reduction in the mean CRP from baseline was observed in rosnilimab-treated patients through the entire trial period that was not observed in patients on placebo.</w:t>
      </w:r>
    </w:p>
    <w:p>
      <w:pPr>
        <w:spacing w:after="0" w:line="101" w:lineRule="exact"/>
        <w:rPr>
          <w:sz w:val="20"/>
          <w:szCs w:val="20"/>
          <w:color w:val="auto"/>
        </w:rPr>
      </w:pPr>
    </w:p>
    <w:p>
      <w:pPr>
        <w:ind w:right="260" w:firstLine="540"/>
        <w:spacing w:after="0" w:line="258" w:lineRule="auto"/>
        <w:rPr>
          <w:sz w:val="20"/>
          <w:szCs w:val="20"/>
          <w:color w:val="auto"/>
        </w:rPr>
      </w:pPr>
      <w:r>
        <w:rPr>
          <w:rFonts w:ascii="Times New Roman" w:cs="Times New Roman" w:eastAsia="Times New Roman" w:hAnsi="Times New Roman"/>
          <w:sz w:val="20"/>
          <w:szCs w:val="20"/>
          <w:color w:val="auto"/>
        </w:rPr>
        <w:t>We are also conducting a randomized placebo-controlled 132-patient, global Phase 2 trial assessing two dose levels of subcutaneously administered rosnilimab in moderate-to-severe UC. Rosnilimab will be dosed for up to 48 weeks on well-established endpoints including clinical remission on the modified Mayo score (“mMS”), clinical response on the mMS and endoscopic remission. We anticipate reporting top-line data on the primary endpoint at Week 12 in the UC trial in the fourth quarter of 2025.</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ANB033</w:t>
      </w:r>
    </w:p>
    <w:p>
      <w:pPr>
        <w:spacing w:after="0" w:line="139" w:lineRule="exact"/>
        <w:rPr>
          <w:sz w:val="20"/>
          <w:szCs w:val="20"/>
          <w:color w:val="auto"/>
        </w:rPr>
      </w:pPr>
    </w:p>
    <w:p>
      <w:pPr>
        <w:ind w:right="120" w:firstLine="540"/>
        <w:spacing w:after="0" w:line="254" w:lineRule="auto"/>
        <w:rPr>
          <w:sz w:val="20"/>
          <w:szCs w:val="20"/>
          <w:color w:val="auto"/>
        </w:rPr>
      </w:pPr>
      <w:r>
        <w:rPr>
          <w:rFonts w:ascii="Times New Roman" w:cs="Times New Roman" w:eastAsia="Times New Roman" w:hAnsi="Times New Roman"/>
          <w:sz w:val="20"/>
          <w:szCs w:val="20"/>
          <w:color w:val="auto"/>
        </w:rPr>
        <w:t>ANB033 targets CD122, the common beta subunit shared by the IL-15 and IL-2 receptors. IL-15 and IL-2 signaling mediate the proliferation and survival of NK cells and certain CD8 T cell subsets. ANB033 is an antibody designed with an 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the potential to achieve and maintain remission of inflammation through the reduction of disease-causing NK cells and certain CD8 T cell subsets, while sparing regulatory T cells. By preventing the consumption of IL-2 by pathogenic cells that express the low affinity IL-2 receptor, circulating levels of IL-2 may increase, potentially enhancing regulatory T cell numbers that express the high affinity IL-2 receptor in the setting of inflammation. We initiated a Phase 1 clinical trial of ANB033 in October 2024.</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ANB101</w:t>
      </w:r>
    </w:p>
    <w:p>
      <w:pPr>
        <w:spacing w:after="0" w:line="139"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Blood dendritic cell antigen 2 (“BDCA2”) is a molecule specifically expressed on plasmacytoid dendritic cells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 We plan to initiate enrollment for a Phase 1 clinical trial in the first quarter of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Collaborative Programs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GSK Collaboration</w:t>
      </w:r>
    </w:p>
    <w:p>
      <w:pPr>
        <w:spacing w:after="0" w:line="139" w:lineRule="exact"/>
        <w:rPr>
          <w:sz w:val="20"/>
          <w:szCs w:val="20"/>
          <w:color w:val="auto"/>
        </w:rPr>
      </w:pPr>
    </w:p>
    <w:p>
      <w:pPr>
        <w:ind w:right="300" w:firstLine="540"/>
        <w:spacing w:after="0" w:line="281" w:lineRule="auto"/>
        <w:rPr>
          <w:sz w:val="20"/>
          <w:szCs w:val="20"/>
          <w:color w:val="auto"/>
        </w:rPr>
      </w:pPr>
      <w:r>
        <w:rPr>
          <w:rFonts w:ascii="Times New Roman" w:cs="Times New Roman" w:eastAsia="Times New Roman" w:hAnsi="Times New Roman"/>
          <w:sz w:val="20"/>
          <w:szCs w:val="20"/>
          <w:color w:val="auto"/>
        </w:rPr>
        <w:t>Multiple company-discovered antibody programs have been advanced to preclinical and clinical milestones under our collaborations. Our collaborations include an immuno-oncology-focused collaboration with GSK.</w:t>
      </w:r>
    </w:p>
    <w:p>
      <w:pPr>
        <w:spacing w:after="0" w:line="61" w:lineRule="exact"/>
        <w:rPr>
          <w:sz w:val="20"/>
          <w:szCs w:val="20"/>
          <w:color w:val="auto"/>
        </w:rPr>
      </w:pPr>
    </w:p>
    <w:p>
      <w:pPr>
        <w:ind w:right="140" w:firstLine="540"/>
        <w:spacing w:after="0" w:line="258" w:lineRule="auto"/>
        <w:rPr>
          <w:sz w:val="20"/>
          <w:szCs w:val="20"/>
          <w:color w:val="auto"/>
        </w:rPr>
      </w:pPr>
      <w:r>
        <w:rPr>
          <w:rFonts w:ascii="Times New Roman" w:cs="Times New Roman" w:eastAsia="Times New Roman" w:hAnsi="Times New Roman"/>
          <w:sz w:val="20"/>
          <w:szCs w:val="20"/>
          <w:color w:val="auto"/>
        </w:rPr>
        <w:t xml:space="preserve">Under the GSK Agreement, a Biologics License Application (“BLA”) for our most advanced partnered program, which is a PD-1 antagonist antibody called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for use in women with</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40"/>
          </w:cols>
          <w:pgMar w:left="1000" w:top="793" w:right="1000" w:bottom="0" w:gutter="0" w:footer="0" w:header="0"/>
          <w:type w:val="continuous"/>
        </w:sectPr>
      </w:pPr>
    </w:p>
    <w:bookmarkStart w:id="58" w:name="page59"/>
    <w:bookmarkEnd w:id="58"/>
    <w:p>
      <w:pPr>
        <w:ind w:right="40"/>
        <w:spacing w:after="0" w:line="254" w:lineRule="auto"/>
        <w:rPr>
          <w:sz w:val="20"/>
          <w:szCs w:val="20"/>
          <w:color w:val="auto"/>
        </w:rPr>
      </w:pPr>
      <w:r>
        <w:rPr>
          <w:rFonts w:ascii="Times New Roman" w:cs="Times New Roman" w:eastAsia="Times New Roman" w:hAnsi="Times New Roman"/>
          <w:sz w:val="20"/>
          <w:szCs w:val="20"/>
          <w:color w:val="auto"/>
        </w:rPr>
        <w:t xml:space="preserve">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in pan-deficient mismatch repair tumors (PdMMRT). In July 2023, the FDA approved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in combination with chemotherapy for the treatment of adult patients with dMMR MSI-H primary advanced or recurrent endometrial cancer. In December 2023, the EMA approved, in the EU,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plus chemotherapy for dMMR/MSI-H primary advanced or recurrent endometrial cancer. In August 2024, the FDA approved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plus chemotherapy for all adult patients with primary advanced or recurrent endometrial cancer. In January 2025, the EMA approved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plus chemotherapy for this same indication.</w:t>
      </w:r>
    </w:p>
    <w:p>
      <w:pPr>
        <w:spacing w:after="0" w:line="89" w:lineRule="exact"/>
        <w:rPr>
          <w:sz w:val="20"/>
          <w:szCs w:val="20"/>
          <w:color w:val="auto"/>
        </w:rPr>
      </w:pPr>
    </w:p>
    <w:p>
      <w:pPr>
        <w:ind w:right="540" w:firstLine="540"/>
        <w:spacing w:after="0" w:line="285" w:lineRule="auto"/>
        <w:rPr>
          <w:sz w:val="20"/>
          <w:szCs w:val="20"/>
          <w:color w:val="auto"/>
        </w:rPr>
      </w:pPr>
      <w:r>
        <w:rPr>
          <w:rFonts w:ascii="Times New Roman" w:cs="Times New Roman" w:eastAsia="Times New Roman" w:hAnsi="Times New Roman"/>
          <w:sz w:val="20"/>
          <w:szCs w:val="20"/>
          <w:color w:val="auto"/>
        </w:rPr>
        <w:t xml:space="preserve">For the year ended December 31, 2024, GSK reported $598.0 million sales 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a greater than 200% sales growth when compared to $175.6 million for the year ended December 31, 2023.</w:t>
      </w:r>
    </w:p>
    <w:p>
      <w:pPr>
        <w:spacing w:after="0" w:line="58" w:lineRule="exact"/>
        <w:rPr>
          <w:sz w:val="20"/>
          <w:szCs w:val="20"/>
          <w:color w:val="auto"/>
        </w:rPr>
      </w:pPr>
    </w:p>
    <w:p>
      <w:pPr>
        <w:jc w:val="both"/>
        <w:ind w:right="160" w:firstLine="540"/>
        <w:spacing w:after="0" w:line="258" w:lineRule="auto"/>
        <w:rPr>
          <w:sz w:val="20"/>
          <w:szCs w:val="20"/>
          <w:color w:val="auto"/>
        </w:rPr>
      </w:pPr>
      <w:r>
        <w:rPr>
          <w:rFonts w:ascii="Times New Roman" w:cs="Times New Roman" w:eastAsia="Times New Roman" w:hAnsi="Times New Roman"/>
          <w:sz w:val="20"/>
          <w:szCs w:val="20"/>
          <w:color w:val="auto"/>
        </w:rPr>
        <w:t>In addition, under the collaboration, GSK is developing dostarlimab in combination with another development program from the GSK Agreement, including cobolimab, a 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the first half of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Vanda Pharmaceuticals Collaboration</w:t>
      </w:r>
    </w:p>
    <w:p>
      <w:pPr>
        <w:spacing w:after="0" w:line="139" w:lineRule="exact"/>
        <w:rPr>
          <w:sz w:val="20"/>
          <w:szCs w:val="20"/>
          <w:color w:val="auto"/>
        </w:rPr>
      </w:pPr>
    </w:p>
    <w:p>
      <w:pPr>
        <w:ind w:right="260" w:firstLine="540"/>
        <w:spacing w:after="0" w:line="258" w:lineRule="auto"/>
        <w:rPr>
          <w:sz w:val="20"/>
          <w:szCs w:val="20"/>
          <w:color w:val="auto"/>
        </w:rPr>
      </w:pPr>
      <w:r>
        <w:rPr>
          <w:rFonts w:ascii="Times New Roman" w:cs="Times New Roman" w:eastAsia="Times New Roman" w:hAnsi="Times New Roman"/>
          <w:sz w:val="20"/>
          <w:szCs w:val="20"/>
          <w:color w:val="auto"/>
        </w:rPr>
        <w:t>On January 31, 2025, we entered into an Exclusive License Agreement (the “License Agreement”) with Vanda Pharmaceuticals Inc.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spacing w:after="0" w:line="84" w:lineRule="exact"/>
        <w:rPr>
          <w:sz w:val="20"/>
          <w:szCs w:val="20"/>
          <w:color w:val="auto"/>
        </w:rPr>
      </w:pPr>
    </w:p>
    <w:p>
      <w:pPr>
        <w:ind w:firstLine="540"/>
        <w:spacing w:after="0" w:line="266" w:lineRule="auto"/>
        <w:rPr>
          <w:sz w:val="20"/>
          <w:szCs w:val="20"/>
          <w:color w:val="auto"/>
        </w:rPr>
      </w:pPr>
      <w:r>
        <w:rPr>
          <w:rFonts w:ascii="Times New Roman" w:cs="Times New Roman" w:eastAsia="Times New Roman" w:hAnsi="Times New Roman"/>
          <w:sz w:val="20"/>
          <w:szCs w:val="20"/>
          <w:color w:val="auto"/>
        </w:rPr>
        <w:t>Pursuant to the terms of the License Agreement, we will receive an upfront payment of $10.0 million and a $5.0 million payment for existing drug supply. Anaptys is also eligible to receive up to $35.0 million for future regulatory approval and sales milestones in addition to a 10% royalty on net sales.</w:t>
      </w:r>
    </w:p>
    <w:p>
      <w:pPr>
        <w:spacing w:after="0" w:line="75" w:lineRule="exact"/>
        <w:rPr>
          <w:sz w:val="20"/>
          <w:szCs w:val="20"/>
          <w:color w:val="auto"/>
        </w:rPr>
      </w:pPr>
    </w:p>
    <w:p>
      <w:pPr>
        <w:ind w:right="600" w:firstLine="540"/>
        <w:spacing w:after="0" w:line="281" w:lineRule="auto"/>
        <w:rPr>
          <w:sz w:val="20"/>
          <w:szCs w:val="20"/>
          <w:color w:val="auto"/>
        </w:rPr>
      </w:pPr>
      <w:r>
        <w:rPr>
          <w:rFonts w:ascii="Times New Roman" w:cs="Times New Roman" w:eastAsia="Times New Roman" w:hAnsi="Times New Roman"/>
          <w:sz w:val="20"/>
          <w:szCs w:val="20"/>
          <w:color w:val="auto"/>
        </w:rPr>
        <w:t>For more information about these collaborations, see “— Collaborations” included in Part I, Item 1 of this Annual Report.</w:t>
      </w:r>
    </w:p>
    <w:p>
      <w:pPr>
        <w:spacing w:after="0" w:line="61" w:lineRule="exact"/>
        <w:rPr>
          <w:sz w:val="20"/>
          <w:szCs w:val="20"/>
          <w:color w:val="auto"/>
        </w:rPr>
      </w:pPr>
    </w:p>
    <w:p>
      <w:pPr>
        <w:ind w:right="20" w:firstLine="630"/>
        <w:spacing w:after="0" w:line="260" w:lineRule="auto"/>
        <w:rPr>
          <w:sz w:val="20"/>
          <w:szCs w:val="20"/>
          <w:color w:val="auto"/>
        </w:rPr>
      </w:pPr>
      <w:r>
        <w:rPr>
          <w:rFonts w:ascii="Times New Roman" w:cs="Times New Roman" w:eastAsia="Times New Roman" w:hAnsi="Times New Roman"/>
          <w:sz w:val="20"/>
          <w:szCs w:val="20"/>
          <w:color w:val="auto"/>
        </w:rPr>
        <w:t>As of December 31, 2024, we had an accumulated deficit of $759.3 million, primarily as a result of losses incurred since our inception in 2005.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83" w:lineRule="exact"/>
        <w:rPr>
          <w:sz w:val="20"/>
          <w:szCs w:val="20"/>
          <w:color w:val="auto"/>
        </w:rPr>
      </w:pPr>
    </w:p>
    <w:p>
      <w:pPr>
        <w:ind w:right="100" w:firstLine="630"/>
        <w:spacing w:after="0" w:line="260" w:lineRule="auto"/>
        <w:rPr>
          <w:sz w:val="20"/>
          <w:szCs w:val="20"/>
          <w:color w:val="auto"/>
        </w:rPr>
      </w:pPr>
      <w:r>
        <w:rPr>
          <w:rFonts w:ascii="Times New Roman" w:cs="Times New Roman" w:eastAsia="Times New Roman" w:hAnsi="Times New Roman"/>
          <w:sz w:val="20"/>
          <w:szCs w:val="20"/>
          <w:color w:val="auto"/>
        </w:rPr>
        <w:t>For our discussion related to the results of our operations and liquidity and capital resources for fiscal year ended December 31, 2023 compared to the year ended December 31, 2022, please refer to Part II, Item 7, “Management’s Discussion and Analysis of Financial Condition and Results of Operations” in our Annual Report on Form 10-K for the year ended December 31, 2023.</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Overview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 Revenue</w:t>
      </w:r>
    </w:p>
    <w:p>
      <w:pPr>
        <w:spacing w:after="0" w:line="139" w:lineRule="exact"/>
        <w:rPr>
          <w:sz w:val="20"/>
          <w:szCs w:val="20"/>
          <w:color w:val="auto"/>
        </w:rPr>
      </w:pPr>
    </w:p>
    <w:p>
      <w:pPr>
        <w:ind w:right="100" w:firstLine="630"/>
        <w:spacing w:after="0" w:line="260" w:lineRule="auto"/>
        <w:rPr>
          <w:sz w:val="20"/>
          <w:szCs w:val="20"/>
          <w:color w:val="auto"/>
        </w:rPr>
      </w:pPr>
      <w:r>
        <w:rPr>
          <w:rFonts w:ascii="Times New Roman" w:cs="Times New Roman" w:eastAsia="Times New Roman" w:hAnsi="Times New Roman"/>
          <w:sz w:val="20"/>
          <w:szCs w:val="20"/>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December 31, 2024, we have recognized $346.5 million in revenue from our collaborators.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 and Exclusive License Agreement with GSK</w:t>
      </w:r>
    </w:p>
    <w:p>
      <w:pPr>
        <w:spacing w:after="0" w:line="139" w:lineRule="exact"/>
        <w:rPr>
          <w:sz w:val="20"/>
          <w:szCs w:val="20"/>
          <w:color w:val="auto"/>
        </w:rPr>
      </w:pPr>
    </w:p>
    <w:p>
      <w:pPr>
        <w:ind w:right="60" w:firstLine="540"/>
        <w:spacing w:after="0" w:line="237" w:lineRule="auto"/>
        <w:rPr>
          <w:sz w:val="20"/>
          <w:szCs w:val="20"/>
          <w:color w:val="auto"/>
        </w:rPr>
      </w:pPr>
      <w:r>
        <w:rPr>
          <w:rFonts w:ascii="Times New Roman" w:cs="Times New Roman" w:eastAsia="Times New Roman" w:hAnsi="Times New Roman"/>
          <w:sz w:val="20"/>
          <w:szCs w:val="20"/>
          <w:color w:val="auto"/>
        </w:rPr>
        <w:t xml:space="preserve">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(dostarlimab) as a monotherapy for various solid tumor indications. In addition, GSK is developing dostarlimab in combination with additional therapies under the collaboration, including with another development program from the GSK Agreement: cobolimab, a TIM-3 antibody, in 2L NSCLC. In October 2023, Amendment No. 5 to the GSK Agreement (the “GSK Amendment No. 5”) was agreed by both parties to terminate the LAG-3 antagonist antibody development program under the GSK Agreement. In accordance with the GSK Agreement and the GSK Amendment No. 5, we have regained full global rights to the LAG-3 antagonist antibody development program.</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40"/>
          </w:cols>
          <w:pgMar w:left="1000" w:top="793" w:right="1000" w:bottom="0" w:gutter="0" w:footer="0" w:header="0"/>
          <w:type w:val="continuous"/>
        </w:sectPr>
      </w:pPr>
    </w:p>
    <w:bookmarkStart w:id="59" w:name="page60"/>
    <w:bookmarkEnd w:id="59"/>
    <w:p>
      <w:pPr>
        <w:ind w:left="620"/>
        <w:spacing w:after="0"/>
        <w:rPr>
          <w:sz w:val="20"/>
          <w:szCs w:val="20"/>
          <w:color w:val="auto"/>
        </w:rPr>
      </w:pPr>
      <w:r>
        <w:rPr>
          <w:rFonts w:ascii="Times New Roman" w:cs="Times New Roman" w:eastAsia="Times New Roman" w:hAnsi="Times New Roman"/>
          <w:sz w:val="20"/>
          <w:szCs w:val="20"/>
          <w:color w:val="auto"/>
        </w:rPr>
        <w:t>For each remaining development program under the GSK Agreement, we are eligible to receive milestone payments if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preclinical and clinical trial events are achieved by GSK, if certain U.S. and European regulatory submissions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approvals in multiple indications are achieved, and upon the achievement of specified levels of annual worldwide net sales. We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 also be eligible to receive tiered 4-8% royalties related to worldwide net sales of products developed under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collaboration. On October 23, 2020, Amendment No. 3 to the GSK Agreement (the “GSK Amendment No. 3”) was agreed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both parties to permit GSK to conduct development and commercialization in combination with any third party molecules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Zejula, an oral, once-daily poly (ADP-ribose) polymerase (PARP) inhibitor (“Zejula”). Under GSK Amendment No. 3, we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were granted increased royalties upon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equal to 8% of Net Sales (as defined in the GSK Agreement) below</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 billion, 12% of Net Sales between $1.0 billion and $1.5 billion, 20% of Net Sales between $1.5 billion and $2.5 billion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 of Net Sales above $2.5 billion. Unless earlier terminated by either party upon specified circumstances, the GSK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will terminate, with respect to each specific developed product, upon the later of the 12th anniversary of the first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commercial sale of the product or the expiration of the last to expire of any patent.</w:t>
      </w:r>
    </w:p>
    <w:p>
      <w:pPr>
        <w:spacing w:after="0" w:line="106" w:lineRule="exact"/>
        <w:rPr>
          <w:sz w:val="20"/>
          <w:szCs w:val="20"/>
          <w:color w:val="auto"/>
        </w:rPr>
      </w:pPr>
    </w:p>
    <w:p>
      <w:pPr>
        <w:ind w:right="220" w:firstLine="630"/>
        <w:spacing w:after="0" w:line="259" w:lineRule="auto"/>
        <w:rPr>
          <w:sz w:val="20"/>
          <w:szCs w:val="20"/>
          <w:color w:val="auto"/>
        </w:rPr>
      </w:pPr>
      <w:r>
        <w:rPr>
          <w:rFonts w:ascii="Times New Roman" w:cs="Times New Roman" w:eastAsia="Times New Roman" w:hAnsi="Times New Roman"/>
          <w:sz w:val="20"/>
          <w:szCs w:val="20"/>
          <w:color w:val="auto"/>
        </w:rPr>
        <w:t>In October 2021, we signed a royalty monetization agreement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with Sagard Healthcare Royalty Partners, LP (“Sagard”). Under the terms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we received $250.0 million in exchange for royalties and milestones payable to us under our GSK collaboration on annual global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We retained the rights to a $75.0 million sales milestone when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annual Net Sales exceed $1 billion.</w:t>
      </w:r>
    </w:p>
    <w:p>
      <w:pPr>
        <w:spacing w:after="0" w:line="79"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 xml:space="preserve">In May 2024, we entered into an amendment to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Amendment No. 1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under which we sold additional receivables to Sagard in exchange for $50.0 million.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includes all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sales, including any product containing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whether or not such product constitutes a combination product, and the threshold amounts of aggregate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milestones to be received by Sagard under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is either $600.0 million if received by the end of March 31, 2031, or $675.0 million if received thereafter. Once either of these thresholds are met,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and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will expire, resulting in us regaining all subsequent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milestones. As of January 31, 2025, Sagard has received a total of $88.8 million in royalties and milestones. For more information see Note 5 — Sale of Future Royalties in the accompanying notes to the consolidated financial statements included in Part II, Item 8, “Consolidated Financial Statements and Supplementary Data” of this Annual Report on Form 10-K.</w:t>
      </w:r>
    </w:p>
    <w:p>
      <w:pPr>
        <w:spacing w:after="0" w:line="90" w:lineRule="exact"/>
        <w:rPr>
          <w:sz w:val="20"/>
          <w:szCs w:val="20"/>
          <w:color w:val="auto"/>
        </w:rPr>
      </w:pPr>
    </w:p>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Milestones under the GSK Agreement are as follows: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40"/>
          </w:cols>
          <w:pgMar w:left="1000" w:top="793" w:right="1000" w:bottom="0" w:gutter="0" w:footer="0" w:header="0"/>
          <w:type w:val="continuous"/>
        </w:sectPr>
      </w:pPr>
    </w:p>
    <w:bookmarkStart w:id="60" w:name="page61"/>
    <w:bookmarkEnd w:id="60"/>
    <w:tbl>
      <w:tblPr>
        <w:tblLayout w:type="fixed"/>
        <w:tblInd w:w="12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PD-1</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TIM-3</w:t>
            </w:r>
          </w:p>
        </w:tc>
        <w:tc>
          <w:tcPr>
            <w:tcW w:w="0" w:type="dxa"/>
            <w:vAlign w:val="bottom"/>
          </w:tcPr>
          <w:p>
            <w:pPr>
              <w:spacing w:after="0"/>
              <w:rPr>
                <w:sz w:val="1"/>
                <w:szCs w:val="1"/>
                <w:color w:val="auto"/>
              </w:rPr>
            </w:pPr>
          </w:p>
        </w:tc>
      </w:tr>
      <w:tr>
        <w:trPr>
          <w:trHeight w:val="214"/>
        </w:trPr>
        <w:tc>
          <w:tcPr>
            <w:tcW w:w="54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Jemperli</w:t>
            </w:r>
            <w:r>
              <w:rPr>
                <w:rFonts w:ascii="Times New Roman" w:cs="Times New Roman" w:eastAsia="Times New Roman" w:hAnsi="Times New Roman"/>
                <w:sz w:val="16"/>
                <w:szCs w:val="16"/>
                <w:b w:val="1"/>
                <w:bCs w:val="1"/>
                <w:color w:val="auto"/>
              </w:rPr>
              <w:t>/Dostarlimab)</w:t>
            </w:r>
          </w:p>
        </w:tc>
        <w:tc>
          <w:tcPr>
            <w:tcW w:w="2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(GSK4069889/Cobolimab)</w:t>
            </w:r>
          </w:p>
        </w:tc>
        <w:tc>
          <w:tcPr>
            <w:tcW w:w="0" w:type="dxa"/>
            <w:vAlign w:val="bottom"/>
          </w:tcPr>
          <w:p>
            <w:pPr>
              <w:spacing w:after="0"/>
              <w:rPr>
                <w:sz w:val="1"/>
                <w:szCs w:val="1"/>
                <w:color w:val="auto"/>
              </w:rPr>
            </w:pPr>
          </w:p>
        </w:tc>
      </w:tr>
      <w:tr>
        <w:trPr>
          <w:trHeight w:val="171"/>
        </w:trPr>
        <w:tc>
          <w:tcPr>
            <w:tcW w:w="5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Milestone Event</w:t>
            </w:r>
          </w:p>
        </w:tc>
        <w:tc>
          <w:tcPr>
            <w:tcW w:w="1220" w:type="dxa"/>
            <w:vAlign w:val="bottom"/>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tcPr>
          <w:p>
            <w:pPr>
              <w:jc w:val="center"/>
              <w:ind w:left="60"/>
              <w:spacing w:after="0" w:line="171" w:lineRule="exact"/>
              <w:rPr>
                <w:sz w:val="20"/>
                <w:szCs w:val="20"/>
                <w:color w:val="auto"/>
              </w:rPr>
            </w:pPr>
            <w:r>
              <w:rPr>
                <w:rFonts w:ascii="Times New Roman" w:cs="Times New Roman" w:eastAsia="Times New Roman" w:hAnsi="Times New Roman"/>
                <w:sz w:val="16"/>
                <w:szCs w:val="16"/>
                <w:b w:val="1"/>
                <w:bCs w:val="1"/>
                <w:color w:val="auto"/>
                <w:w w:val="96"/>
              </w:rPr>
              <w:t>Quarter</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Quarter</w:t>
            </w:r>
          </w:p>
        </w:tc>
        <w:tc>
          <w:tcPr>
            <w:tcW w:w="0" w:type="dxa"/>
            <w:vAlign w:val="bottom"/>
          </w:tcPr>
          <w:p>
            <w:pPr>
              <w:spacing w:after="0"/>
              <w:rPr>
                <w:sz w:val="1"/>
                <w:szCs w:val="1"/>
                <w:color w:val="auto"/>
              </w:rPr>
            </w:pPr>
          </w:p>
        </w:tc>
      </w:tr>
      <w:tr>
        <w:trPr>
          <w:trHeight w:val="211"/>
        </w:trPr>
        <w:tc>
          <w:tcPr>
            <w:tcW w:w="54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102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0" w:type="dxa"/>
            <w:vAlign w:val="bottom"/>
          </w:tcPr>
          <w:p>
            <w:pPr>
              <w:spacing w:after="0"/>
              <w:rPr>
                <w:sz w:val="1"/>
                <w:szCs w:val="1"/>
                <w:color w:val="auto"/>
              </w:rPr>
            </w:pPr>
          </w:p>
        </w:tc>
      </w:tr>
      <w:tr>
        <w:trPr>
          <w:trHeight w:val="402"/>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Initiated </w:t>
            </w:r>
            <w:r>
              <w:rPr>
                <w:rFonts w:ascii="Times New Roman" w:cs="Times New Roman" w:eastAsia="Times New Roman" w:hAnsi="Times New Roman"/>
                <w:sz w:val="16"/>
                <w:szCs w:val="16"/>
                <w:b w:val="1"/>
                <w:bCs w:val="1"/>
                <w:i w:val="1"/>
                <w:iCs w:val="1"/>
                <w:color w:val="auto"/>
              </w:rPr>
              <w:t>in vivo</w:t>
            </w:r>
            <w:r>
              <w:rPr>
                <w:rFonts w:ascii="Times New Roman" w:cs="Times New Roman" w:eastAsia="Times New Roman" w:hAnsi="Times New Roman"/>
                <w:sz w:val="16"/>
                <w:szCs w:val="16"/>
                <w:color w:val="auto"/>
              </w:rPr>
              <w:t xml:space="preserve"> toxicology studies using good laboratory practices (GLPs)</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$1.0M</w:t>
            </w: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Q2'15</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$1.0M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Q4'15</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IND clearance from the FDA</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$4.0M</w:t>
            </w:r>
          </w:p>
        </w:tc>
        <w:tc>
          <w:tcPr>
            <w:tcW w:w="12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Q1'16</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$4.0M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Q2'16</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Phase 2 clinical trial initiation</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$3.0M</w:t>
            </w:r>
          </w:p>
        </w:tc>
        <w:tc>
          <w:tcPr>
            <w:tcW w:w="12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Q2'17</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$3.0M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Q4'17</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Phase 3 clinical trial initiation - first indication</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$5.0M</w:t>
            </w:r>
          </w:p>
        </w:tc>
        <w:tc>
          <w:tcPr>
            <w:tcW w:w="12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Q3'18</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Q4'22</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Phase 3 clinical trial initiation - second indication</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$5.0M</w:t>
            </w:r>
          </w:p>
        </w:tc>
        <w:tc>
          <w:tcPr>
            <w:tcW w:w="12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Q2'19</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Filing of the first BLA</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 first indication</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$10.0M</w:t>
            </w:r>
          </w:p>
        </w:tc>
        <w:tc>
          <w:tcPr>
            <w:tcW w:w="12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Q1'20</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Filing of the first MAA</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 first indication</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$5.0M</w:t>
            </w:r>
          </w:p>
        </w:tc>
        <w:tc>
          <w:tcPr>
            <w:tcW w:w="12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Q1'20</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Filing of the first BLA - second indication</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$10.0M</w:t>
            </w:r>
          </w:p>
        </w:tc>
        <w:tc>
          <w:tcPr>
            <w:tcW w:w="12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Q1'21</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 BLA approval - first indication</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$20.0M</w:t>
            </w:r>
          </w:p>
        </w:tc>
        <w:tc>
          <w:tcPr>
            <w:tcW w:w="12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Q2'21</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$20.0M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 MAA approval - first indication</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$10.0M</w:t>
            </w:r>
          </w:p>
        </w:tc>
        <w:tc>
          <w:tcPr>
            <w:tcW w:w="12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Q2'21</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 BLA approval - second indication</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$20.0M</w:t>
            </w:r>
          </w:p>
        </w:tc>
        <w:tc>
          <w:tcPr>
            <w:tcW w:w="12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Q3'21</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$20.0M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Filing of the first MAA - second indication</w:t>
            </w:r>
            <w:r>
              <w:rPr>
                <w:rFonts w:ascii="Times New Roman" w:cs="Times New Roman" w:eastAsia="Times New Roman" w:hAnsi="Times New Roman"/>
                <w:sz w:val="20"/>
                <w:szCs w:val="20"/>
                <w:color w:val="auto"/>
                <w:vertAlign w:val="superscript"/>
              </w:rPr>
              <w:t>(3)</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$5.0M</w:t>
            </w:r>
          </w:p>
        </w:tc>
        <w:tc>
          <w:tcPr>
            <w:tcW w:w="124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 MAA approval - second indication</w:t>
            </w:r>
            <w:r>
              <w:rPr>
                <w:rFonts w:ascii="Times New Roman" w:cs="Times New Roman" w:eastAsia="Times New Roman" w:hAnsi="Times New Roman"/>
                <w:sz w:val="20"/>
                <w:szCs w:val="20"/>
                <w:color w:val="auto"/>
                <w:vertAlign w:val="superscript"/>
              </w:rPr>
              <w:t>(3)</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$10.0M</w:t>
            </w:r>
          </w:p>
        </w:tc>
        <w:tc>
          <w:tcPr>
            <w:tcW w:w="124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 commercial sales milestone</w:t>
            </w:r>
            <w:r>
              <w:rPr>
                <w:rFonts w:ascii="Times New Roman" w:cs="Times New Roman" w:eastAsia="Times New Roman" w:hAnsi="Times New Roman"/>
                <w:sz w:val="20"/>
                <w:szCs w:val="20"/>
                <w:color w:val="auto"/>
                <w:vertAlign w:val="superscript"/>
              </w:rPr>
              <w:t>(3)</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$15.0M</w:t>
            </w:r>
          </w:p>
        </w:tc>
        <w:tc>
          <w:tcPr>
            <w:tcW w:w="12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Q3'24</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$15.0M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Second commercial sales milestone</w:t>
            </w:r>
            <w:r>
              <w:rPr>
                <w:rFonts w:ascii="Times New Roman" w:cs="Times New Roman" w:eastAsia="Times New Roman" w:hAnsi="Times New Roman"/>
                <w:sz w:val="20"/>
                <w:szCs w:val="20"/>
                <w:color w:val="auto"/>
                <w:vertAlign w:val="superscript"/>
              </w:rPr>
              <w:t>(3)</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$25.0M</w:t>
            </w:r>
          </w:p>
        </w:tc>
        <w:tc>
          <w:tcPr>
            <w:tcW w:w="12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Q4'24</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$25.0M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Third commercial sales milestone</w:t>
            </w:r>
            <w:r>
              <w:rPr>
                <w:rFonts w:ascii="Times New Roman" w:cs="Times New Roman" w:eastAsia="Times New Roman" w:hAnsi="Times New Roman"/>
                <w:sz w:val="20"/>
                <w:szCs w:val="20"/>
                <w:color w:val="auto"/>
                <w:vertAlign w:val="superscript"/>
              </w:rPr>
              <w:t>(3)</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$50.0M</w:t>
            </w:r>
          </w:p>
        </w:tc>
        <w:tc>
          <w:tcPr>
            <w:tcW w:w="124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$50.0M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Fourth commercial sales milestone</w:t>
            </w:r>
            <w:r>
              <w:rPr>
                <w:rFonts w:ascii="Times New Roman" w:cs="Times New Roman" w:eastAsia="Times New Roman" w:hAnsi="Times New Roman"/>
                <w:sz w:val="20"/>
                <w:szCs w:val="20"/>
                <w:color w:val="auto"/>
                <w:vertAlign w:val="superscript"/>
              </w:rPr>
              <w:t>(4)</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$75.0M</w:t>
            </w:r>
          </w:p>
        </w:tc>
        <w:tc>
          <w:tcPr>
            <w:tcW w:w="124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$75.0M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5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Milestones recognized through December 31, 2024</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$133.0M</w:t>
            </w:r>
          </w:p>
        </w:tc>
        <w:tc>
          <w:tcPr>
            <w:tcW w:w="124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$13.0M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Milestones that may be recognized in the future</w:t>
            </w: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$140.0M</w:t>
            </w:r>
          </w:p>
        </w:tc>
        <w:tc>
          <w:tcPr>
            <w:tcW w:w="124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$260.0M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-3878580</wp:posOffset>
            </wp:positionV>
            <wp:extent cx="6369050" cy="3902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369050" cy="3902075"/>
                    </a:xfrm>
                    <a:prstGeom prst="rect">
                      <a:avLst/>
                    </a:prstGeom>
                    <a:noFill/>
                  </pic:spPr>
                </pic:pic>
              </a:graphicData>
            </a:graphic>
          </wp:anchor>
        </w:drawing>
      </w:r>
    </w:p>
    <w:p>
      <w:pPr>
        <w:sectPr>
          <w:pgSz w:w="12240" w:h="15840" w:orient="portrait"/>
          <w:cols w:equalWidth="0" w:num="1">
            <w:col w:w="10240"/>
          </w:cols>
          <w:pgMar w:left="1000" w:top="986" w:right="1000" w:bottom="0" w:gutter="0" w:footer="0" w:header="0"/>
        </w:sectPr>
      </w:pP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Biologics License Application (“BLA”)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Marketing Authorization Application (“MAA”)</w:t>
      </w:r>
    </w:p>
    <w:p>
      <w:pPr>
        <w:spacing w:after="0" w:line="26" w:lineRule="exact"/>
        <w:rPr>
          <w:sz w:val="20"/>
          <w:szCs w:val="20"/>
          <w:color w:val="auto"/>
        </w:rPr>
      </w:pPr>
    </w:p>
    <w:p>
      <w:pPr>
        <w:sectPr>
          <w:pgSz w:w="12240" w:h="15840" w:orient="portrait"/>
          <w:cols w:equalWidth="0" w:num="2">
            <w:col w:w="180" w:space="300"/>
            <w:col w:w="9760"/>
          </w:cols>
          <w:pgMar w:left="1000" w:top="986" w:right="1000" w:bottom="0" w:gutter="0" w:footer="0" w:header="0"/>
          <w:type w:val="continuous"/>
        </w:sectPr>
      </w:pPr>
    </w:p>
    <w:p>
      <w:pPr>
        <w:ind w:left="480" w:right="40" w:hanging="445"/>
        <w:spacing w:after="0" w:line="228" w:lineRule="auto"/>
        <w:tabs>
          <w:tab w:leader="none" w:pos="480"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the filing and approval of the first MAA for a second indication and first three commercial sales milestones are included as part of the royalty monetization agreement with Sagard, see Note 5.</w:t>
      </w:r>
    </w:p>
    <w:p>
      <w:pPr>
        <w:spacing w:after="0" w:line="1" w:lineRule="exact"/>
        <w:rPr>
          <w:rFonts w:ascii="Times New Roman" w:cs="Times New Roman" w:eastAsia="Times New Roman" w:hAnsi="Times New Roman"/>
          <w:sz w:val="26"/>
          <w:szCs w:val="26"/>
          <w:color w:val="auto"/>
          <w:vertAlign w:val="superscript"/>
        </w:rPr>
      </w:pPr>
    </w:p>
    <w:p>
      <w:pPr>
        <w:ind w:left="480" w:hanging="445"/>
        <w:spacing w:after="0" w:line="208" w:lineRule="auto"/>
        <w:tabs>
          <w:tab w:leader="none" w:pos="480"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we retained the rights to a $75.0 million sales milestone when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annual Net Sales exceed $1 billion.</w:t>
      </w:r>
    </w:p>
    <w:p>
      <w:pPr>
        <w:spacing w:after="0" w:line="221" w:lineRule="exact"/>
        <w:rPr>
          <w:sz w:val="20"/>
          <w:szCs w:val="20"/>
          <w:color w:val="auto"/>
        </w:rPr>
      </w:pPr>
    </w:p>
    <w:p>
      <w:pPr>
        <w:ind w:right="60" w:firstLine="630"/>
        <w:spacing w:after="0" w:line="253" w:lineRule="auto"/>
        <w:rPr>
          <w:sz w:val="20"/>
          <w:szCs w:val="20"/>
          <w:color w:val="auto"/>
        </w:rPr>
      </w:pPr>
      <w:r>
        <w:rPr>
          <w:rFonts w:ascii="Times New Roman" w:cs="Times New Roman" w:eastAsia="Times New Roman" w:hAnsi="Times New Roman"/>
          <w:sz w:val="20"/>
          <w:szCs w:val="20"/>
          <w:color w:val="auto"/>
        </w:rPr>
        <w:t>In connection with the 2020 Amendment, in October 2020 GSK agreed, under the terms of a settlement agreement (the “GSK Settlement Agreement”), to pay us a royalty on all GSK net sales of Zejula starting January 1, 2021. Under the GSK Settlement Agreement, the royalty is paid at a rate of 1% but is subject to reduction due to royalties paid to third parties, with a minimum royalty payable under the GSK Settlement Agreement of 0.5% of global net sales of Zejula. The current effective royalty rate is 0.5%. In September 2022, we signed a royalty monetization agreement (the “Zejula Royalty Monetization Agreement”) with a wholly 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FDA for the treatment of endometrial cancer on or prior to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w:t>
      </w:r>
    </w:p>
    <w:p>
      <w:pPr>
        <w:spacing w:after="0" w:line="13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20"/>
          <w:szCs w:val="20"/>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75" w:lineRule="exact"/>
        <w:rPr>
          <w:sz w:val="20"/>
          <w:szCs w:val="20"/>
          <w:color w:val="auto"/>
        </w:rPr>
      </w:pPr>
    </w:p>
    <w:p>
      <w:pPr>
        <w:ind w:left="720" w:right="100" w:hanging="370"/>
        <w:spacing w:after="0" w:line="266" w:lineRule="auto"/>
        <w:tabs>
          <w:tab w:leader="none" w:pos="7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75" w:lineRule="exact"/>
        <w:rPr>
          <w:rFonts w:ascii="Times New Roman" w:cs="Times New Roman" w:eastAsia="Times New Roman" w:hAnsi="Times New Roman"/>
          <w:sz w:val="20"/>
          <w:szCs w:val="20"/>
          <w:color w:val="auto"/>
        </w:rPr>
      </w:pPr>
    </w:p>
    <w:p>
      <w:pPr>
        <w:ind w:left="720" w:hanging="46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Employee-related expenses, including salaries, benefits, travel, and stock-based compensation;</w:t>
      </w:r>
    </w:p>
    <w:p>
      <w:pPr>
        <w:sectPr>
          <w:pgSz w:w="12240" w:h="15840" w:orient="portrait"/>
          <w:cols w:equalWidth="0" w:num="1">
            <w:col w:w="10240"/>
          </w:cols>
          <w:pgMar w:left="1000" w:top="986"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40"/>
          </w:cols>
          <w:pgMar w:left="1000" w:top="986" w:right="1000" w:bottom="0" w:gutter="0" w:footer="0" w:header="0"/>
          <w:type w:val="continuous"/>
        </w:sectPr>
      </w:pPr>
    </w:p>
    <w:bookmarkStart w:id="61" w:name="page62"/>
    <w:bookmarkEnd w:id="61"/>
    <w:p>
      <w:pPr>
        <w:ind w:left="720" w:right="680" w:hanging="460"/>
        <w:spacing w:after="0" w:line="309" w:lineRule="auto"/>
        <w:tabs>
          <w:tab w:leader="none" w:pos="72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Facilities, depreciation and other allocated expenses, which include direct and allocated expenses for rent and maintenance of facilities, depreciation of leasehold improvements and equipment, and laboratory supplies; and</w:t>
      </w:r>
    </w:p>
    <w:p>
      <w:pPr>
        <w:spacing w:after="0" w:line="37" w:lineRule="exact"/>
        <w:rPr>
          <w:rFonts w:ascii="Times New Roman" w:cs="Times New Roman" w:eastAsia="Times New Roman" w:hAnsi="Times New Roman"/>
          <w:sz w:val="19"/>
          <w:szCs w:val="19"/>
          <w:color w:val="auto"/>
        </w:rPr>
      </w:pPr>
    </w:p>
    <w:p>
      <w:pPr>
        <w:ind w:left="720" w:hanging="4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 and sub-license fees.</w:t>
      </w:r>
    </w:p>
    <w:p>
      <w:pPr>
        <w:spacing w:after="0" w:line="130" w:lineRule="exact"/>
        <w:rPr>
          <w:sz w:val="20"/>
          <w:szCs w:val="20"/>
          <w:color w:val="auto"/>
        </w:rPr>
      </w:pPr>
    </w:p>
    <w:p>
      <w:pPr>
        <w:ind w:right="160" w:firstLine="630"/>
        <w:spacing w:after="0" w:line="281" w:lineRule="auto"/>
        <w:rPr>
          <w:sz w:val="20"/>
          <w:szCs w:val="20"/>
          <w:color w:val="auto"/>
        </w:rPr>
      </w:pPr>
      <w:r>
        <w:rPr>
          <w:rFonts w:ascii="Times New Roman" w:cs="Times New Roman" w:eastAsia="Times New Roman" w:hAnsi="Times New Roman"/>
          <w:sz w:val="20"/>
          <w:szCs w:val="20"/>
          <w:color w:val="auto"/>
        </w:rPr>
        <w:t>We may also incur in-process research and development expense as we acquire assets from other parties. Acquired in-process research and development costs that have no alternative future use are immediately expensed.</w:t>
      </w:r>
    </w:p>
    <w:p>
      <w:pPr>
        <w:spacing w:after="0" w:line="61" w:lineRule="exact"/>
        <w:rPr>
          <w:sz w:val="20"/>
          <w:szCs w:val="20"/>
          <w:color w:val="auto"/>
        </w:rPr>
      </w:pPr>
    </w:p>
    <w:p>
      <w:pPr>
        <w:ind w:right="120" w:firstLine="630"/>
        <w:spacing w:after="0" w:line="266" w:lineRule="auto"/>
        <w:rPr>
          <w:sz w:val="20"/>
          <w:szCs w:val="20"/>
          <w:color w:val="auto"/>
        </w:rPr>
      </w:pPr>
      <w:r>
        <w:rPr>
          <w:rFonts w:ascii="Times New Roman" w:cs="Times New Roman" w:eastAsia="Times New Roman" w:hAnsi="Times New Roman"/>
          <w:sz w:val="20"/>
          <w:szCs w:val="20"/>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75" w:lineRule="exact"/>
        <w:rPr>
          <w:sz w:val="20"/>
          <w:szCs w:val="20"/>
          <w:color w:val="auto"/>
        </w:rPr>
      </w:pPr>
    </w:p>
    <w:p>
      <w:pPr>
        <w:ind w:right="220" w:firstLine="630"/>
        <w:spacing w:after="0" w:line="258" w:lineRule="auto"/>
        <w:rPr>
          <w:sz w:val="20"/>
          <w:szCs w:val="20"/>
          <w:color w:val="auto"/>
        </w:rPr>
      </w:pPr>
      <w:r>
        <w:rPr>
          <w:rFonts w:ascii="Times New Roman" w:cs="Times New Roman" w:eastAsia="Times New Roman" w:hAnsi="Times New Roman"/>
          <w:sz w:val="20"/>
          <w:szCs w:val="20"/>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 w:cs="Times New Roman" w:eastAsia="Times New Roman" w:hAnsi="Times New Roman"/>
          <w:sz w:val="20"/>
          <w:szCs w:val="20"/>
          <w:b w:val="1"/>
          <w:bCs w:val="1"/>
          <w:i w:val="1"/>
          <w:iCs w:val="1"/>
          <w:color w:val="auto"/>
        </w:rPr>
        <w:t>in vivo</w:t>
      </w:r>
      <w:r>
        <w:rPr>
          <w:rFonts w:ascii="Times New Roman" w:cs="Times New Roman" w:eastAsia="Times New Roman" w:hAnsi="Times New Roman"/>
          <w:sz w:val="20"/>
          <w:szCs w:val="20"/>
          <w:color w:val="auto"/>
        </w:rPr>
        <w:t xml:space="preserve"> toxicology and pharmacology studies, drug product manufacturing, and clinical trials.</w:t>
      </w:r>
    </w:p>
    <w:p>
      <w:pPr>
        <w:spacing w:after="0" w:line="84" w:lineRule="exact"/>
        <w:rPr>
          <w:sz w:val="20"/>
          <w:szCs w:val="20"/>
          <w:color w:val="auto"/>
        </w:rPr>
      </w:pPr>
    </w:p>
    <w:p>
      <w:pPr>
        <w:ind w:right="20" w:firstLine="630"/>
        <w:spacing w:after="0" w:line="281" w:lineRule="auto"/>
        <w:rPr>
          <w:sz w:val="20"/>
          <w:szCs w:val="20"/>
          <w:color w:val="auto"/>
        </w:rPr>
      </w:pPr>
      <w:r>
        <w:rPr>
          <w:rFonts w:ascii="Times New Roman" w:cs="Times New Roman" w:eastAsia="Times New Roman" w:hAnsi="Times New Roman"/>
          <w:sz w:val="20"/>
          <w:szCs w:val="20"/>
          <w:color w:val="auto"/>
        </w:rPr>
        <w:t>We expect our research and development expenses to be higher for the foreseeable future as we continue to advance our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w:t>
      </w:r>
    </w:p>
    <w:p>
      <w:pPr>
        <w:spacing w:after="0" w:line="139" w:lineRule="exact"/>
        <w:rPr>
          <w:sz w:val="20"/>
          <w:szCs w:val="20"/>
          <w:color w:val="auto"/>
        </w:rPr>
      </w:pPr>
    </w:p>
    <w:p>
      <w:pPr>
        <w:ind w:right="300" w:firstLine="630"/>
        <w:spacing w:after="0" w:line="260"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Non-Cash Interest Expense for the Sale of Future Royalties</w:t>
      </w:r>
    </w:p>
    <w:p>
      <w:pPr>
        <w:spacing w:after="0" w:line="139" w:lineRule="exact"/>
        <w:rPr>
          <w:sz w:val="20"/>
          <w:szCs w:val="20"/>
          <w:color w:val="auto"/>
        </w:rPr>
      </w:pPr>
    </w:p>
    <w:p>
      <w:pPr>
        <w:ind w:right="60" w:firstLine="630"/>
        <w:spacing w:after="0" w:line="256" w:lineRule="auto"/>
        <w:rPr>
          <w:sz w:val="20"/>
          <w:szCs w:val="20"/>
          <w:color w:val="auto"/>
        </w:rPr>
      </w:pPr>
      <w:r>
        <w:rPr>
          <w:rFonts w:ascii="Times New Roman" w:cs="Times New Roman" w:eastAsia="Times New Roman" w:hAnsi="Times New Roman"/>
          <w:sz w:val="20"/>
          <w:szCs w:val="20"/>
          <w:color w:val="auto"/>
        </w:rPr>
        <w:t xml:space="preserve">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and the Zejula Royalty Monetization Agreement (the “Royalty Monetization” Agreements). Our estimate of the interest rate under the arrangements is based on forecasted royalty and milestone payments expected to be made over the life of the agreements.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39" w:lineRule="exact"/>
        <w:rPr>
          <w:sz w:val="20"/>
          <w:szCs w:val="20"/>
          <w:color w:val="auto"/>
        </w:rPr>
      </w:pPr>
    </w:p>
    <w:p>
      <w:pPr>
        <w:ind w:right="400" w:firstLine="630"/>
        <w:spacing w:after="0" w:line="281" w:lineRule="auto"/>
        <w:rPr>
          <w:sz w:val="20"/>
          <w:szCs w:val="20"/>
          <w:color w:val="auto"/>
        </w:rPr>
      </w:pPr>
      <w:r>
        <w:rPr>
          <w:rFonts w:ascii="Times New Roman" w:cs="Times New Roman" w:eastAsia="Times New Roman" w:hAnsi="Times New Roman"/>
          <w:sz w:val="20"/>
          <w:szCs w:val="20"/>
          <w:color w:val="auto"/>
        </w:rPr>
        <w:t>Interest income consists primarily of interest earned on our short-term and long-term investments and is recognized when earned.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Operating Loss and Research and Development Tax Credit Carryforwards</w:t>
      </w:r>
    </w:p>
    <w:p>
      <w:pPr>
        <w:spacing w:after="0" w:line="137" w:lineRule="exact"/>
        <w:rPr>
          <w:sz w:val="20"/>
          <w:szCs w:val="20"/>
          <w:color w:val="auto"/>
        </w:rPr>
      </w:pPr>
    </w:p>
    <w:p>
      <w:pPr>
        <w:ind w:firstLine="630"/>
        <w:spacing w:after="0" w:line="275" w:lineRule="auto"/>
        <w:rPr>
          <w:sz w:val="20"/>
          <w:szCs w:val="20"/>
          <w:color w:val="auto"/>
        </w:rPr>
      </w:pPr>
      <w:r>
        <w:rPr>
          <w:rFonts w:ascii="Times New Roman" w:cs="Times New Roman" w:eastAsia="Times New Roman" w:hAnsi="Times New Roman"/>
          <w:sz w:val="19"/>
          <w:szCs w:val="19"/>
          <w:color w:val="auto"/>
        </w:rPr>
        <w:t>Since inception, we have accumulated net operating losses (“NOLs”) in all years except December 31, 2024, 2022, 2015 and 2014, in which we generated taxable income primarily attributable to our collaboration agreement with GSK, our Zejula Royalty Monetization Agreement in 2022, and the requirement to capitalize and amortize R&amp;D expenditure for tax purposes in 2022 and 2024. While we utilized NOLs in 2024, 2022, 2015 and 2014, we continue to incur losses and therefore continue to have a valuation allowance against our net deferred tax assets due to the uncertainty of the realization of such assets.</w:t>
      </w:r>
    </w:p>
    <w:p>
      <w:pPr>
        <w:spacing w:after="0" w:line="68" w:lineRule="exact"/>
        <w:rPr>
          <w:sz w:val="20"/>
          <w:szCs w:val="20"/>
          <w:color w:val="auto"/>
        </w:rPr>
      </w:pPr>
    </w:p>
    <w:p>
      <w:pPr>
        <w:ind w:right="120" w:firstLine="630"/>
        <w:spacing w:after="0" w:line="255" w:lineRule="auto"/>
        <w:rPr>
          <w:sz w:val="20"/>
          <w:szCs w:val="20"/>
          <w:color w:val="auto"/>
        </w:rPr>
      </w:pPr>
      <w:r>
        <w:rPr>
          <w:rFonts w:ascii="Times New Roman" w:cs="Times New Roman" w:eastAsia="Times New Roman" w:hAnsi="Times New Roman"/>
          <w:sz w:val="20"/>
          <w:szCs w:val="20"/>
          <w:color w:val="auto"/>
        </w:rPr>
        <w:t>As of December 31, 2024, we had federal and state NOL carryforwards of $300.7 million and $73.0 million, respectively. The federal and state NOLs generated prior to 2018 will begin to expire in 2031 and 2028, respectively, unless previously utilized. The federal NOL includes $262.0 million of net operating losses generated in 2018 and after. Federal net operating losses generated in 2018 and after carryover indefinitely and may generally be used to offset up to 80% of future taxable income. As of December 31, 2024, we had federal and state research tax credit carryforwards of approximately $18.6 million and $17.4 million, respectively. The federal research tax credit carryforwards will begin to expire in 2041 and the state research tax credits carryforward indefinitely.</w:t>
      </w:r>
    </w:p>
    <w:p>
      <w:pPr>
        <w:spacing w:after="0" w:line="90" w:lineRule="exact"/>
        <w:rPr>
          <w:sz w:val="20"/>
          <w:szCs w:val="20"/>
          <w:color w:val="auto"/>
        </w:rPr>
      </w:pPr>
    </w:p>
    <w:p>
      <w:pPr>
        <w:ind w:right="60" w:firstLine="630"/>
        <w:spacing w:after="0" w:line="256" w:lineRule="auto"/>
        <w:rPr>
          <w:sz w:val="20"/>
          <w:szCs w:val="20"/>
          <w:color w:val="auto"/>
        </w:rPr>
      </w:pPr>
      <w:r>
        <w:rPr>
          <w:rFonts w:ascii="Times New Roman" w:cs="Times New Roman" w:eastAsia="Times New Roman" w:hAnsi="Times New Roman"/>
          <w:sz w:val="20"/>
          <w:szCs w:val="20"/>
          <w:color w:val="auto"/>
        </w:rPr>
        <w:t>The above NOL carryforward and the federal and state research credit carryforwards may be subject to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w:t>
      </w:r>
    </w:p>
    <w:p>
      <w:pPr>
        <w:sectPr>
          <w:pgSz w:w="12240" w:h="15840" w:orient="portrait"/>
          <w:cols w:equalWidth="0" w:num="1">
            <w:col w:w="10240"/>
          </w:cols>
          <w:pgMar w:left="1000" w:top="793" w:right="100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40"/>
          </w:cols>
          <w:pgMar w:left="1000" w:top="793" w:right="1000" w:bottom="0" w:gutter="0" w:footer="0" w:header="0"/>
          <w:type w:val="continuous"/>
        </w:sectPr>
      </w:pPr>
    </w:p>
    <w:bookmarkStart w:id="62" w:name="page63"/>
    <w:bookmarkEnd w:id="62"/>
    <w:p>
      <w:pPr>
        <w:ind w:right="20" w:firstLine="630"/>
        <w:spacing w:after="0" w:line="260" w:lineRule="auto"/>
        <w:rPr>
          <w:sz w:val="20"/>
          <w:szCs w:val="20"/>
          <w:color w:val="auto"/>
        </w:rPr>
      </w:pPr>
      <w:r>
        <w:rPr>
          <w:rFonts w:ascii="Times New Roman" w:cs="Times New Roman" w:eastAsia="Times New Roman" w:hAnsi="Times New Roman"/>
          <w:sz w:val="20"/>
          <w:szCs w:val="20"/>
          <w:color w:val="auto"/>
        </w:rPr>
        <w:t>We have experienced ownership changes as defined by Section 382 of the Code during 2007, 2017 and 2021. As a result, as of December 31, 2024, there are $114.6 million of federal NOLs available to offset taxable income in future years without Section 382 limitation, while $186.1 million of federal NOLs are subject to annual limitations over future periods. State NOL and credit carryforwards may be similarly limited.</w:t>
      </w:r>
    </w:p>
    <w:p>
      <w:pPr>
        <w:spacing w:after="0" w:line="83" w:lineRule="exact"/>
        <w:rPr>
          <w:sz w:val="20"/>
          <w:szCs w:val="20"/>
          <w:color w:val="auto"/>
        </w:rPr>
      </w:pPr>
    </w:p>
    <w:p>
      <w:pPr>
        <w:ind w:right="60" w:firstLine="630"/>
        <w:spacing w:after="0" w:line="256" w:lineRule="auto"/>
        <w:rPr>
          <w:sz w:val="20"/>
          <w:szCs w:val="20"/>
          <w:color w:val="auto"/>
        </w:rPr>
      </w:pPr>
      <w:r>
        <w:rPr>
          <w:rFonts w:ascii="Times New Roman" w:cs="Times New Roman" w:eastAsia="Times New Roman" w:hAnsi="Times New Roman"/>
          <w:sz w:val="20"/>
          <w:szCs w:val="20"/>
          <w:color w:val="auto"/>
        </w:rPr>
        <w:t>The above NOL carryforward and the federal and state research credit carryforwards may be subject to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Use of Estimates</w:t>
      </w:r>
    </w:p>
    <w:p>
      <w:pPr>
        <w:spacing w:after="0" w:line="137" w:lineRule="exact"/>
        <w:rPr>
          <w:sz w:val="20"/>
          <w:szCs w:val="20"/>
          <w:color w:val="auto"/>
        </w:rPr>
      </w:pPr>
    </w:p>
    <w:p>
      <w:pPr>
        <w:ind w:right="20" w:firstLine="630"/>
        <w:spacing w:after="0" w:line="254" w:lineRule="auto"/>
        <w:rPr>
          <w:sz w:val="20"/>
          <w:szCs w:val="20"/>
          <w:color w:val="auto"/>
        </w:rPr>
      </w:pPr>
      <w:r>
        <w:rPr>
          <w:rFonts w:ascii="Times New Roman" w:cs="Times New Roman" w:eastAsia="Times New Roman" w:hAnsi="Times New Roman"/>
          <w:sz w:val="20"/>
          <w:szCs w:val="20"/>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w:t>
      </w:r>
    </w:p>
    <w:p>
      <w:pPr>
        <w:spacing w:after="0" w:line="93" w:lineRule="exact"/>
        <w:rPr>
          <w:sz w:val="20"/>
          <w:szCs w:val="20"/>
          <w:color w:val="auto"/>
        </w:rPr>
      </w:pPr>
    </w:p>
    <w:p>
      <w:pPr>
        <w:ind w:right="80" w:firstLine="630"/>
        <w:spacing w:after="0" w:line="266"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37" w:lineRule="exact"/>
        <w:rPr>
          <w:sz w:val="20"/>
          <w:szCs w:val="20"/>
          <w:color w:val="auto"/>
        </w:rPr>
      </w:pPr>
    </w:p>
    <w:p>
      <w:pPr>
        <w:ind w:right="220" w:firstLine="630"/>
        <w:spacing w:after="0" w:line="266" w:lineRule="auto"/>
        <w:rPr>
          <w:sz w:val="20"/>
          <w:szCs w:val="20"/>
          <w:color w:val="auto"/>
        </w:rPr>
      </w:pPr>
      <w:r>
        <w:rPr>
          <w:rFonts w:ascii="Times New Roman" w:cs="Times New Roman" w:eastAsia="Times New Roman" w:hAnsi="Times New Roman"/>
          <w:sz w:val="20"/>
          <w:szCs w:val="20"/>
          <w:color w:val="auto"/>
        </w:rPr>
        <w:t>Revenue is recognized in accordance with ASC 606,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2"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Obligations. </w:t>
      </w:r>
      <w:r>
        <w:rPr>
          <w:rFonts w:ascii="Times New Roman" w:cs="Times New Roman" w:eastAsia="Times New Roman" w:hAnsi="Times New Roman"/>
          <w:sz w:val="20"/>
          <w:szCs w:val="20"/>
          <w:color w:val="auto"/>
        </w:rPr>
        <w:t>We evaluate promised goods or services on a contract-by-contract basis to determine whether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each deliverable represents a good or service that is distinct or has the same pattern of transfer as other deliverables. A promised good or service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promised good or service is not considered distinct, we combine such deliverables and account for them as a single performance obligation. We allocate the consideration to each performance obligation at the inception of the arrangement based on the stand alone selling price.</w:t>
      </w:r>
    </w:p>
    <w:p>
      <w:pPr>
        <w:spacing w:after="0" w:line="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Our performance obligations may include the following:</w:t>
      </w:r>
    </w:p>
    <w:p>
      <w:pPr>
        <w:spacing w:after="0" w:line="130" w:lineRule="exact"/>
        <w:rPr>
          <w:sz w:val="20"/>
          <w:szCs w:val="20"/>
          <w:color w:val="auto"/>
        </w:rPr>
      </w:pPr>
    </w:p>
    <w:p>
      <w:pPr>
        <w:ind w:left="720" w:right="40" w:hanging="370"/>
        <w:spacing w:after="0" w:line="258"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83" w:lineRule="exact"/>
        <w:rPr>
          <w:rFonts w:ascii="Times New Roman" w:cs="Times New Roman" w:eastAsia="Times New Roman" w:hAnsi="Times New Roman"/>
          <w:sz w:val="20"/>
          <w:szCs w:val="20"/>
          <w:color w:val="auto"/>
        </w:rPr>
      </w:pPr>
    </w:p>
    <w:p>
      <w:pPr>
        <w:ind w:left="720" w:right="120" w:hanging="370"/>
        <w:spacing w:after="0" w:line="256"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88" w:lineRule="exact"/>
        <w:rPr>
          <w:rFonts w:ascii="Times New Roman" w:cs="Times New Roman" w:eastAsia="Times New Roman" w:hAnsi="Times New Roman"/>
          <w:sz w:val="20"/>
          <w:szCs w:val="20"/>
          <w:color w:val="auto"/>
        </w:rPr>
      </w:pPr>
    </w:p>
    <w:p>
      <w:pPr>
        <w:ind w:left="720" w:right="60" w:hanging="370"/>
        <w:spacing w:after="0" w:line="26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Steering Committee Meetings. The performance obligations under our collaboration and license agreements may also include our participation in a steering committee, which allows us to direct the progression of our discovery programs. As these steering committees would not occur or benefit the customer without the use of our licenses, these are not considered distinct.</w:t>
      </w:r>
    </w:p>
    <w:p>
      <w:pPr>
        <w:spacing w:after="0" w:line="83" w:lineRule="exact"/>
        <w:rPr>
          <w:sz w:val="20"/>
          <w:szCs w:val="20"/>
          <w:color w:val="auto"/>
        </w:rPr>
      </w:pPr>
    </w:p>
    <w:p>
      <w:pPr>
        <w:ind w:right="60" w:firstLine="630"/>
        <w:spacing w:after="0" w:line="309" w:lineRule="auto"/>
        <w:rPr>
          <w:sz w:val="20"/>
          <w:szCs w:val="20"/>
          <w:color w:val="auto"/>
        </w:rPr>
      </w:pPr>
      <w:r>
        <w:rPr>
          <w:rFonts w:ascii="Times New Roman" w:cs="Times New Roman" w:eastAsia="Times New Roman" w:hAnsi="Times New Roman"/>
          <w:sz w:val="19"/>
          <w:szCs w:val="19"/>
          <w:color w:val="auto"/>
        </w:rPr>
        <w:t>We recognize consideration allocated to a performance obligation as the performance obligation is satisfied, and the determination as to whether consideration is recognized over time or at a point in time is made upon contract inception. For our</w:t>
      </w:r>
    </w:p>
    <w:p>
      <w:pPr>
        <w:sectPr>
          <w:pgSz w:w="12240" w:h="15840" w:orient="portrait"/>
          <w:cols w:equalWidth="0" w:num="1">
            <w:col w:w="10240"/>
          </w:cols>
          <w:pgMar w:left="1000" w:top="793" w:right="1000" w:bottom="0" w:gutter="0" w:footer="0" w:header="0"/>
        </w:sect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40"/>
          </w:cols>
          <w:pgMar w:left="1000" w:top="793" w:right="100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color w:val="auto"/>
        </w:rPr>
        <w:t>collaboration agreements, this is generally over the period in which research and development services have been performed.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new agreements with performance obligations entered into during the year ended December 31, 2024.</w:t>
      </w:r>
    </w:p>
    <w:p>
      <w:pPr>
        <w:spacing w:after="0" w:line="106" w:lineRule="exact"/>
        <w:rPr>
          <w:sz w:val="20"/>
          <w:szCs w:val="20"/>
          <w:color w:val="auto"/>
        </w:rPr>
      </w:pPr>
    </w:p>
    <w:p>
      <w:pPr>
        <w:ind w:right="80" w:firstLine="63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Transaction Price. </w:t>
      </w:r>
      <w:r>
        <w:rPr>
          <w:rFonts w:ascii="Times New Roman" w:cs="Times New Roman" w:eastAsia="Times New Roman" w:hAnsi="Times New Roman"/>
          <w:sz w:val="20"/>
          <w:szCs w:val="20"/>
          <w:color w:val="auto"/>
        </w:rPr>
        <w:t>Our collaboration and license agreements generally include both fixed and variable consideration.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Fixed payments, such as 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 Expenses</w:t>
      </w:r>
    </w:p>
    <w:p>
      <w:pPr>
        <w:spacing w:after="0" w:line="137"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96" w:lineRule="exact"/>
        <w:rPr>
          <w:sz w:val="20"/>
          <w:szCs w:val="20"/>
          <w:color w:val="auto"/>
        </w:rPr>
      </w:pPr>
    </w:p>
    <w:p>
      <w:pPr>
        <w:ind w:right="40" w:firstLine="630"/>
        <w:spacing w:after="0" w:line="254" w:lineRule="auto"/>
        <w:rPr>
          <w:sz w:val="20"/>
          <w:szCs w:val="20"/>
          <w:color w:val="auto"/>
        </w:rPr>
      </w:pPr>
      <w:r>
        <w:rPr>
          <w:rFonts w:ascii="Times New Roman" w:cs="Times New Roman" w:eastAsia="Times New Roman" w:hAnsi="Times New Roman"/>
          <w:sz w:val="20"/>
          <w:szCs w:val="20"/>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89" w:lineRule="exact"/>
        <w:rPr>
          <w:sz w:val="20"/>
          <w:szCs w:val="20"/>
          <w:color w:val="auto"/>
        </w:rPr>
      </w:pPr>
    </w:p>
    <w:p>
      <w:pPr>
        <w:ind w:right="200" w:firstLine="630"/>
        <w:spacing w:after="0" w:line="260" w:lineRule="auto"/>
        <w:rPr>
          <w:sz w:val="20"/>
          <w:szCs w:val="20"/>
          <w:color w:val="auto"/>
        </w:rPr>
      </w:pPr>
      <w:r>
        <w:rPr>
          <w:rFonts w:ascii="Times New Roman" w:cs="Times New Roman" w:eastAsia="Times New Roman" w:hAnsi="Times New Roman"/>
          <w:sz w:val="20"/>
          <w:szCs w:val="20"/>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Future Royalties</w:t>
      </w:r>
    </w:p>
    <w:p>
      <w:pPr>
        <w:spacing w:after="0" w:line="133"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 xml:space="preserve">We treated the sale of future revenue from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as amended by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with Sagard and the Zejula Royalty Monetization Agreement with DRI as a liability related to the sale of future royalties on the balance sheet. The recorded upfront proceeds, net of transaction costs, will be amortized under the effective interest rate method over the estimated life of the related expected royalty stream.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and Zejula, and we will record the royalty payments made as a reduction of the liability when paid. As such payments are made, the balance of the liability will be effectively repaid over the life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and the Zejula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37" w:lineRule="exact"/>
        <w:rPr>
          <w:sz w:val="20"/>
          <w:szCs w:val="20"/>
          <w:color w:val="auto"/>
        </w:rPr>
      </w:pPr>
    </w:p>
    <w:p>
      <w:pPr>
        <w:ind w:right="800" w:firstLine="630"/>
        <w:spacing w:after="0" w:line="266" w:lineRule="auto"/>
        <w:rPr>
          <w:sz w:val="20"/>
          <w:szCs w:val="20"/>
          <w:color w:val="auto"/>
        </w:rPr>
      </w:pPr>
      <w:r>
        <w:rPr>
          <w:rFonts w:ascii="Times New Roman" w:cs="Times New Roman" w:eastAsia="Times New Roman" w:hAnsi="Times New Roman"/>
          <w:sz w:val="20"/>
          <w:szCs w:val="20"/>
          <w:color w:val="auto"/>
        </w:rPr>
        <w:t>For further information on recently issued accounting pronouncements, see Note 2 — Summary of Significant Accounting Policies in the accompanying notes to the consolidated financial statements included in Part II, Item 8, “Consolidated Financial Statements and Supplementary Data” of this Annual Report on Form 10-K.</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40"/>
          </w:cols>
          <w:pgMar w:left="1000" w:top="793" w:right="100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Collaboration Revenue</w:t>
      </w:r>
    </w:p>
    <w:p>
      <w:pPr>
        <w:spacing w:after="0" w:line="139" w:lineRule="exact"/>
        <w:rPr>
          <w:sz w:val="20"/>
          <w:szCs w:val="20"/>
          <w:color w:val="auto"/>
        </w:rPr>
      </w:pPr>
    </w:p>
    <w:p>
      <w:pPr>
        <w:ind w:right="40" w:firstLine="630"/>
        <w:spacing w:after="0" w:line="281" w:lineRule="auto"/>
        <w:rPr>
          <w:sz w:val="20"/>
          <w:szCs w:val="20"/>
          <w:color w:val="auto"/>
        </w:rPr>
      </w:pPr>
      <w:r>
        <w:rPr>
          <w:rFonts w:ascii="Times New Roman" w:cs="Times New Roman" w:eastAsia="Times New Roman" w:hAnsi="Times New Roman"/>
          <w:sz w:val="20"/>
          <w:szCs w:val="20"/>
          <w:color w:val="auto"/>
        </w:rPr>
        <w:t>Collaboration revenue was $91.3 million for the year ended December 31, 2024, compared to $17.2 million for the year ended December 31, 2023. A comparison of collaboration revenue is as follows: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214"/>
        </w:trPr>
        <w:tc>
          <w:tcPr>
            <w:tcW w:w="5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GSK Milestones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20"/>
                <w:szCs w:val="20"/>
                <w:color w:val="auto"/>
              </w:rPr>
            </w:pP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51"/>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GSK Royalty Revenue - </w:t>
            </w:r>
            <w:r>
              <w:rPr>
                <w:rFonts w:ascii="Times New Roman" w:cs="Times New Roman" w:eastAsia="Times New Roman" w:hAnsi="Times New Roman"/>
                <w:sz w:val="18"/>
                <w:szCs w:val="18"/>
                <w:b w:val="1"/>
                <w:bCs w:val="1"/>
                <w:i w:val="1"/>
                <w:iCs w:val="1"/>
                <w:color w:val="auto"/>
              </w:rPr>
              <w:t>Jemperli</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6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GSK Royalty Revenue - Zejula</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5"/>
        </w:trPr>
        <w:tc>
          <w:tcPr>
            <w:tcW w:w="5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91,280</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-678815</wp:posOffset>
            </wp:positionV>
            <wp:extent cx="6524625" cy="698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524625" cy="698500"/>
                    </a:xfrm>
                    <a:prstGeom prst="rect">
                      <a:avLst/>
                    </a:prstGeom>
                    <a:noFill/>
                  </pic:spPr>
                </pic:pic>
              </a:graphicData>
            </a:graphic>
          </wp:anchor>
        </w:drawing>
      </w:r>
    </w:p>
    <w:p>
      <w:pPr>
        <w:spacing w:after="0" w:line="228" w:lineRule="exact"/>
        <w:rPr>
          <w:sz w:val="20"/>
          <w:szCs w:val="20"/>
          <w:color w:val="auto"/>
        </w:rPr>
      </w:pPr>
    </w:p>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 xml:space="preserve">Collaboration revenue during the year ended December 31, 2024 increased $74.1 million compared to the year ended December 31, 2023 due to an increase of $40.0 million in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sales milestones, $33.6 million increase in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revenue and $0.5 million increase in Zejula royalty revenue.</w:t>
      </w:r>
    </w:p>
    <w:p>
      <w:pPr>
        <w:spacing w:after="0" w:line="75" w:lineRule="exact"/>
        <w:rPr>
          <w:sz w:val="20"/>
          <w:szCs w:val="20"/>
          <w:color w:val="auto"/>
        </w:rPr>
      </w:pPr>
    </w:p>
    <w:p>
      <w:pPr>
        <w:ind w:right="120" w:firstLine="630"/>
        <w:spacing w:after="0" w:line="281" w:lineRule="auto"/>
        <w:rPr>
          <w:sz w:val="20"/>
          <w:szCs w:val="20"/>
          <w:color w:val="auto"/>
        </w:rPr>
      </w:pPr>
      <w:r>
        <w:rPr>
          <w:rFonts w:ascii="Times New Roman" w:cs="Times New Roman" w:eastAsia="Times New Roman" w:hAnsi="Times New Roman"/>
          <w:sz w:val="20"/>
          <w:szCs w:val="20"/>
          <w:color w:val="auto"/>
        </w:rPr>
        <w:t>We expect that any collaboration revenue we generate will continue to fluctuate from period to period as a result of the timing and amount of milestones and royalties from our existing collaborations.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Research and development expenses were $163.8 million during the year ended December 31, 2024 compared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$132.3 million during the year ended December 31, 2023, for an increase of $31.5 million. The increase is primarily attributable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 $31.6 million increase in clinical expenses, a $13.6 million increase in salaries and related costs, including $4.7 million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compensation expense, and a $1.4 million increase in other research and development expenses, offset by a decrease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$15.1 million in outside services for manufacturing expenses.</w:t>
      </w:r>
    </w:p>
    <w:p>
      <w:pPr>
        <w:spacing w:after="0" w:line="110"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214"/>
        </w:trPr>
        <w:tc>
          <w:tcPr>
            <w:tcW w:w="5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External Costs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Rosnilimab</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53,422</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28,412</w:t>
            </w:r>
          </w:p>
        </w:tc>
        <w:tc>
          <w:tcPr>
            <w:tcW w:w="0" w:type="dxa"/>
            <w:vAlign w:val="bottom"/>
          </w:tcPr>
          <w:p>
            <w:pPr>
              <w:spacing w:after="0"/>
              <w:rPr>
                <w:sz w:val="1"/>
                <w:szCs w:val="1"/>
                <w:color w:val="auto"/>
              </w:rPr>
            </w:pPr>
          </w:p>
        </w:tc>
      </w:tr>
      <w:tr>
        <w:trPr>
          <w:trHeight w:val="255"/>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ANB032</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0" w:type="dxa"/>
            <w:vAlign w:val="bottom"/>
          </w:tcPr>
          <w:p>
            <w:pPr>
              <w:spacing w:after="0"/>
              <w:rPr>
                <w:sz w:val="1"/>
                <w:szCs w:val="1"/>
                <w:color w:val="auto"/>
              </w:rPr>
            </w:pPr>
          </w:p>
        </w:tc>
      </w:tr>
      <w:tr>
        <w:trPr>
          <w:trHeight w:val="252"/>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ANB033</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6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ANB101</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5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Imsidolimab</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0" w:type="dxa"/>
            <w:vAlign w:val="bottom"/>
          </w:tcPr>
          <w:p>
            <w:pPr>
              <w:spacing w:after="0"/>
              <w:rPr>
                <w:sz w:val="1"/>
                <w:szCs w:val="1"/>
                <w:color w:val="auto"/>
              </w:rPr>
            </w:pPr>
          </w:p>
        </w:tc>
      </w:tr>
      <w:tr>
        <w:trPr>
          <w:trHeight w:val="26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Preclinical and other unallocated costs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Costs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117,967</w:t>
            </w:r>
          </w:p>
        </w:tc>
        <w:tc>
          <w:tcPr>
            <w:tcW w:w="80" w:type="dxa"/>
            <w:vAlign w:val="bottom"/>
          </w:tcPr>
          <w:p>
            <w:pPr>
              <w:spacing w:after="0"/>
              <w:rPr>
                <w:sz w:val="20"/>
                <w:szCs w:val="20"/>
                <w:color w:val="auto"/>
              </w:rPr>
            </w:pP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100,022</w:t>
            </w:r>
          </w:p>
        </w:tc>
        <w:tc>
          <w:tcPr>
            <w:tcW w:w="8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0" w:type="dxa"/>
            <w:vAlign w:val="bottom"/>
          </w:tcPr>
          <w:p>
            <w:pPr>
              <w:spacing w:after="0"/>
              <w:rPr>
                <w:sz w:val="1"/>
                <w:szCs w:val="1"/>
                <w:color w:val="auto"/>
              </w:rPr>
            </w:pPr>
          </w:p>
        </w:tc>
      </w:tr>
      <w:tr>
        <w:trPr>
          <w:trHeight w:val="25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0" w:type="dxa"/>
            <w:vAlign w:val="bottom"/>
          </w:tcPr>
          <w:p>
            <w:pPr>
              <w:spacing w:after="0"/>
              <w:rPr>
                <w:sz w:val="1"/>
                <w:szCs w:val="1"/>
                <w:color w:val="auto"/>
              </w:rPr>
            </w:pPr>
          </w:p>
        </w:tc>
      </w:tr>
      <w:tr>
        <w:trPr>
          <w:trHeight w:val="21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Costs</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163,840</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132,283</w:t>
            </w:r>
          </w:p>
        </w:tc>
        <w:tc>
          <w:tcPr>
            <w:tcW w:w="80" w:type="dxa"/>
            <w:vAlign w:val="bottom"/>
          </w:tcPr>
          <w:p>
            <w:pPr>
              <w:spacing w:after="0"/>
              <w:rPr>
                <w:sz w:val="18"/>
                <w:szCs w:val="18"/>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-1650365</wp:posOffset>
            </wp:positionV>
            <wp:extent cx="6524625" cy="1670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524625" cy="1670050"/>
                    </a:xfrm>
                    <a:prstGeom prst="rect">
                      <a:avLst/>
                    </a:prstGeom>
                    <a:noFill/>
                  </pic:spPr>
                </pic:pic>
              </a:graphicData>
            </a:graphic>
          </wp:anchor>
        </w:drawing>
      </w: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39" w:lineRule="exact"/>
        <w:rPr>
          <w:sz w:val="20"/>
          <w:szCs w:val="20"/>
          <w:color w:val="auto"/>
        </w:rPr>
      </w:pPr>
    </w:p>
    <w:p>
      <w:pPr>
        <w:ind w:right="80" w:firstLine="63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were $42.4 million during the year ended December 31, 2024 compared to $41.9 million during the year ended December 31, 2023, for an increase of approximately $0.5 million. The increase is primarily due to a $2.7 million increase in personnel costs, a $1.1 million increase in market research costs, and $0.8 million increase in legal and other general and administrative expenses, offset by a $3.8 million decrease in stock compensation expense, and a $0.3 million decrease in insurance expense.</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40"/>
          </w:cols>
          <w:pgMar w:left="1000" w:top="786" w:right="1000" w:bottom="0" w:gutter="0" w:footer="0" w:header="0"/>
          <w:type w:val="continuous"/>
        </w:sectPr>
      </w:pPr>
    </w:p>
    <w:bookmarkStart w:id="65" w:name="page66"/>
    <w:bookmarkEnd w:id="65"/>
    <w:p>
      <w:pPr>
        <w:ind w:right="120" w:firstLine="630"/>
        <w:spacing w:after="0" w:line="258" w:lineRule="auto"/>
        <w:rPr>
          <w:sz w:val="20"/>
          <w:szCs w:val="20"/>
          <w:color w:val="auto"/>
        </w:rPr>
      </w:pPr>
      <w:r>
        <w:rPr>
          <w:rFonts w:ascii="Times New Roman" w:cs="Times New Roman" w:eastAsia="Times New Roman" w:hAnsi="Times New Roman"/>
          <w:sz w:val="20"/>
          <w:szCs w:val="20"/>
          <w:color w:val="auto"/>
        </w:rPr>
        <w:t>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Acquired in-process research and development</w:t>
      </w:r>
    </w:p>
    <w:p>
      <w:pPr>
        <w:spacing w:after="0" w:line="139" w:lineRule="exact"/>
        <w:rPr>
          <w:sz w:val="20"/>
          <w:szCs w:val="20"/>
          <w:color w:val="auto"/>
        </w:rPr>
      </w:pPr>
    </w:p>
    <w:p>
      <w:pPr>
        <w:ind w:right="280" w:firstLine="630"/>
        <w:spacing w:after="0" w:line="258" w:lineRule="auto"/>
        <w:rPr>
          <w:sz w:val="20"/>
          <w:szCs w:val="20"/>
          <w:color w:val="auto"/>
        </w:rPr>
      </w:pPr>
      <w:r>
        <w:rPr>
          <w:rFonts w:ascii="Times New Roman" w:cs="Times New Roman" w:eastAsia="Times New Roman" w:hAnsi="Times New Roman"/>
          <w:sz w:val="20"/>
          <w:szCs w:val="20"/>
          <w:color w:val="auto"/>
        </w:rPr>
        <w:t>Acquired in-process research and development expenses were $0.0 million for the year ended December 31, 2024 compared to $7.3 million for the year ended December 31, 2023 due to the assets purchased pursuant to the Centessa Agreement. For more information see Note 4 — Collaborative Research and Development Agreements in the accompanying notes to the consolidated financial statements included in Part II, Item 8, “Consolidated Financial Statements and Supplementary Data” of this Annual Report on Form 10-K.</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Non-Cash Interest Expense for the Sale of Future Royalties</w:t>
      </w:r>
    </w:p>
    <w:p>
      <w:pPr>
        <w:spacing w:after="0" w:line="139"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20"/>
          <w:szCs w:val="20"/>
          <w:color w:val="auto"/>
        </w:rPr>
        <w:t xml:space="preserve">Interest expense was $50.1 million during the year ended December 31, 2024 compared to $18.1 million during the year ended December 31, 2023. The increase of $32.0 million in non-cash interest expense is primarily due to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which increased the threshold amounts of aggregate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milestones to be received by Sagard.</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39" w:lineRule="exact"/>
        <w:rPr>
          <w:sz w:val="20"/>
          <w:szCs w:val="20"/>
          <w:color w:val="auto"/>
        </w:rPr>
      </w:pPr>
    </w:p>
    <w:p>
      <w:pPr>
        <w:ind w:right="60" w:firstLine="630"/>
        <w:spacing w:after="0" w:line="260" w:lineRule="auto"/>
        <w:rPr>
          <w:sz w:val="20"/>
          <w:szCs w:val="20"/>
          <w:color w:val="auto"/>
        </w:rPr>
      </w:pPr>
      <w:r>
        <w:rPr>
          <w:rFonts w:ascii="Times New Roman" w:cs="Times New Roman" w:eastAsia="Times New Roman" w:hAnsi="Times New Roman"/>
          <w:sz w:val="20"/>
          <w:szCs w:val="20"/>
          <w:color w:val="auto"/>
        </w:rPr>
        <w:t>Interest income was $19.8 million during the year ended December 31, 2024 compared to $18.9 million during the year ended December 31, 2023. The increase of $0.9 million in interest income was primarily related to our short-term and long-term investments. The increase in interest income is primarily due to the timing of sales, maturities and purchases of our investments.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37"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0"/>
          <w:szCs w:val="20"/>
          <w:color w:val="auto"/>
        </w:rPr>
        <w:t>From our inception through December 31, 2024, we have received an aggregate of $1.3 billion to fund our operations, which included $738.1 million from the sale of equity securities, $335.0 million from the sale of future royalties, $234.2 million from our collaboration agreements and $19.1 million from venture debt. As of December 31, 2024, we had $420.8 million in cash, cash equivalents and investments.</w:t>
      </w:r>
    </w:p>
    <w:p>
      <w:pPr>
        <w:spacing w:after="0" w:line="83" w:lineRule="exact"/>
        <w:rPr>
          <w:sz w:val="20"/>
          <w:szCs w:val="20"/>
          <w:color w:val="auto"/>
        </w:rPr>
      </w:pPr>
    </w:p>
    <w:p>
      <w:pPr>
        <w:ind w:right="300" w:firstLine="630"/>
        <w:spacing w:after="0" w:line="256" w:lineRule="auto"/>
        <w:rPr>
          <w:sz w:val="20"/>
          <w:szCs w:val="20"/>
          <w:color w:val="auto"/>
        </w:rPr>
      </w:pPr>
      <w:r>
        <w:rPr>
          <w:rFonts w:ascii="Times New Roman" w:cs="Times New Roman" w:eastAsia="Times New Roman" w:hAnsi="Times New Roman"/>
          <w:sz w:val="20"/>
          <w:szCs w:val="20"/>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and the GSK Settlement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84" w:lineRule="exact"/>
        <w:rPr>
          <w:sz w:val="20"/>
          <w:szCs w:val="20"/>
          <w:color w:val="auto"/>
        </w:rPr>
      </w:pPr>
    </w:p>
    <w:p>
      <w:pPr>
        <w:ind w:right="20" w:firstLine="630"/>
        <w:spacing w:after="0" w:line="254" w:lineRule="auto"/>
        <w:rPr>
          <w:sz w:val="20"/>
          <w:szCs w:val="20"/>
          <w:color w:val="auto"/>
        </w:rPr>
      </w:pPr>
      <w:r>
        <w:rPr>
          <w:rFonts w:ascii="Times New Roman" w:cs="Times New Roman" w:eastAsia="Times New Roman" w:hAnsi="Times New Roman"/>
          <w:sz w:val="20"/>
          <w:szCs w:val="20"/>
          <w:color w:val="auto"/>
        </w:rPr>
        <w:t xml:space="preserve">In October 2021, we signed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with Sagard. Pursuant to this transaction we received a $250.0 million payment upon closing in December 2021, in exchange 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due to us on annual commercial sales below $1.0 billion and certain future milestones starting in October 2021. In May 2024, we entered into the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Amendment under which we sold additional receivables to Sagard in exchange for $50.0 million. The</w:t>
      </w:r>
      <w:r>
        <w:rPr>
          <w:rFonts w:ascii="Times New Roman" w:cs="Times New Roman" w:eastAsia="Times New Roman" w:hAnsi="Times New Roman"/>
          <w:sz w:val="20"/>
          <w:szCs w:val="20"/>
          <w:b w:val="1"/>
          <w:bCs w:val="1"/>
          <w:i w:val="1"/>
          <w:iCs w:val="1"/>
          <w:color w:val="auto"/>
        </w:rPr>
        <w:t xml:space="preserve"> Jemperli </w:t>
      </w:r>
      <w:r>
        <w:rPr>
          <w:rFonts w:ascii="Times New Roman" w:cs="Times New Roman" w:eastAsia="Times New Roman" w:hAnsi="Times New Roman"/>
          <w:sz w:val="20"/>
          <w:szCs w:val="20"/>
          <w:color w:val="auto"/>
        </w:rPr>
        <w:t xml:space="preserve">Amendment includes all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sales, including any product containing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whether or not such product constitutes a combination product, and the threshold amounts of aggregate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milestones to be received by Sagard under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is either $600.0 million if received by the end of March 31, 2031, or $675.0 million if received thereafter. Once either of these thresholds are met,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and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will expire, resulting in us regaining all subsequent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milestones. We treated the sale of future revenue from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(as amended) with Sagard as debt, which will be amortized under the effective interest rate method over the estimated life of the related expected royalty stream.</w:t>
      </w:r>
    </w:p>
    <w:p>
      <w:pPr>
        <w:spacing w:after="0" w:line="86"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 xml:space="preserve">The proceeds received from Sagard of $250.0 million and $50.0 million were recorded as a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and these payments to Sagard will be recorded as a reduction of the liability when paid. As such payments are made to Sagard, the balance of the liability will be effectively repaid over the life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ectPr>
          <w:pgSz w:w="12240" w:h="15840" w:orient="portrait"/>
          <w:cols w:equalWidth="0" w:num="1">
            <w:col w:w="10240"/>
          </w:cols>
          <w:pgMar w:left="1000" w:top="793" w:right="1000" w:bottom="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40"/>
          </w:cols>
          <w:pgMar w:left="1000" w:top="793" w:right="1000" w:bottom="0" w:gutter="0" w:footer="0" w:header="0"/>
          <w:type w:val="continuous"/>
        </w:sectPr>
      </w:pPr>
    </w:p>
    <w:bookmarkStart w:id="66" w:name="page67"/>
    <w:bookmarkEnd w:id="66"/>
    <w:p>
      <w:pPr>
        <w:ind w:firstLine="630"/>
        <w:spacing w:after="0" w:line="252" w:lineRule="auto"/>
        <w:rPr>
          <w:sz w:val="20"/>
          <w:szCs w:val="20"/>
          <w:color w:val="auto"/>
        </w:rPr>
      </w:pPr>
      <w:r>
        <w:rPr>
          <w:rFonts w:ascii="Times New Roman" w:cs="Times New Roman" w:eastAsia="Times New Roman" w:hAnsi="Times New Roman"/>
          <w:sz w:val="20"/>
          <w:szCs w:val="20"/>
          <w:color w:val="auto"/>
        </w:rPr>
        <w:t>In September 2022, we signed the Zejula Royalty Monetization Agreement with DRI. Pursuant to this transaction we received a $35.0 million payment in exchange for all royalties payable by GSK to us under the GSK Settlement Agreement on global net sales of Zejula starting in July 2022. We treated the sale of future revenue from the Zejula Royalty Monetization Agreement with DRI as debt, which will be amortized under the effective interest rate method over the estimated life of the related expected royalty stream. We recorded the upfront proceeds of $35.0 million, net of $0.2 million of transaction costs, as a liability related to the sale of future revenue. The liability and the related interest expense are based on our current estimates of future royalties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Monetization Agreement. Royalty revenue will be recognized as earned on net sales of Zejula, and we will record the royalty payments to DRI as a reduction of the liability when paid. As such payments are made to DRI, the balance of the liability will be effectively repaid over the life of the Zejula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99" w:lineRule="exact"/>
        <w:rPr>
          <w:sz w:val="20"/>
          <w:szCs w:val="20"/>
          <w:color w:val="auto"/>
        </w:rPr>
      </w:pPr>
    </w:p>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In November 2024, we entered into a sales agreement with TD Securities (USA) LLC (“TD Cowen”), through which we may offer and sell shares of our common stock, having an aggregate offering of up to $100.0 million through TD Cowen as our sales agent. As of December 31, 2024, we had sold no shares under this agreement.</w:t>
      </w:r>
    </w:p>
    <w:p>
      <w:pPr>
        <w:spacing w:after="0" w:line="75" w:lineRule="exact"/>
        <w:rPr>
          <w:sz w:val="20"/>
          <w:szCs w:val="20"/>
          <w:color w:val="auto"/>
        </w:rPr>
      </w:pPr>
    </w:p>
    <w:p>
      <w:pPr>
        <w:ind w:right="520" w:firstLine="630"/>
        <w:spacing w:after="0" w:line="258" w:lineRule="auto"/>
        <w:rPr>
          <w:sz w:val="20"/>
          <w:szCs w:val="20"/>
          <w:color w:val="auto"/>
        </w:rPr>
      </w:pPr>
      <w:r>
        <w:rPr>
          <w:rFonts w:ascii="Times New Roman" w:cs="Times New Roman" w:eastAsia="Times New Roman" w:hAnsi="Times New Roman"/>
          <w:sz w:val="20"/>
          <w:szCs w:val="20"/>
          <w:color w:val="auto"/>
        </w:rPr>
        <w:t>In August 2024, we entered into an underwriting agreement with TD Cowen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Funding Requirements</w:t>
      </w:r>
    </w:p>
    <w:p>
      <w:pPr>
        <w:spacing w:after="0" w:line="137" w:lineRule="exact"/>
        <w:rPr>
          <w:sz w:val="20"/>
          <w:szCs w:val="20"/>
          <w:color w:val="auto"/>
        </w:rPr>
      </w:pPr>
    </w:p>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75"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Our primary uses of capital are, and we expect will continue to be, third 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88"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Cash, cash equivalents and investments totaled $420.8 million as of December 31, 2024, compared to $417.9 million as of December 31, 2023.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40"/>
          </w:cols>
          <w:pgMar w:left="1000" w:top="793" w:right="1000" w:bottom="0" w:gutter="0" w:footer="0" w:header="0"/>
          <w:type w:val="continuous"/>
        </w:sectPr>
      </w:pPr>
    </w:p>
    <w:bookmarkStart w:id="67" w:name="page68"/>
    <w:bookmarkEnd w:id="67"/>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summarizes our cash flows for the years ended December 31, 2024 and 2023:</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40" w:type="dxa"/>
            <w:vAlign w:val="bottom"/>
          </w:tcPr>
          <w:p>
            <w:pPr>
              <w:spacing w:after="0"/>
              <w:rPr>
                <w:sz w:val="16"/>
                <w:szCs w:val="16"/>
                <w:color w:val="auto"/>
              </w:rPr>
            </w:pPr>
          </w:p>
        </w:tc>
      </w:tr>
      <w:tr>
        <w:trPr>
          <w:trHeight w:val="214"/>
        </w:trPr>
        <w:tc>
          <w:tcPr>
            <w:tcW w:w="7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r>
      <w:tr>
        <w:trPr>
          <w:trHeight w:val="220"/>
        </w:trPr>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1"/>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provided by:</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06"/>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(135,337)</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(120,800)</w:t>
            </w:r>
          </w:p>
        </w:tc>
      </w:tr>
      <w:tr>
        <w:trPr>
          <w:trHeight w:val="285"/>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95,398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144,754</w:t>
            </w:r>
          </w:p>
        </w:tc>
      </w:tr>
      <w:tr>
        <w:trPr>
          <w:trHeight w:val="288"/>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127,054</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(59,297)</w:t>
            </w:r>
          </w:p>
        </w:tc>
      </w:tr>
      <w:tr>
        <w:trPr>
          <w:trHeight w:val="245"/>
        </w:trPr>
        <w:tc>
          <w:tcPr>
            <w:tcW w:w="7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87,115</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(35,343)</w:t>
            </w:r>
          </w:p>
        </w:tc>
      </w:tr>
      <w:tr>
        <w:trPr>
          <w:trHeight w:val="20"/>
        </w:trPr>
        <w:tc>
          <w:tcPr>
            <w:tcW w:w="7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40500" cy="206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553200" cy="593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6553200" cy="59372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34" w:lineRule="exact"/>
        <w:rPr>
          <w:sz w:val="20"/>
          <w:szCs w:val="20"/>
          <w:color w:val="auto"/>
        </w:rPr>
      </w:pPr>
    </w:p>
    <w:p>
      <w:pPr>
        <w:ind w:right="40" w:firstLine="630"/>
        <w:spacing w:after="0" w:line="260"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2024 was $135.3 million, primarily due to our net loss of $145.2 million, adjusted for addbacks for non-cash items of $76.2 million which includes stock-based compensation, amortization of operating right-of-use assets, non-cash interest expense, and income from marketable securities, offset by decreases in working capital of $66.3 million.</w:t>
      </w:r>
    </w:p>
    <w:p>
      <w:pPr>
        <w:spacing w:after="0" w:line="203" w:lineRule="exact"/>
        <w:rPr>
          <w:sz w:val="20"/>
          <w:szCs w:val="20"/>
          <w:color w:val="auto"/>
        </w:rPr>
      </w:pPr>
    </w:p>
    <w:p>
      <w:pPr>
        <w:jc w:val="both"/>
        <w:ind w:right="40" w:firstLine="630"/>
        <w:spacing w:after="0" w:line="260"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2023 was $120.8 million, primarily due to our net loss of $163.6 million, adjusted for addbacks for non-cash items of $43.1 million which includes stock-based compensation, amortization of operating right-of-use assets, non-cash interest expense, and income from marketable securities and increases in working capital of $0.2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34" w:lineRule="exact"/>
        <w:rPr>
          <w:sz w:val="20"/>
          <w:szCs w:val="20"/>
          <w:color w:val="auto"/>
        </w:rPr>
      </w:pPr>
    </w:p>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Cash provided by investing activities during the year ended December 31, 2024 was $95.4 million, primarily due to the sale and maturities of investments of $476.1 million, offset by the acquisition of investments of $380.4 million and the purchases of property and equipment of approximately $0.3 million.</w:t>
      </w:r>
    </w:p>
    <w:p>
      <w:pPr>
        <w:spacing w:after="0" w:line="75" w:lineRule="exact"/>
        <w:rPr>
          <w:sz w:val="20"/>
          <w:szCs w:val="20"/>
          <w:color w:val="auto"/>
        </w:rPr>
      </w:pPr>
    </w:p>
    <w:p>
      <w:pPr>
        <w:ind w:right="300" w:firstLine="630"/>
        <w:spacing w:after="0" w:line="266" w:lineRule="auto"/>
        <w:rPr>
          <w:sz w:val="20"/>
          <w:szCs w:val="20"/>
          <w:color w:val="auto"/>
        </w:rPr>
      </w:pPr>
      <w:r>
        <w:rPr>
          <w:rFonts w:ascii="Times New Roman" w:cs="Times New Roman" w:eastAsia="Times New Roman" w:hAnsi="Times New Roman"/>
          <w:sz w:val="20"/>
          <w:szCs w:val="20"/>
          <w:color w:val="auto"/>
        </w:rPr>
        <w:t>Cash provided by investing activities during the year ended December 31, 2023 was $144.8 million, primarily due to the sale and maturities of investments of $449.5 million, offset by the acquisition of investments of $303.9 million and the purchases of property and equipment of approximately $0.8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34" w:lineRule="exact"/>
        <w:rPr>
          <w:sz w:val="20"/>
          <w:szCs w:val="20"/>
          <w:color w:val="auto"/>
        </w:rPr>
      </w:pPr>
    </w:p>
    <w:p>
      <w:pPr>
        <w:ind w:right="20" w:firstLine="630"/>
        <w:spacing w:after="0" w:line="258" w:lineRule="auto"/>
        <w:rPr>
          <w:sz w:val="20"/>
          <w:szCs w:val="20"/>
          <w:color w:val="auto"/>
        </w:rPr>
      </w:pPr>
      <w:r>
        <w:rPr>
          <w:rFonts w:ascii="Times New Roman" w:cs="Times New Roman" w:eastAsia="Times New Roman" w:hAnsi="Times New Roman"/>
          <w:sz w:val="20"/>
          <w:szCs w:val="20"/>
          <w:color w:val="auto"/>
        </w:rPr>
        <w:t>Cash provided by financing activities during the year ended December 31, 2024 was $127.1 million, primarily related to $94.4 million of proceeds received from public offerings, net of underwriters’ fees, $50.0 million received for the sale of future royalties, $6.5 million of cash received for the issuance of common stock, offset by $15.2 million for repayments of the liability for the sale of future royalties, $7.5 million for net share settlement of equity awards, $0.5 million paid for repurchases and retirements of common stock excise tax, and $0.6 million payments for offering and debt issuance costs.</w:t>
      </w:r>
    </w:p>
    <w:p>
      <w:pPr>
        <w:spacing w:after="0" w:line="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Cash used in financing activities during the year ended December 31, 2023 was $59.3 million, primarily related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$50.0 million paid for repurchases and retirements of common stock, $11.8 million for repayments of the liability for the sale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royalties and debt issuance costs, offset by $2.5 million proceeds received from the issuance of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37"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0"/>
          <w:szCs w:val="20"/>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88" w:lineRule="exact"/>
        <w:rPr>
          <w:sz w:val="20"/>
          <w:szCs w:val="20"/>
          <w:color w:val="auto"/>
        </w:rPr>
      </w:pPr>
    </w:p>
    <w:p>
      <w:pPr>
        <w:ind w:right="20" w:firstLine="630"/>
        <w:spacing w:after="0" w:line="266" w:lineRule="auto"/>
        <w:rPr>
          <w:sz w:val="20"/>
          <w:szCs w:val="20"/>
          <w:color w:val="auto"/>
        </w:rPr>
      </w:pPr>
      <w:r>
        <w:rPr>
          <w:rFonts w:ascii="Times New Roman" w:cs="Times New Roman" w:eastAsia="Times New Roman" w:hAnsi="Times New Roman"/>
          <w:sz w:val="20"/>
          <w:szCs w:val="20"/>
          <w:color w:val="auto"/>
        </w:rPr>
        <w:t>For further information related to our operating lease, see Note 10 — Commitments and Contingencies in the accompanying notes to the consolidated financial statements included in Part II, Item 8, “Consolidated Financial Statements and Supplementary Data” of this Annual Report on Form 10-K.</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60"/>
          </w:cols>
          <w:pgMar w:left="1000" w:top="784" w:right="98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39"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As of December 31, 2024, our investment portfolio includes cash, cash equivalents, and investments of $420.8 million that earn interest at market rates. Our investments held during the year were comprised of highly rated instruments such as money market funds, certificates of deposit, agency securities, commercial obligations and U.S. Treasury securities. As of December 31, 2024, the majority of these instruments had a maturity of less than a year. A hypothetical increase or decrease of 100 basis points on the interest rates of our investments would not have a material effect on the fair value of our investment portfolio and any losses would only be realized if we sold the investments prior to maturity.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139" w:lineRule="exact"/>
        <w:rPr>
          <w:sz w:val="20"/>
          <w:szCs w:val="20"/>
          <w:color w:val="auto"/>
        </w:rPr>
      </w:pPr>
    </w:p>
    <w:p>
      <w:pPr>
        <w:ind w:right="140" w:firstLine="630"/>
        <w:spacing w:after="0" w:line="254" w:lineRule="auto"/>
        <w:rPr>
          <w:sz w:val="20"/>
          <w:szCs w:val="20"/>
          <w:color w:val="auto"/>
        </w:rPr>
      </w:pPr>
      <w:r>
        <w:rPr>
          <w:rFonts w:ascii="Times New Roman" w:cs="Times New Roman" w:eastAsia="Times New Roman" w:hAnsi="Times New Roman"/>
          <w:sz w:val="20"/>
          <w:szCs w:val="20"/>
          <w:color w:val="auto"/>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December 31, 2024, we had no material accounts payable or receivable denominated in foreign currencies, and a hypothetical 10% change in foreign currency exchange rates applicable to our business would not have had a material impact on our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 Risk</w:t>
      </w:r>
    </w:p>
    <w:p>
      <w:pPr>
        <w:spacing w:after="0" w:line="139" w:lineRule="exact"/>
        <w:rPr>
          <w:sz w:val="20"/>
          <w:szCs w:val="20"/>
          <w:color w:val="auto"/>
        </w:rPr>
      </w:pPr>
    </w:p>
    <w:p>
      <w:pPr>
        <w:ind w:right="40" w:firstLine="630"/>
        <w:spacing w:after="0" w:line="266" w:lineRule="auto"/>
        <w:rPr>
          <w:sz w:val="20"/>
          <w:szCs w:val="20"/>
          <w:color w:val="auto"/>
        </w:rPr>
      </w:pPr>
      <w:r>
        <w:rPr>
          <w:rFonts w:ascii="Times New Roman" w:cs="Times New Roman" w:eastAsia="Times New Roman" w:hAnsi="Times New Roman"/>
          <w:sz w:val="20"/>
          <w:szCs w:val="20"/>
          <w:color w:val="auto"/>
        </w:rPr>
        <w:t>Inflation generally affects us by increasing our clinical trial and other operational costs. We do not believe that inflation has had a material effect on our business, financial condition or results of operations during the years ended December 31, 2024, 2023 or 2022.</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40"/>
          </w:cols>
          <w:pgMar w:left="1000" w:top="786" w:right="100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auto"/>
        </w:rPr>
        <w:t>Item 8. Consolidated Financial Statements and Supplementary Data</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Index to Audited Consolidated Financial Statements</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45"/>
        </w:trPr>
        <w:tc>
          <w:tcPr>
            <w:tcW w:w="55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Report of Independent Registered Public Accounting Firm</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65"/>
        </w:trPr>
        <w:tc>
          <w:tcPr>
            <w:tcW w:w="27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Consolidated Financial Statements</w:t>
            </w:r>
          </w:p>
        </w:tc>
        <w:tc>
          <w:tcPr>
            <w:tcW w:w="1900" w:type="dxa"/>
            <w:vAlign w:val="bottom"/>
            <w:tcBorders>
              <w:top w:val="single" w:sz="8" w:color="0000FF"/>
            </w:tcBorders>
            <w:gridSpan w:val="4"/>
          </w:tcPr>
          <w:p>
            <w:pPr>
              <w:spacing w:after="0"/>
              <w:rPr>
                <w:sz w:val="23"/>
                <w:szCs w:val="23"/>
                <w:color w:val="auto"/>
              </w:rPr>
            </w:pPr>
          </w:p>
        </w:tc>
        <w:tc>
          <w:tcPr>
            <w:tcW w:w="880" w:type="dxa"/>
            <w:vAlign w:val="bottom"/>
          </w:tcPr>
          <w:p>
            <w:pPr>
              <w:spacing w:after="0"/>
              <w:rPr>
                <w:sz w:val="23"/>
                <w:szCs w:val="23"/>
                <w:color w:val="auto"/>
              </w:rPr>
            </w:pPr>
          </w:p>
        </w:tc>
        <w:tc>
          <w:tcPr>
            <w:tcW w:w="4580" w:type="dxa"/>
            <w:vAlign w:val="bottom"/>
          </w:tcPr>
          <w:p>
            <w:pPr>
              <w:spacing w:after="0"/>
              <w:rPr>
                <w:sz w:val="23"/>
                <w:szCs w:val="23"/>
                <w:color w:val="auto"/>
              </w:rPr>
            </w:pPr>
          </w:p>
        </w:tc>
      </w:tr>
      <w:tr>
        <w:trPr>
          <w:trHeight w:val="265"/>
        </w:trPr>
        <w:tc>
          <w:tcPr>
            <w:tcW w:w="360" w:type="dxa"/>
            <w:vAlign w:val="bottom"/>
          </w:tcPr>
          <w:p>
            <w:pPr>
              <w:spacing w:after="0"/>
              <w:rPr>
                <w:sz w:val="23"/>
                <w:szCs w:val="23"/>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0"/>
        </w:trPr>
        <w:tc>
          <w:tcPr>
            <w:tcW w:w="36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65"/>
        </w:trPr>
        <w:tc>
          <w:tcPr>
            <w:tcW w:w="360" w:type="dxa"/>
            <w:vAlign w:val="bottom"/>
          </w:tcPr>
          <w:p>
            <w:pPr>
              <w:spacing w:after="0"/>
              <w:rPr>
                <w:sz w:val="23"/>
                <w:szCs w:val="23"/>
                <w:color w:val="auto"/>
              </w:rPr>
            </w:pPr>
          </w:p>
        </w:tc>
        <w:tc>
          <w:tcPr>
            <w:tcW w:w="52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and Comprehensive Loss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65"/>
        </w:trPr>
        <w:tc>
          <w:tcPr>
            <w:tcW w:w="360" w:type="dxa"/>
            <w:vAlign w:val="bottom"/>
          </w:tcPr>
          <w:p>
            <w:pPr>
              <w:spacing w:after="0"/>
              <w:rPr>
                <w:sz w:val="23"/>
                <w:szCs w:val="23"/>
                <w:color w:val="auto"/>
              </w:rPr>
            </w:pPr>
          </w:p>
        </w:tc>
        <w:tc>
          <w:tcPr>
            <w:tcW w:w="4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Consolidated Statements of Stockholders’ Equity</w:t>
            </w:r>
          </w:p>
        </w:tc>
        <w:tc>
          <w:tcPr>
            <w:tcW w:w="1200" w:type="dxa"/>
            <w:vAlign w:val="bottom"/>
            <w:gridSpan w:val="2"/>
          </w:tcPr>
          <w:p>
            <w:pPr>
              <w:spacing w:after="0"/>
              <w:rPr>
                <w:sz w:val="23"/>
                <w:szCs w:val="23"/>
                <w:color w:val="auto"/>
              </w:rPr>
            </w:pP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65"/>
        </w:trPr>
        <w:tc>
          <w:tcPr>
            <w:tcW w:w="360" w:type="dxa"/>
            <w:vAlign w:val="bottom"/>
          </w:tcPr>
          <w:p>
            <w:pPr>
              <w:spacing w:after="0"/>
              <w:rPr>
                <w:sz w:val="23"/>
                <w:szCs w:val="23"/>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0"/>
        </w:trPr>
        <w:tc>
          <w:tcPr>
            <w:tcW w:w="360" w:type="dxa"/>
            <w:vAlign w:val="bottom"/>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65"/>
        </w:trPr>
        <w:tc>
          <w:tcPr>
            <w:tcW w:w="360" w:type="dxa"/>
            <w:vAlign w:val="bottom"/>
          </w:tcPr>
          <w:p>
            <w:pPr>
              <w:spacing w:after="0"/>
              <w:rPr>
                <w:sz w:val="23"/>
                <w:szCs w:val="23"/>
                <w:color w:val="auto"/>
              </w:rPr>
            </w:pPr>
          </w:p>
        </w:tc>
        <w:tc>
          <w:tcPr>
            <w:tcW w:w="3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1700" w:type="dxa"/>
            <w:vAlign w:val="bottom"/>
            <w:gridSpan w:val="3"/>
          </w:tcPr>
          <w:p>
            <w:pPr>
              <w:spacing w:after="0"/>
              <w:rPr>
                <w:sz w:val="23"/>
                <w:szCs w:val="23"/>
                <w:color w:val="auto"/>
              </w:rPr>
            </w:pP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bl>
    <w:p>
      <w:pPr>
        <w:spacing w:after="0" w:line="200" w:lineRule="exact"/>
        <w:rPr>
          <w:sz w:val="20"/>
          <w:szCs w:val="20"/>
          <w:color w:val="auto"/>
        </w:rPr>
      </w:pPr>
    </w:p>
    <w:p>
      <w:pPr>
        <w:sectPr>
          <w:pgSz w:w="12240" w:h="15840" w:orient="portrait"/>
          <w:cols w:equalWidth="0" w:num="1">
            <w:col w:w="10180"/>
          </w:cols>
          <w:pgMar w:left="1000" w:top="78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180"/>
          </w:cols>
          <w:pgMar w:left="1000" w:top="786" w:right="1060" w:bottom="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AnaptysBio,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Consolidated Financial Statements</w:t>
      </w:r>
    </w:p>
    <w:p>
      <w:pPr>
        <w:spacing w:after="0" w:line="1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AnaptysBio, Inc. and subsidiary (the Company) as of December 31, 2024 and 2023, the related consolidated statements of operations and comprehensive loss,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w:t>
      </w:r>
    </w:p>
    <w:p>
      <w:pPr>
        <w:spacing w:after="0" w:line="1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Research and Development Costs</w:t>
      </w:r>
    </w:p>
    <w:p>
      <w:pPr>
        <w:spacing w:after="0" w:line="1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As discussed in Note 2 to the consolidated financial statements, the Company has entered into various contracts with third parties to perform research and development, including clinical manufacturing. When billing terms under these contracts do not coincide with the timing of when the work is performed, the Company makes estimates of the costs incurred by third parties during the period and the outstanding obligations to those third parties as of period end. Estimates of costs incurred during the period that are included in period-end prepaid or accrued expense balances are based on a number of factors, including the review of open contracts and purchase orders, communicating with personnel and service providers to identify services that have been performed on the Company’s behalf and estimating the level of service performed and the associated costs incurred for the service when the Company has not yet been invoiced or otherwise notified of the actual cost. Significant judgments and estimates are made by the Company in determining the costs incurred during the period that are included in prepaid or accrued expense balances at the end of each reporting period.</w:t>
      </w:r>
    </w:p>
    <w:p>
      <w:pPr>
        <w:spacing w:after="0" w:line="176"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9"/>
          <w:szCs w:val="19"/>
          <w:color w:val="auto"/>
        </w:rPr>
        <w:t>We identified the evaluation of research and development costs as a critical audit matter. Subjective auditor judgment was involved in evaluating the nature and extent of evidence available in evaluating certain assumptions and inputs that were used in</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40"/>
          </w:cols>
          <w:pgMar w:left="1000" w:top="786" w:right="1000" w:bottom="0" w:gutter="0" w:footer="0" w:header="0"/>
          <w:type w:val="continuous"/>
        </w:sectPr>
      </w:pPr>
    </w:p>
    <w:bookmarkStart w:id="71" w:name="page72"/>
    <w:bookmarkEnd w:id="71"/>
    <w:p>
      <w:pPr>
        <w:ind w:right="80"/>
        <w:spacing w:after="0" w:line="281" w:lineRule="auto"/>
        <w:rPr>
          <w:sz w:val="20"/>
          <w:szCs w:val="20"/>
          <w:color w:val="auto"/>
        </w:rPr>
      </w:pPr>
      <w:r>
        <w:rPr>
          <w:rFonts w:ascii="Times New Roman" w:cs="Times New Roman" w:eastAsia="Times New Roman" w:hAnsi="Times New Roman"/>
          <w:sz w:val="20"/>
          <w:szCs w:val="20"/>
          <w:color w:val="auto"/>
        </w:rPr>
        <w:t>estimating the degree of completion of research and development programs when the Company has not yet been invoiced or otherwise notified of the actual cost.</w:t>
      </w:r>
    </w:p>
    <w:p>
      <w:pPr>
        <w:spacing w:after="0" w:line="14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On a sample basis, we examined contracts, invoices, and third-party confirmations and compared them to the assumptions and inputs that are described above. We also examined certain invoices received after December 31, 2024 and evaluated whether services received prior to December 31, 2024 were included in the Company’s estimate of costs incurred as of December 31, 2024.</w:t>
      </w:r>
    </w:p>
    <w:p>
      <w:pPr>
        <w:spacing w:after="0" w:line="1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/s/ KPMG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2009.</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ectPr>
          <w:pgSz w:w="12240" w:h="15840" w:orient="portrait"/>
          <w:cols w:equalWidth="0" w:num="1">
            <w:col w:w="10000"/>
          </w:cols>
          <w:pgMar w:left="1000" w:top="79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000"/>
          </w:cols>
          <w:pgMar w:left="1000" w:top="793" w:right="1240" w:bottom="0" w:gutter="0" w:footer="0" w:header="0"/>
          <w:type w:val="continuous"/>
        </w:sectPr>
      </w:pPr>
    </w:p>
    <w:bookmarkStart w:id="72" w:name="page73"/>
    <w:bookmarkEnd w:id="72"/>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par value)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2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78"/>
        </w:trPr>
        <w:tc>
          <w:tcPr>
            <w:tcW w:w="7220" w:type="dxa"/>
            <w:vAlign w:val="bottom"/>
          </w:tcPr>
          <w:p>
            <w:pPr>
              <w:ind w:left="4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123,080</w:t>
            </w:r>
          </w:p>
        </w:tc>
        <w:tc>
          <w:tcPr>
            <w:tcW w:w="50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35,965</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collaborative partners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354,939</w:t>
            </w:r>
          </w:p>
        </w:tc>
        <w:tc>
          <w:tcPr>
            <w:tcW w:w="0" w:type="dxa"/>
            <w:vAlign w:val="bottom"/>
          </w:tcPr>
          <w:p>
            <w:pPr>
              <w:spacing w:after="0"/>
              <w:rPr>
                <w:sz w:val="1"/>
                <w:szCs w:val="1"/>
                <w:color w:val="auto"/>
              </w:rPr>
            </w:pPr>
          </w:p>
        </w:tc>
      </w:tr>
      <w:tr>
        <w:trPr>
          <w:trHeight w:val="26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0" w:type="dxa"/>
            <w:vAlign w:val="bottom"/>
          </w:tcPr>
          <w:p>
            <w:pPr>
              <w:spacing w:after="0"/>
              <w:rPr>
                <w:sz w:val="1"/>
                <w:szCs w:val="1"/>
                <w:color w:val="auto"/>
              </w:rPr>
            </w:pPr>
          </w:p>
        </w:tc>
      </w:tr>
      <w:tr>
        <w:trPr>
          <w:trHeight w:val="234"/>
        </w:trPr>
        <w:tc>
          <w:tcPr>
            <w:tcW w:w="7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431,876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406,835</w:t>
            </w:r>
          </w:p>
        </w:tc>
        <w:tc>
          <w:tcPr>
            <w:tcW w:w="0" w:type="dxa"/>
            <w:vAlign w:val="bottom"/>
          </w:tcPr>
          <w:p>
            <w:pPr>
              <w:spacing w:after="0"/>
              <w:rPr>
                <w:sz w:val="1"/>
                <w:szCs w:val="1"/>
                <w:color w:val="auto"/>
              </w:rPr>
            </w:pPr>
          </w:p>
        </w:tc>
      </w:tr>
      <w:tr>
        <w:trPr>
          <w:trHeight w:val="251"/>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27,026</w:t>
            </w:r>
          </w:p>
        </w:tc>
        <w:tc>
          <w:tcPr>
            <w:tcW w:w="0" w:type="dxa"/>
            <w:vAlign w:val="bottom"/>
          </w:tcPr>
          <w:p>
            <w:pPr>
              <w:spacing w:after="0"/>
              <w:rPr>
                <w:sz w:val="1"/>
                <w:szCs w:val="1"/>
                <w:color w:val="auto"/>
              </w:rPr>
            </w:pPr>
          </w:p>
        </w:tc>
      </w:tr>
      <w:tr>
        <w:trPr>
          <w:trHeight w:val="26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5"/>
        </w:trPr>
        <w:tc>
          <w:tcPr>
            <w:tcW w:w="7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483,834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452,389</w:t>
            </w:r>
          </w:p>
        </w:tc>
        <w:tc>
          <w:tcPr>
            <w:tcW w:w="0" w:type="dxa"/>
            <w:vAlign w:val="bottom"/>
          </w:tcPr>
          <w:p>
            <w:pPr>
              <w:spacing w:after="0"/>
              <w:rPr>
                <w:sz w:val="1"/>
                <w:szCs w:val="1"/>
                <w:color w:val="auto"/>
              </w:rPr>
            </w:pPr>
          </w:p>
        </w:tc>
      </w:tr>
      <w:tr>
        <w:trPr>
          <w:trHeight w:val="20"/>
        </w:trPr>
        <w:tc>
          <w:tcPr>
            <w:tcW w:w="7220" w:type="dxa"/>
            <w:vAlign w:val="bottom"/>
            <w:vMerge w:val="restart"/>
          </w:tcPr>
          <w:p>
            <w:pPr>
              <w:ind w:left="3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22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50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30,967</w:t>
            </w:r>
          </w:p>
        </w:tc>
        <w:tc>
          <w:tcPr>
            <w:tcW w:w="0" w:type="dxa"/>
            <w:vAlign w:val="bottom"/>
          </w:tcPr>
          <w:p>
            <w:pPr>
              <w:spacing w:after="0"/>
              <w:rPr>
                <w:sz w:val="1"/>
                <w:szCs w:val="1"/>
                <w:color w:val="auto"/>
              </w:rPr>
            </w:pPr>
          </w:p>
        </w:tc>
      </w:tr>
      <w:tr>
        <w:trPr>
          <w:trHeight w:val="26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34"/>
        </w:trPr>
        <w:tc>
          <w:tcPr>
            <w:tcW w:w="7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0" w:type="dxa"/>
            <w:vAlign w:val="bottom"/>
          </w:tcPr>
          <w:p>
            <w:pPr>
              <w:spacing w:after="0"/>
              <w:rPr>
                <w:sz w:val="1"/>
                <w:szCs w:val="1"/>
                <w:color w:val="auto"/>
              </w:rPr>
            </w:pPr>
          </w:p>
        </w:tc>
      </w:tr>
      <w:tr>
        <w:trPr>
          <w:trHeight w:val="251"/>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353,426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310,807</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w:t>
            </w:r>
          </w:p>
        </w:tc>
        <w:tc>
          <w:tcPr>
            <w:tcW w:w="0" w:type="dxa"/>
            <w:vAlign w:val="bottom"/>
          </w:tcPr>
          <w:p>
            <w:pPr>
              <w:spacing w:after="0"/>
              <w:rPr>
                <w:sz w:val="1"/>
                <w:szCs w:val="1"/>
                <w:color w:val="auto"/>
              </w:rPr>
            </w:pPr>
          </w:p>
        </w:tc>
      </w:tr>
      <w:tr>
        <w:trPr>
          <w:trHeight w:val="24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2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Preferred stock, $0.001 par value, 10,000 shares authorized and no shares, issued or outstanding at</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72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Common stock, $0.001 par value, 500,000 shares authorized, 30,473 shares and 26,597 shares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at December 31, 2024 and December 31, 2023, respectively</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829,860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702,969</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6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(759,327)</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(614,096)</w:t>
            </w:r>
          </w:p>
        </w:tc>
        <w:tc>
          <w:tcPr>
            <w:tcW w:w="0" w:type="dxa"/>
            <w:vAlign w:val="bottom"/>
          </w:tcPr>
          <w:p>
            <w:pPr>
              <w:spacing w:after="0"/>
              <w:rPr>
                <w:sz w:val="1"/>
                <w:szCs w:val="1"/>
                <w:color w:val="auto"/>
              </w:rPr>
            </w:pPr>
          </w:p>
        </w:tc>
      </w:tr>
      <w:tr>
        <w:trPr>
          <w:trHeight w:val="235"/>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70,868</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88,103</w:t>
            </w:r>
          </w:p>
        </w:tc>
        <w:tc>
          <w:tcPr>
            <w:tcW w:w="0" w:type="dxa"/>
            <w:vAlign w:val="bottom"/>
          </w:tcPr>
          <w:p>
            <w:pPr>
              <w:spacing w:after="0"/>
              <w:rPr>
                <w:sz w:val="1"/>
                <w:szCs w:val="1"/>
                <w:color w:val="auto"/>
              </w:rPr>
            </w:pPr>
          </w:p>
        </w:tc>
      </w:tr>
      <w:tr>
        <w:trPr>
          <w:trHeight w:val="215"/>
        </w:trPr>
        <w:tc>
          <w:tcPr>
            <w:tcW w:w="7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483,834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452,389</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-4860290</wp:posOffset>
            </wp:positionV>
            <wp:extent cx="6534150" cy="4879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6534150" cy="4879975"/>
                    </a:xfrm>
                    <a:prstGeom prst="rect">
                      <a:avLst/>
                    </a:prstGeom>
                    <a:noFill/>
                  </pic:spPr>
                </pic:pic>
              </a:graphicData>
            </a:graphic>
          </wp:anchor>
        </w:drawing>
      </w: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180"/>
          </w:cols>
          <w:pgMar w:left="106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180"/>
          </w:cols>
          <w:pgMar w:left="1060" w:top="786" w:right="100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00" w:lineRule="exact"/>
        <w:rPr>
          <w:sz w:val="20"/>
          <w:szCs w:val="20"/>
          <w:color w:val="auto"/>
        </w:rPr>
      </w:pPr>
    </w:p>
    <w:p>
      <w:pPr>
        <w:spacing w:after="0" w:line="22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79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4273550</wp:posOffset>
                </wp:positionH>
                <wp:positionV relativeFrom="paragraph">
                  <wp:posOffset>13970</wp:posOffset>
                </wp:positionV>
                <wp:extent cx="21812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5pt,1.1pt" to="508.25pt,1.1pt" o:allowincell="f" strokecolor="#000000" strokeweight="1pt"/>
            </w:pict>
          </mc:Fallback>
        </mc:AlternateConten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163,840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88,798</w:t>
            </w:r>
          </w:p>
        </w:tc>
        <w:tc>
          <w:tcPr>
            <w:tcW w:w="0" w:type="dxa"/>
            <w:vAlign w:val="bottom"/>
          </w:tcPr>
          <w:p>
            <w:pPr>
              <w:spacing w:after="0"/>
              <w:rPr>
                <w:sz w:val="1"/>
                <w:szCs w:val="1"/>
                <w:color w:val="auto"/>
              </w:rPr>
            </w:pPr>
          </w:p>
        </w:tc>
      </w:tr>
      <w:tr>
        <w:trPr>
          <w:trHeight w:val="28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36,643</w:t>
            </w:r>
          </w:p>
        </w:tc>
        <w:tc>
          <w:tcPr>
            <w:tcW w:w="0" w:type="dxa"/>
            <w:vAlign w:val="bottom"/>
          </w:tcPr>
          <w:p>
            <w:pPr>
              <w:spacing w:after="0"/>
              <w:rPr>
                <w:sz w:val="1"/>
                <w:szCs w:val="1"/>
                <w:color w:val="auto"/>
              </w:rPr>
            </w:pPr>
          </w:p>
        </w:tc>
      </w:tr>
      <w:tr>
        <w:trPr>
          <w:trHeight w:val="290"/>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206,229</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181,568</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125,441</w:t>
            </w:r>
          </w:p>
        </w:tc>
        <w:tc>
          <w:tcPr>
            <w:tcW w:w="0" w:type="dxa"/>
            <w:vAlign w:val="bottom"/>
          </w:tcPr>
          <w:p>
            <w:pPr>
              <w:spacing w:after="0"/>
              <w:rPr>
                <w:sz w:val="1"/>
                <w:szCs w:val="1"/>
                <w:color w:val="auto"/>
              </w:rPr>
            </w:pPr>
          </w:p>
        </w:tc>
      </w:tr>
      <w:tr>
        <w:trPr>
          <w:trHeight w:val="265"/>
        </w:trPr>
        <w:tc>
          <w:tcPr>
            <w:tcW w:w="6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(114,949)</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(164,411)</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(115,154)</w:t>
            </w:r>
          </w:p>
        </w:tc>
        <w:tc>
          <w:tcPr>
            <w:tcW w:w="0" w:type="dxa"/>
            <w:vAlign w:val="bottom"/>
          </w:tcPr>
          <w:p>
            <w:pPr>
              <w:spacing w:after="0"/>
              <w:rPr>
                <w:sz w:val="1"/>
                <w:szCs w:val="1"/>
                <w:color w:val="auto"/>
              </w:rPr>
            </w:pPr>
          </w:p>
        </w:tc>
      </w:tr>
      <w:tr>
        <w:trPr>
          <w:trHeight w:val="221"/>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0" w:type="dxa"/>
            <w:vAlign w:val="bottom"/>
          </w:tcPr>
          <w:p>
            <w:pPr>
              <w:spacing w:after="0"/>
              <w:rPr>
                <w:sz w:val="1"/>
                <w:szCs w:val="1"/>
                <w:color w:val="auto"/>
              </w:rPr>
            </w:pPr>
          </w:p>
        </w:tc>
      </w:tr>
      <w:tr>
        <w:trPr>
          <w:trHeight w:val="28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0" w:type="dxa"/>
            <w:vAlign w:val="bottom"/>
          </w:tcPr>
          <w:p>
            <w:pPr>
              <w:spacing w:after="0"/>
              <w:rPr>
                <w:sz w:val="1"/>
                <w:szCs w:val="1"/>
                <w:color w:val="auto"/>
              </w:rPr>
            </w:pPr>
          </w:p>
        </w:tc>
      </w:tr>
      <w:tr>
        <w:trPr>
          <w:trHeight w:val="290"/>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5"/>
        </w:trPr>
        <w:tc>
          <w:tcPr>
            <w:tcW w:w="6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(30,279)</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(128,700)</w:t>
            </w:r>
          </w:p>
        </w:tc>
        <w:tc>
          <w:tcPr>
            <w:tcW w:w="0" w:type="dxa"/>
            <w:vAlign w:val="bottom"/>
          </w:tcPr>
          <w:p>
            <w:pPr>
              <w:spacing w:after="0"/>
              <w:rPr>
                <w:sz w:val="1"/>
                <w:szCs w:val="1"/>
                <w:color w:val="auto"/>
              </w:rPr>
            </w:pPr>
          </w:p>
        </w:tc>
      </w:tr>
      <w:tr>
        <w:trPr>
          <w:trHeight w:val="290"/>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5"/>
        </w:trPr>
        <w:tc>
          <w:tcPr>
            <w:tcW w:w="6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(145,231)</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(163,619)</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(128,724)</w:t>
            </w:r>
          </w:p>
        </w:tc>
        <w:tc>
          <w:tcPr>
            <w:tcW w:w="0" w:type="dxa"/>
            <w:vAlign w:val="bottom"/>
          </w:tcPr>
          <w:p>
            <w:pPr>
              <w:spacing w:after="0"/>
              <w:rPr>
                <w:sz w:val="1"/>
                <w:szCs w:val="1"/>
                <w:color w:val="auto"/>
              </w:rPr>
            </w:pPr>
          </w:p>
        </w:tc>
      </w:tr>
      <w:tr>
        <w:trPr>
          <w:trHeight w:val="221"/>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gain (loss) on available for sale securities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0" w:type="dxa"/>
            <w:vAlign w:val="bottom"/>
          </w:tcPr>
          <w:p>
            <w:pPr>
              <w:spacing w:after="0"/>
              <w:rPr>
                <w:sz w:val="1"/>
                <w:szCs w:val="1"/>
                <w:color w:val="auto"/>
              </w:rPr>
            </w:pPr>
          </w:p>
        </w:tc>
      </w:tr>
      <w:tr>
        <w:trPr>
          <w:trHeight w:val="245"/>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(159,170)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28,382</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-4012565</wp:posOffset>
            </wp:positionV>
            <wp:extent cx="6524625" cy="4032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6524625" cy="4032250"/>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160"/>
          </w:cols>
          <w:pgMar w:left="1040" w:top="78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160"/>
          </w:cols>
          <w:pgMar w:left="1040" w:top="786" w:right="1040" w:bottom="0" w:gutter="0" w:footer="0" w:header="0"/>
          <w:type w:val="continuous"/>
        </w:sectPr>
      </w:pPr>
    </w:p>
    <w:bookmarkStart w:id="74" w:name="page75"/>
    <w:bookmarkEnd w:id="74"/>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80" w:type="dxa"/>
            <w:vAlign w:val="bottom"/>
          </w:tcPr>
          <w:p>
            <w:pPr>
              <w:spacing w:after="0"/>
              <w:rPr>
                <w:sz w:val="12"/>
                <w:szCs w:val="12"/>
                <w:color w:val="auto"/>
              </w:rPr>
            </w:pPr>
          </w:p>
        </w:tc>
        <w:tc>
          <w:tcPr>
            <w:tcW w:w="1560" w:type="dxa"/>
            <w:vAlign w:val="bottom"/>
            <w:gridSpan w:val="4"/>
            <w:vMerge w:val="restart"/>
          </w:tcPr>
          <w:p>
            <w:pPr>
              <w:jc w:val="right"/>
              <w:ind w:right="31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6"/>
        </w:trPr>
        <w:tc>
          <w:tcPr>
            <w:tcW w:w="4480" w:type="dxa"/>
            <w:vAlign w:val="bottom"/>
          </w:tcPr>
          <w:p>
            <w:pPr>
              <w:spacing w:after="0"/>
              <w:rPr>
                <w:sz w:val="7"/>
                <w:szCs w:val="7"/>
                <w:color w:val="auto"/>
              </w:rPr>
            </w:pPr>
          </w:p>
        </w:tc>
        <w:tc>
          <w:tcPr>
            <w:tcW w:w="1560" w:type="dxa"/>
            <w:vAlign w:val="bottom"/>
            <w:tcBorders>
              <w:bottom w:val="single" w:sz="8" w:color="auto"/>
            </w:tcBorders>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jc w:val="right"/>
              <w:ind w:right="231"/>
              <w:spacing w:after="0" w:line="91"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jc w:val="right"/>
              <w:ind w:right="111"/>
              <w:spacing w:after="0" w:line="91"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jc w:val="right"/>
              <w:ind w:right="171"/>
              <w:spacing w:after="0" w:line="91"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jc w:val="center"/>
              <w:ind w:right="112"/>
              <w:spacing w:after="0" w:line="91"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w w:val="99"/>
              </w:rPr>
              <w:t>Paid-in Capital</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2"/>
                <w:szCs w:val="12"/>
                <w:b w:val="1"/>
                <w:bCs w:val="1"/>
                <w:color w:val="auto"/>
              </w:rPr>
              <w:t>Gain (Loss)</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272"/>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January 1, 2022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678,575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(321,753)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356,428</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from exercises of options and employee stock purchase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11,866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11,867</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27,356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27,356</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0" w:type="dxa"/>
            <w:vAlign w:val="bottom"/>
          </w:tcPr>
          <w:p>
            <w:pPr>
              <w:spacing w:after="0"/>
              <w:rPr>
                <w:sz w:val="1"/>
                <w:szCs w:val="1"/>
                <w:color w:val="auto"/>
              </w:rPr>
            </w:pPr>
          </w:p>
        </w:tc>
      </w:tr>
      <w:tr>
        <w:trPr>
          <w:trHeight w:val="30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(128,724)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(128,724)</w:t>
            </w:r>
          </w:p>
        </w:tc>
        <w:tc>
          <w:tcPr>
            <w:tcW w:w="0" w:type="dxa"/>
            <w:vAlign w:val="bottom"/>
          </w:tcPr>
          <w:p>
            <w:pPr>
              <w:spacing w:after="0"/>
              <w:rPr>
                <w:sz w:val="1"/>
                <w:szCs w:val="1"/>
                <w:color w:val="auto"/>
              </w:rPr>
            </w:pPr>
          </w:p>
        </w:tc>
      </w:tr>
      <w:tr>
        <w:trPr>
          <w:trHeight w:val="272"/>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717,797</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(450,477)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262,103</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from exercises of options and employee stock purchase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2,421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2,421</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upon vesting of restricted stock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Repurchases and retirements of common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(50,456)</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33,205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33,205</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Comprehensive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4,449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4,449</w:t>
            </w:r>
          </w:p>
        </w:tc>
        <w:tc>
          <w:tcPr>
            <w:tcW w:w="0" w:type="dxa"/>
            <w:vAlign w:val="bottom"/>
          </w:tcPr>
          <w:p>
            <w:pPr>
              <w:spacing w:after="0"/>
              <w:rPr>
                <w:sz w:val="1"/>
                <w:szCs w:val="1"/>
                <w:color w:val="auto"/>
              </w:rPr>
            </w:pPr>
          </w:p>
        </w:tc>
      </w:tr>
      <w:tr>
        <w:trPr>
          <w:trHeight w:val="30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(163,619)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(163,619)</w:t>
            </w:r>
          </w:p>
        </w:tc>
        <w:tc>
          <w:tcPr>
            <w:tcW w:w="0" w:type="dxa"/>
            <w:vAlign w:val="bottom"/>
          </w:tcPr>
          <w:p>
            <w:pPr>
              <w:spacing w:after="0"/>
              <w:rPr>
                <w:sz w:val="1"/>
                <w:szCs w:val="1"/>
                <w:color w:val="auto"/>
              </w:rPr>
            </w:pPr>
          </w:p>
        </w:tc>
      </w:tr>
      <w:tr>
        <w:trPr>
          <w:trHeight w:val="272"/>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26,597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702,969</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(614,096)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88,103</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from exercises of options and employee stock purchase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6,473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6,473</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upon vesting of restricted stock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Net share settlement of restricted stock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net of $6,516 of transaction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93,874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93,877</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34,048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34,048</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Comprehensive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1,102</w:t>
            </w:r>
          </w:p>
        </w:tc>
        <w:tc>
          <w:tcPr>
            <w:tcW w:w="0" w:type="dxa"/>
            <w:vAlign w:val="bottom"/>
          </w:tcPr>
          <w:p>
            <w:pPr>
              <w:spacing w:after="0"/>
              <w:rPr>
                <w:sz w:val="1"/>
                <w:szCs w:val="1"/>
                <w:color w:val="auto"/>
              </w:rPr>
            </w:pPr>
          </w:p>
        </w:tc>
      </w:tr>
      <w:tr>
        <w:trPr>
          <w:trHeight w:val="30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(145,231)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(145,231)</w:t>
            </w:r>
          </w:p>
        </w:tc>
        <w:tc>
          <w:tcPr>
            <w:tcW w:w="0" w:type="dxa"/>
            <w:vAlign w:val="bottom"/>
          </w:tcPr>
          <w:p>
            <w:pPr>
              <w:spacing w:after="0"/>
              <w:rPr>
                <w:sz w:val="1"/>
                <w:szCs w:val="1"/>
                <w:color w:val="auto"/>
              </w:rPr>
            </w:pPr>
          </w:p>
        </w:tc>
      </w:tr>
      <w:tr>
        <w:trPr>
          <w:trHeight w:val="260"/>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829,860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(759,327)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70,868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-4031615</wp:posOffset>
            </wp:positionV>
            <wp:extent cx="6953250" cy="4051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6953250" cy="4051300"/>
                    </a:xfrm>
                    <a:prstGeom prst="rect">
                      <a:avLst/>
                    </a:prstGeom>
                    <a:noFill/>
                  </pic:spPr>
                </pic:pic>
              </a:graphicData>
            </a:graphic>
          </wp:anchor>
        </w:drawing>
      </w:r>
    </w:p>
    <w:p>
      <w:pPr>
        <w:spacing w:after="0" w:line="2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840"/>
          </w:cols>
          <w:pgMar w:left="780" w:top="786"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840"/>
          </w:cols>
          <w:pgMar w:left="780" w:top="786" w:right="620" w:bottom="0" w:gutter="0" w:footer="0" w:header="0"/>
          <w:type w:val="continuous"/>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6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80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4284345</wp:posOffset>
                </wp:positionH>
                <wp:positionV relativeFrom="paragraph">
                  <wp:posOffset>13970</wp:posOffset>
                </wp:positionV>
                <wp:extent cx="21717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35pt,1.1pt" to="508.35pt,1.1pt" o:allowincell="f" strokecolor="#000000" strokeweight="1pt"/>
            </w:pict>
          </mc:Fallback>
        </mc:AlternateConten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(145,231)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(163,619)</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(128,724)</w:t>
            </w:r>
          </w:p>
        </w:tc>
        <w:tc>
          <w:tcPr>
            <w:tcW w:w="0" w:type="dxa"/>
            <w:vAlign w:val="bottom"/>
          </w:tcPr>
          <w:p>
            <w:pPr>
              <w:spacing w:after="0"/>
              <w:rPr>
                <w:sz w:val="1"/>
                <w:szCs w:val="1"/>
                <w:color w:val="auto"/>
              </w:rPr>
            </w:pPr>
          </w:p>
        </w:tc>
      </w:tr>
      <w:tr>
        <w:trPr>
          <w:trHeight w:val="24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Accretion/amortization of investments, net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right-of-use assets – operating</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interest expense for sale of future royalties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0" w:type="dxa"/>
            <w:vAlign w:val="bottom"/>
          </w:tcPr>
          <w:p>
            <w:pPr>
              <w:spacing w:after="0"/>
              <w:rPr>
                <w:sz w:val="1"/>
                <w:szCs w:val="1"/>
                <w:color w:val="auto"/>
              </w:rPr>
            </w:pPr>
          </w:p>
        </w:tc>
      </w:tr>
      <w:tr>
        <w:trPr>
          <w:trHeight w:val="246"/>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Receivables from collaborative partners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55"/>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55"/>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60"/>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35"/>
        </w:trPr>
        <w:tc>
          <w:tcPr>
            <w:tcW w:w="6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(135,337)</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(120,800)</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(73,593)</w:t>
            </w:r>
          </w:p>
        </w:tc>
        <w:tc>
          <w:tcPr>
            <w:tcW w:w="0" w:type="dxa"/>
            <w:vAlign w:val="bottom"/>
          </w:tcPr>
          <w:p>
            <w:pPr>
              <w:spacing w:after="0"/>
              <w:rPr>
                <w:sz w:val="1"/>
                <w:szCs w:val="1"/>
                <w:color w:val="auto"/>
              </w:rPr>
            </w:pPr>
          </w:p>
        </w:tc>
      </w:tr>
      <w:tr>
        <w:trPr>
          <w:trHeight w:val="21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(380,376)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(303,919)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(802,503)</w:t>
            </w:r>
          </w:p>
        </w:tc>
        <w:tc>
          <w:tcPr>
            <w:tcW w:w="0" w:type="dxa"/>
            <w:vAlign w:val="bottom"/>
          </w:tcPr>
          <w:p>
            <w:pPr>
              <w:spacing w:after="0"/>
              <w:rPr>
                <w:sz w:val="1"/>
                <w:szCs w:val="1"/>
                <w:color w:val="auto"/>
              </w:rPr>
            </w:pPr>
          </w:p>
        </w:tc>
      </w:tr>
      <w:tr>
        <w:trPr>
          <w:trHeight w:val="25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476,132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449,480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408,016</w:t>
            </w: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0"/>
        </w:trPr>
        <w:tc>
          <w:tcPr>
            <w:tcW w:w="6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95,398</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144,754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(394,845)</w:t>
            </w:r>
          </w:p>
        </w:tc>
        <w:tc>
          <w:tcPr>
            <w:tcW w:w="0" w:type="dxa"/>
            <w:vAlign w:val="bottom"/>
          </w:tcPr>
          <w:p>
            <w:pPr>
              <w:spacing w:after="0"/>
              <w:rPr>
                <w:sz w:val="1"/>
                <w:szCs w:val="1"/>
                <w:color w:val="auto"/>
              </w:rPr>
            </w:pPr>
          </w:p>
        </w:tc>
      </w:tr>
      <w:tr>
        <w:trPr>
          <w:trHeight w:val="21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public offerings, net of underwriters' fees</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0" w:type="dxa"/>
            <w:vAlign w:val="bottom"/>
          </w:tcPr>
          <w:p>
            <w:pPr>
              <w:spacing w:after="0"/>
              <w:rPr>
                <w:sz w:val="1"/>
                <w:szCs w:val="1"/>
                <w:color w:val="auto"/>
              </w:rPr>
            </w:pPr>
          </w:p>
        </w:tc>
      </w:tr>
      <w:tr>
        <w:trPr>
          <w:trHeight w:val="25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future royalties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5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 of liability for sale of future royalties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5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repurchase of common stock</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Payment for net share settlement of equity awards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offering costs, net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issuance costs related to the sale of future royalties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5"/>
        </w:trPr>
        <w:tc>
          <w:tcPr>
            <w:tcW w:w="6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127,054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44,017</w:t>
            </w:r>
          </w:p>
        </w:tc>
        <w:tc>
          <w:tcPr>
            <w:tcW w:w="0" w:type="dxa"/>
            <w:vAlign w:val="bottom"/>
          </w:tcPr>
          <w:p>
            <w:pPr>
              <w:spacing w:after="0"/>
              <w:rPr>
                <w:sz w:val="1"/>
                <w:szCs w:val="1"/>
                <w:color w:val="auto"/>
              </w:rPr>
            </w:pPr>
          </w:p>
        </w:tc>
      </w:tr>
      <w:tr>
        <w:trPr>
          <w:trHeight w:val="234"/>
        </w:trPr>
        <w:tc>
          <w:tcPr>
            <w:tcW w:w="6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(424,421)</w:t>
            </w:r>
          </w:p>
        </w:tc>
        <w:tc>
          <w:tcPr>
            <w:tcW w:w="0" w:type="dxa"/>
            <w:vAlign w:val="bottom"/>
          </w:tcPr>
          <w:p>
            <w:pPr>
              <w:spacing w:after="0"/>
              <w:rPr>
                <w:sz w:val="1"/>
                <w:szCs w:val="1"/>
                <w:color w:val="auto"/>
              </w:rPr>
            </w:pPr>
          </w:p>
        </w:tc>
      </w:tr>
      <w:tr>
        <w:trPr>
          <w:trHeight w:val="25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71,308</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495,729</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123,080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Interest portion of repayment for sale of future royalties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Amounts accrued for property and equipment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Amounts accrued for issuance costs related to the sale of future royalties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Amounts accrued for repurchase of common stock</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Receivable related to issuance of common stock, upon exercise of stock options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-6308090</wp:posOffset>
            </wp:positionV>
            <wp:extent cx="6524625" cy="6330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6524625" cy="6330950"/>
                    </a:xfrm>
                    <a:prstGeom prst="rect">
                      <a:avLst/>
                    </a:prstGeom>
                    <a:noFill/>
                  </pic:spPr>
                </pic:pic>
              </a:graphicData>
            </a:graphic>
          </wp:anchor>
        </w:drawing>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160"/>
          </w:cols>
          <w:pgMar w:left="1060" w:top="78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160"/>
          </w:cols>
          <w:pgMar w:left="1060" w:top="786" w:right="1020" w:bottom="0" w:gutter="0" w:footer="0" w:header="0"/>
          <w:type w:val="continuous"/>
        </w:sectPr>
      </w:pPr>
    </w:p>
    <w:bookmarkStart w:id="76" w:name="page77"/>
    <w:bookmarkEnd w:id="76"/>
    <w:p>
      <w:pPr>
        <w:jc w:val="center"/>
        <w:ind w:right="-29"/>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1. Description of the Business</w:t>
      </w:r>
    </w:p>
    <w:p>
      <w:pPr>
        <w:spacing w:after="0" w:line="257" w:lineRule="exact"/>
        <w:rPr>
          <w:sz w:val="20"/>
          <w:szCs w:val="20"/>
          <w:color w:val="auto"/>
        </w:rPr>
      </w:pPr>
    </w:p>
    <w:p>
      <w:pPr>
        <w:ind w:left="10" w:firstLine="630"/>
        <w:spacing w:after="0" w:line="237" w:lineRule="auto"/>
        <w:rPr>
          <w:sz w:val="20"/>
          <w:szCs w:val="20"/>
          <w:color w:val="auto"/>
        </w:rPr>
      </w:pPr>
      <w:r>
        <w:rPr>
          <w:rFonts w:ascii="Times New Roman" w:cs="Times New Roman" w:eastAsia="Times New Roman" w:hAnsi="Times New Roman"/>
          <w:sz w:val="20"/>
          <w:szCs w:val="20"/>
          <w:color w:val="auto"/>
        </w:rPr>
        <w:t>AnaptysBio, Inc. (“we,” “us,” “our,” or the “Company”) was incorporated in the state of Delaware in November 2005. We are a clinical-stage biotechnology company focused on delivering innovative immunology therapeutics for autoimmune and inflammatory diseases. Our pipeline includes our lead program, rosnilimab, a depleter and agonist targeting PD-1+ T cells, in a Phase 2b trial for the treatment of moderate-to-severe rheumatoid arthritis (“RA”) and a Phase 2 trial for the treatment of moderate-to-severe ulcerative colitis (“UC”). We also have other antibodies in our portfolio, including ANB033, a CD122 antagonist in a Phase 1 trial and ANB101, a BDCA2 modulator, entering a Phase 1 trial. We have also discovered multiple therapeutic antibodies licensed to GlaxoSmithKline, Inc. (“GSK”) in a financial collaboration for immuno-oncology, including a PD-1 antagonist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(dostarlimab-gxly) 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and a TIM-3 antagonist (cobolimab, GSK4069889). We currently recognize revenue from milestones and royalties achieved under our immuno-oncology collaboration with GSK.</w:t>
      </w:r>
    </w:p>
    <w:p>
      <w:pPr>
        <w:spacing w:after="0" w:line="92" w:lineRule="exact"/>
        <w:rPr>
          <w:sz w:val="20"/>
          <w:szCs w:val="20"/>
          <w:color w:val="auto"/>
        </w:rPr>
      </w:pPr>
    </w:p>
    <w:p>
      <w:pPr>
        <w:ind w:left="10" w:right="20" w:firstLine="630"/>
        <w:spacing w:after="0" w:line="253" w:lineRule="auto"/>
        <w:rPr>
          <w:sz w:val="20"/>
          <w:szCs w:val="20"/>
          <w:color w:val="auto"/>
        </w:rPr>
      </w:pPr>
      <w:r>
        <w:rPr>
          <w:rFonts w:ascii="Times New Roman" w:cs="Times New Roman" w:eastAsia="Times New Roman" w:hAnsi="Times New Roman"/>
          <w:sz w:val="20"/>
          <w:szCs w:val="20"/>
          <w:color w:val="auto"/>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12 months from the issuance of our consolidated financial statements. The accompanying consolidated financial statements do not include any adjustments that might be necessary if we are unable to continue as a going concern.</w:t>
      </w:r>
    </w:p>
    <w:p>
      <w:pPr>
        <w:spacing w:after="0" w:line="86" w:lineRule="exact"/>
        <w:rPr>
          <w:sz w:val="20"/>
          <w:szCs w:val="20"/>
          <w:color w:val="auto"/>
        </w:rPr>
      </w:pPr>
    </w:p>
    <w:p>
      <w:pPr>
        <w:ind w:left="910"/>
        <w:spacing w:after="0"/>
        <w:rPr>
          <w:sz w:val="20"/>
          <w:szCs w:val="20"/>
          <w:color w:val="auto"/>
        </w:rPr>
      </w:pPr>
      <w:r>
        <w:rPr>
          <w:rFonts w:ascii="Times New Roman" w:cs="Times New Roman" w:eastAsia="Times New Roman" w:hAnsi="Times New Roman"/>
          <w:sz w:val="20"/>
          <w:szCs w:val="20"/>
          <w:b w:val="1"/>
          <w:bCs w:val="1"/>
          <w:i w:val="1"/>
          <w:iCs w:val="1"/>
          <w:color w:val="auto"/>
        </w:rPr>
        <w:t>Public Offerings</w:t>
      </w:r>
    </w:p>
    <w:p>
      <w:pPr>
        <w:spacing w:after="0" w:line="139" w:lineRule="exact"/>
        <w:rPr>
          <w:sz w:val="20"/>
          <w:szCs w:val="20"/>
          <w:color w:val="auto"/>
        </w:rPr>
      </w:pPr>
    </w:p>
    <w:p>
      <w:pPr>
        <w:ind w:left="10" w:right="300" w:firstLine="630"/>
        <w:spacing w:after="0" w:line="266" w:lineRule="auto"/>
        <w:rPr>
          <w:sz w:val="20"/>
          <w:szCs w:val="20"/>
          <w:color w:val="auto"/>
        </w:rPr>
      </w:pPr>
      <w:r>
        <w:rPr>
          <w:rFonts w:ascii="Times New Roman" w:cs="Times New Roman" w:eastAsia="Times New Roman" w:hAnsi="Times New Roman"/>
          <w:sz w:val="20"/>
          <w:szCs w:val="20"/>
          <w:color w:val="auto"/>
        </w:rPr>
        <w:t>On August 15, 2024, we completed an underwritten public offering selling 2,750,498 shares of common stock, at an offering price of $36.50 per share. The aggregate net proceeds received by us from the offering were $93.9 million, net of underwriting discounts and commissions and offering expenses of $6.5 million, in the aggregate.</w:t>
      </w:r>
    </w:p>
    <w:p>
      <w:pPr>
        <w:spacing w:after="0" w:line="308" w:lineRule="exact"/>
        <w:rPr>
          <w:sz w:val="20"/>
          <w:szCs w:val="20"/>
          <w:color w:val="auto"/>
        </w:rPr>
      </w:pPr>
    </w:p>
    <w:p>
      <w:pPr>
        <w:ind w:left="270" w:right="6280" w:hanging="270"/>
        <w:spacing w:after="0" w:line="379" w:lineRule="auto"/>
        <w:tabs>
          <w:tab w:leader="none" w:pos="20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Basis of Presentation</w:t>
      </w:r>
    </w:p>
    <w:p>
      <w:pPr>
        <w:spacing w:after="0" w:line="1" w:lineRule="exact"/>
        <w:rPr>
          <w:sz w:val="20"/>
          <w:szCs w:val="20"/>
          <w:color w:val="auto"/>
        </w:rPr>
      </w:pPr>
    </w:p>
    <w:p>
      <w:pPr>
        <w:ind w:left="10" w:right="40" w:firstLine="630"/>
        <w:spacing w:after="0" w:line="266"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pursuant to the rules and regulations of the Securities and Exchange Commission (the “SEC”). The accompanying consolidated financial statements have been prepared in conformity with accounting principles generally accepted in the United States of America (“U.S. GAAP”).</w:t>
      </w:r>
    </w:p>
    <w:p>
      <w:pPr>
        <w:spacing w:after="0" w:line="186"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i w:val="1"/>
          <w:iCs w:val="1"/>
          <w:color w:val="auto"/>
        </w:rPr>
        <w:t>Basis of Consolidation</w:t>
      </w:r>
    </w:p>
    <w:p>
      <w:pPr>
        <w:spacing w:after="0" w:line="139" w:lineRule="exact"/>
        <w:rPr>
          <w:sz w:val="20"/>
          <w:szCs w:val="20"/>
          <w:color w:val="auto"/>
        </w:rPr>
      </w:pPr>
    </w:p>
    <w:p>
      <w:pPr>
        <w:ind w:left="10" w:right="120" w:firstLine="630"/>
        <w:spacing w:after="0" w:line="266"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us and our wholly owned Australian subsidiary. All intercompany accounts and transactions have been eliminated in consolidation. We operate in one reportable segment, and our functional and reporting currency is the U.S. dollar.</w:t>
      </w:r>
    </w:p>
    <w:p>
      <w:pPr>
        <w:spacing w:after="0" w:line="186"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39" w:lineRule="exact"/>
        <w:rPr>
          <w:sz w:val="20"/>
          <w:szCs w:val="20"/>
          <w:color w:val="auto"/>
        </w:rPr>
      </w:pPr>
    </w:p>
    <w:p>
      <w:pPr>
        <w:ind w:left="10" w:firstLine="630"/>
        <w:spacing w:after="0" w:line="254" w:lineRule="auto"/>
        <w:rPr>
          <w:sz w:val="20"/>
          <w:szCs w:val="20"/>
          <w:color w:val="auto"/>
        </w:rPr>
      </w:pPr>
      <w:r>
        <w:rPr>
          <w:rFonts w:ascii="Times New Roman" w:cs="Times New Roman" w:eastAsia="Times New Roman" w:hAnsi="Times New Roman"/>
          <w:sz w:val="20"/>
          <w:szCs w:val="20"/>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spacing w:after="0" w:line="200" w:lineRule="exact"/>
        <w:rPr>
          <w:sz w:val="20"/>
          <w:szCs w:val="20"/>
          <w:color w:val="auto"/>
        </w:rPr>
      </w:pPr>
    </w:p>
    <w:p>
      <w:pPr>
        <w:ind w:left="230"/>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39" w:lineRule="exact"/>
        <w:rPr>
          <w:sz w:val="20"/>
          <w:szCs w:val="20"/>
          <w:color w:val="auto"/>
        </w:rPr>
      </w:pPr>
    </w:p>
    <w:p>
      <w:pPr>
        <w:ind w:left="10" w:right="180" w:firstLine="630"/>
        <w:spacing w:after="0" w:line="309" w:lineRule="auto"/>
        <w:rPr>
          <w:sz w:val="20"/>
          <w:szCs w:val="20"/>
          <w:color w:val="auto"/>
        </w:rPr>
      </w:pPr>
      <w:r>
        <w:rPr>
          <w:rFonts w:ascii="Times New Roman" w:cs="Times New Roman" w:eastAsia="Times New Roman" w:hAnsi="Times New Roman"/>
          <w:sz w:val="19"/>
          <w:szCs w:val="19"/>
          <w:color w:val="auto"/>
        </w:rPr>
        <w:t>We consider all highly liquid investments with a maturity at date of purchase of three months or less to be cash equivalents. Cash equivalents consist primarily of money market and mutual funds with original maturities of 90 days or less.</w:t>
      </w:r>
    </w:p>
    <w:p>
      <w:pPr>
        <w:sectPr>
          <w:pgSz w:w="12240" w:h="15840" w:orient="portrait"/>
          <w:cols w:equalWidth="0" w:num="1">
            <w:col w:w="10230"/>
          </w:cols>
          <w:pgMar w:left="990" w:top="78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30"/>
          </w:cols>
          <w:pgMar w:left="990" w:top="786" w:right="1020" w:bottom="0" w:gutter="0" w:footer="0" w:header="0"/>
          <w:type w:val="continuous"/>
        </w:sectPr>
      </w:pPr>
    </w:p>
    <w:bookmarkStart w:id="77" w:name="page78"/>
    <w:bookmarkEnd w:id="77"/>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Short-Term and Long-Term Investments</w:t>
      </w:r>
    </w:p>
    <w:p>
      <w:pPr>
        <w:spacing w:after="0" w:line="139" w:lineRule="exact"/>
        <w:rPr>
          <w:sz w:val="20"/>
          <w:szCs w:val="20"/>
          <w:color w:val="auto"/>
        </w:rPr>
      </w:pPr>
    </w:p>
    <w:p>
      <w:pPr>
        <w:ind w:right="60" w:firstLine="630"/>
        <w:spacing w:after="0" w:line="253" w:lineRule="auto"/>
        <w:rPr>
          <w:sz w:val="20"/>
          <w:szCs w:val="20"/>
          <w:color w:val="auto"/>
        </w:rPr>
      </w:pPr>
      <w:r>
        <w:rPr>
          <w:rFonts w:ascii="Times New Roman" w:cs="Times New Roman" w:eastAsia="Times New Roman" w:hAnsi="Times New Roman"/>
          <w:sz w:val="20"/>
          <w:szCs w:val="20"/>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We review our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 No credit impairment losses have been recorded during the years ended December 31, 2024, 2023, or 2022.</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139"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39" w:lineRule="exact"/>
        <w:rPr>
          <w:sz w:val="20"/>
          <w:szCs w:val="20"/>
          <w:color w:val="auto"/>
        </w:rPr>
      </w:pPr>
    </w:p>
    <w:p>
      <w:pPr>
        <w:ind w:right="200" w:firstLine="630"/>
        <w:spacing w:after="0" w:line="256"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straight-line method over the term of the lease. Upon sale or retirement of property and equipment, the related cost and accumulated depreciation are removed from the accounts and any gain or loss is reflected in operations.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Long Lived Assets</w:t>
      </w:r>
    </w:p>
    <w:p>
      <w:pPr>
        <w:spacing w:after="0" w:line="139" w:lineRule="exact"/>
        <w:rPr>
          <w:sz w:val="20"/>
          <w:szCs w:val="20"/>
          <w:color w:val="auto"/>
        </w:rPr>
      </w:pPr>
    </w:p>
    <w:p>
      <w:pPr>
        <w:ind w:right="20" w:firstLine="630"/>
        <w:spacing w:after="0" w:line="255" w:lineRule="auto"/>
        <w:rPr>
          <w:sz w:val="20"/>
          <w:szCs w:val="20"/>
          <w:color w:val="auto"/>
        </w:rPr>
      </w:pPr>
      <w:r>
        <w:rPr>
          <w:rFonts w:ascii="Times New Roman" w:cs="Times New Roman" w:eastAsia="Times New Roman" w:hAnsi="Times New Roman"/>
          <w:sz w:val="20"/>
          <w:szCs w:val="20"/>
          <w:color w:val="auto"/>
        </w:rPr>
        <w:t>Long-lived assets, consisting of property and equipment, are reviewed for impairment whenever events or changes in circumstances indicate that the carrying value of an asset may not be recoverable. If circumstances require a long-lived asset or asset group to be tested for possible impairment, we first compare undiscounted cash flows expected to be generated by the asset or asset group to its carrying amount. If the carrying amount of the long-lived asset or asset group is not recoverable on an undiscounted cash flow basis, an impairment loss is recognized and is measured as the amount by which the carrying value exceeds the estimated fair value of the assets. No impairment charges were recorded during the years ended December 31, 2024, 2023, or 2022.</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39" w:lineRule="exact"/>
        <w:rPr>
          <w:sz w:val="20"/>
          <w:szCs w:val="20"/>
          <w:color w:val="auto"/>
        </w:rPr>
      </w:pPr>
    </w:p>
    <w:p>
      <w:pPr>
        <w:ind w:right="100" w:firstLine="630"/>
        <w:spacing w:after="0" w:line="271" w:lineRule="auto"/>
        <w:rPr>
          <w:sz w:val="20"/>
          <w:szCs w:val="20"/>
          <w:color w:val="auto"/>
        </w:rPr>
      </w:pPr>
      <w:r>
        <w:rPr>
          <w:rFonts w:ascii="Times New Roman" w:cs="Times New Roman" w:eastAsia="Times New Roman" w:hAnsi="Times New Roman"/>
          <w:sz w:val="19"/>
          <w:szCs w:val="19"/>
          <w:color w:val="auto"/>
        </w:rPr>
        <w:t>Our leases consist of a lease for office and lab space that is classified as an operating lease. We determine if an arrangement is a lease at inception.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ROU asset. For leases that have greater than a 12-month lease term, the ROU assets and lease liabilities are recognized based on the present value of the future minimum unpaid lease payments over the lease term. For this purpose, we consider only payments that are fixed and determinable at the time of commencement.</w:t>
      </w:r>
    </w:p>
    <w:p>
      <w:pPr>
        <w:spacing w:after="0" w:line="73" w:lineRule="exact"/>
        <w:rPr>
          <w:sz w:val="20"/>
          <w:szCs w:val="20"/>
          <w:color w:val="auto"/>
        </w:rPr>
      </w:pPr>
    </w:p>
    <w:p>
      <w:pPr>
        <w:ind w:right="180" w:firstLine="680"/>
        <w:spacing w:after="0" w:line="266" w:lineRule="auto"/>
        <w:rPr>
          <w:sz w:val="20"/>
          <w:szCs w:val="20"/>
          <w:color w:val="auto"/>
        </w:rPr>
      </w:pPr>
      <w:r>
        <w:rPr>
          <w:rFonts w:ascii="Times New Roman" w:cs="Times New Roman" w:eastAsia="Times New Roman" w:hAnsi="Times New Roman"/>
          <w:sz w:val="20"/>
          <w:szCs w:val="20"/>
          <w:color w:val="auto"/>
        </w:rPr>
        <w:t>As our lease does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75" w:lineRule="exact"/>
        <w:rPr>
          <w:sz w:val="20"/>
          <w:szCs w:val="20"/>
          <w:color w:val="auto"/>
        </w:rPr>
      </w:pPr>
    </w:p>
    <w:p>
      <w:pPr>
        <w:jc w:val="both"/>
        <w:ind w:firstLine="630"/>
        <w:spacing w:after="0" w:line="309" w:lineRule="auto"/>
        <w:rPr>
          <w:sz w:val="20"/>
          <w:szCs w:val="20"/>
          <w:color w:val="auto"/>
        </w:rPr>
      </w:pPr>
      <w:r>
        <w:rPr>
          <w:rFonts w:ascii="Times New Roman" w:cs="Times New Roman" w:eastAsia="Times New Roman" w:hAnsi="Times New Roman"/>
          <w:sz w:val="19"/>
          <w:szCs w:val="19"/>
          <w:color w:val="auto"/>
        </w:rPr>
        <w:t>We elected the practical expedient to not record leases with an initial term of 12 months or less on the balance sheet and recognize the associated lease payments in the consolidated statements of operations on a straight-line basis over the lease term.</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Liability Related to the Sale of Future Royalties</w:t>
      </w:r>
    </w:p>
    <w:p>
      <w:pPr>
        <w:spacing w:after="0" w:line="139" w:lineRule="exact"/>
        <w:rPr>
          <w:sz w:val="20"/>
          <w:szCs w:val="20"/>
          <w:color w:val="auto"/>
        </w:rPr>
      </w:pPr>
    </w:p>
    <w:p>
      <w:pPr>
        <w:ind w:right="140" w:firstLine="630"/>
        <w:spacing w:after="0" w:line="309" w:lineRule="auto"/>
        <w:rPr>
          <w:sz w:val="20"/>
          <w:szCs w:val="20"/>
          <w:color w:val="auto"/>
        </w:rPr>
      </w:pPr>
      <w:r>
        <w:rPr>
          <w:rFonts w:ascii="Times New Roman" w:cs="Times New Roman" w:eastAsia="Times New Roman" w:hAnsi="Times New Roman"/>
          <w:sz w:val="19"/>
          <w:szCs w:val="19"/>
          <w:color w:val="auto"/>
        </w:rPr>
        <w:t xml:space="preserve">We treat the liability related to the sale of future royalties as debt, amortized under the effective interest rate method over the estimated life of the </w:t>
      </w:r>
      <w:r>
        <w:rPr>
          <w:rFonts w:ascii="Times New Roman" w:cs="Times New Roman" w:eastAsia="Times New Roman" w:hAnsi="Times New Roman"/>
          <w:sz w:val="19"/>
          <w:szCs w:val="19"/>
          <w:b w:val="1"/>
          <w:bCs w:val="1"/>
          <w:i w:val="1"/>
          <w:iCs w:val="1"/>
          <w:color w:val="auto"/>
        </w:rPr>
        <w:t>Jemperli</w:t>
      </w:r>
      <w:r>
        <w:rPr>
          <w:rFonts w:ascii="Times New Roman" w:cs="Times New Roman" w:eastAsia="Times New Roman" w:hAnsi="Times New Roman"/>
          <w:sz w:val="19"/>
          <w:szCs w:val="19"/>
          <w:color w:val="auto"/>
        </w:rPr>
        <w:t xml:space="preserve"> Royalty Monetization Agreement and the Zejula Royalty Monetization Agreement. See</w:t>
      </w:r>
    </w:p>
    <w:p>
      <w:pPr>
        <w:sectPr>
          <w:pgSz w:w="12240" w:h="15840" w:orient="portrait"/>
          <w:cols w:equalWidth="0" w:num="1">
            <w:col w:w="10220"/>
          </w:cols>
          <w:pgMar w:left="1000" w:top="784" w:right="1020" w:bottom="0"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20"/>
          </w:cols>
          <w:pgMar w:left="1000" w:top="784" w:right="1020" w:bottom="0" w:gutter="0" w:footer="0" w:header="0"/>
          <w:type w:val="continuous"/>
        </w:sectPr>
      </w:pPr>
    </w:p>
    <w:bookmarkStart w:id="78" w:name="page79"/>
    <w:bookmarkEnd w:id="78"/>
    <w:p>
      <w:pPr>
        <w:jc w:val="both"/>
        <w:ind w:right="100"/>
        <w:spacing w:after="0" w:line="266" w:lineRule="auto"/>
        <w:rPr>
          <w:sz w:val="20"/>
          <w:szCs w:val="20"/>
          <w:color w:val="auto"/>
        </w:rPr>
      </w:pPr>
      <w:r>
        <w:rPr>
          <w:rFonts w:ascii="Times New Roman" w:cs="Times New Roman" w:eastAsia="Times New Roman" w:hAnsi="Times New Roman"/>
          <w:sz w:val="20"/>
          <w:szCs w:val="20"/>
          <w:color w:val="auto"/>
        </w:rPr>
        <w:t>Note 5. The amortization of the liability related to the sale of future revenue is based on our current estimates of future royalty payments. Royalty and milestone revenue will be recognized as earned and the payments made will be recorded as a reduction of the liability when paid.</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Debt Issuance Costs</w:t>
      </w:r>
    </w:p>
    <w:p>
      <w:pPr>
        <w:spacing w:after="0" w:line="139" w:lineRule="exact"/>
        <w:rPr>
          <w:sz w:val="20"/>
          <w:szCs w:val="20"/>
          <w:color w:val="auto"/>
        </w:rPr>
      </w:pPr>
    </w:p>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Debt issuance costs related to a recognized debt liability are deferred and amortized over the term of the debt using the effective interest method. These costs are recorded as a direct reduction to the carrying value of the debt on the balance sheet and the amortization expense is included in non-cash interest expense in the statement of operations.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Non-Cash Interest Expense on the Liability Related to the Sale of Future Royalties</w:t>
      </w:r>
    </w:p>
    <w:p>
      <w:pPr>
        <w:spacing w:after="0" w:line="139" w:lineRule="exact"/>
        <w:rPr>
          <w:sz w:val="20"/>
          <w:szCs w:val="20"/>
          <w:color w:val="auto"/>
        </w:rPr>
      </w:pPr>
    </w:p>
    <w:p>
      <w:pPr>
        <w:jc w:val="both"/>
        <w:ind w:right="140" w:firstLine="630"/>
        <w:spacing w:after="0" w:line="258" w:lineRule="auto"/>
        <w:rPr>
          <w:sz w:val="20"/>
          <w:szCs w:val="20"/>
          <w:color w:val="auto"/>
        </w:rPr>
      </w:pPr>
      <w:r>
        <w:rPr>
          <w:rFonts w:ascii="Times New Roman" w:cs="Times New Roman" w:eastAsia="Times New Roman" w:hAnsi="Times New Roman"/>
          <w:sz w:val="20"/>
          <w:szCs w:val="20"/>
          <w:color w:val="auto"/>
        </w:rPr>
        <w:t xml:space="preserve">The total threshold of royalties to be paid, less the net proceeds received will be recorded as non-cash interest expense over the life of the liability. We impute interest on the unamortized portion of the liability using the effective interest method and record expense based on the timing of payments received over the term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and the Zejula Royalty Monetization Agreement. Over the course of the agreement, the actual interest rate will be affected by the timing of royalty and milestone payments made and changes in the forecasted revenue.</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39" w:lineRule="exact"/>
        <w:rPr>
          <w:sz w:val="20"/>
          <w:szCs w:val="20"/>
          <w:color w:val="auto"/>
        </w:rPr>
      </w:pPr>
    </w:p>
    <w:p>
      <w:pPr>
        <w:ind w:right="180" w:firstLine="630"/>
        <w:spacing w:after="0" w:line="260" w:lineRule="auto"/>
        <w:rPr>
          <w:sz w:val="20"/>
          <w:szCs w:val="20"/>
          <w:color w:val="auto"/>
        </w:rPr>
      </w:pPr>
      <w:r>
        <w:rPr>
          <w:rFonts w:ascii="Times New Roman" w:cs="Times New Roman" w:eastAsia="Times New Roman" w:hAnsi="Times New Roman"/>
          <w:sz w:val="20"/>
          <w:szCs w:val="20"/>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80"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Obligations. </w:t>
      </w:r>
      <w:r>
        <w:rPr>
          <w:rFonts w:ascii="Times New Roman" w:cs="Times New Roman" w:eastAsia="Times New Roman" w:hAnsi="Times New Roman"/>
          <w:sz w:val="20"/>
          <w:szCs w:val="20"/>
          <w:color w:val="auto"/>
        </w:rPr>
        <w:t>We evaluate deliverables on a contract-by-contract basis to determine whether each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deliverable represents a good or service 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stand alone selling price.</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Our performance obligations may include the following:</w:t>
      </w:r>
    </w:p>
    <w:p>
      <w:pPr>
        <w:spacing w:after="0" w:line="130" w:lineRule="exact"/>
        <w:rPr>
          <w:sz w:val="20"/>
          <w:szCs w:val="20"/>
          <w:color w:val="auto"/>
        </w:rPr>
      </w:pPr>
    </w:p>
    <w:p>
      <w:pPr>
        <w:ind w:left="720" w:hanging="370"/>
        <w:spacing w:after="0" w:line="258"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83" w:lineRule="exact"/>
        <w:rPr>
          <w:rFonts w:ascii="Times New Roman" w:cs="Times New Roman" w:eastAsia="Times New Roman" w:hAnsi="Times New Roman"/>
          <w:sz w:val="20"/>
          <w:szCs w:val="20"/>
          <w:color w:val="auto"/>
        </w:rPr>
      </w:pPr>
    </w:p>
    <w:p>
      <w:pPr>
        <w:ind w:left="720" w:right="80" w:hanging="370"/>
        <w:spacing w:after="0" w:line="256"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88" w:lineRule="exact"/>
        <w:rPr>
          <w:rFonts w:ascii="Times New Roman" w:cs="Times New Roman" w:eastAsia="Times New Roman" w:hAnsi="Times New Roman"/>
          <w:sz w:val="20"/>
          <w:szCs w:val="20"/>
          <w:color w:val="auto"/>
        </w:rPr>
      </w:pPr>
    </w:p>
    <w:p>
      <w:pPr>
        <w:ind w:left="720" w:right="40" w:hanging="370"/>
        <w:spacing w:after="0" w:line="26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Steering Committee Meetings. The performance obligations under our collaboration and license agreements may also include our participation on steering committees, which allows us to direct the progression of our discovery programs. As these steering committees would not occur or benefit the customer without the use of our licenses, these are not considered distinct.</w:t>
      </w:r>
    </w:p>
    <w:p>
      <w:pPr>
        <w:spacing w:after="0" w:line="83" w:lineRule="exact"/>
        <w:rPr>
          <w:sz w:val="20"/>
          <w:szCs w:val="20"/>
          <w:color w:val="auto"/>
        </w:rPr>
      </w:pPr>
    </w:p>
    <w:p>
      <w:pPr>
        <w:ind w:right="20" w:firstLine="630"/>
        <w:spacing w:after="0" w:line="278" w:lineRule="auto"/>
        <w:rPr>
          <w:sz w:val="20"/>
          <w:szCs w:val="20"/>
          <w:color w:val="auto"/>
        </w:rPr>
      </w:pPr>
      <w:r>
        <w:rPr>
          <w:rFonts w:ascii="Times New Roman" w:cs="Times New Roman" w:eastAsia="Times New Roman" w:hAnsi="Times New Roman"/>
          <w:sz w:val="19"/>
          <w:szCs w:val="19"/>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 There were no new agreements with performance obligations entered into during the year ended December 31, 2024.</w:t>
      </w:r>
    </w:p>
    <w:p>
      <w:pPr>
        <w:spacing w:after="0" w:line="64" w:lineRule="exact"/>
        <w:rPr>
          <w:sz w:val="20"/>
          <w:szCs w:val="20"/>
          <w:color w:val="auto"/>
        </w:rPr>
      </w:pPr>
    </w:p>
    <w:p>
      <w:pPr>
        <w:ind w:right="40" w:firstLine="63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Transaction Price. </w:t>
      </w:r>
      <w:r>
        <w:rPr>
          <w:rFonts w:ascii="Times New Roman" w:cs="Times New Roman" w:eastAsia="Times New Roman" w:hAnsi="Times New Roman"/>
          <w:sz w:val="20"/>
          <w:szCs w:val="20"/>
          <w:color w:val="auto"/>
        </w:rPr>
        <w:t>Our collaboration and license agreements generally include both fixed and variable consideration.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Fixed payments, such as 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w:t>
      </w:r>
    </w:p>
    <w:p>
      <w:pPr>
        <w:sectPr>
          <w:pgSz w:w="12240" w:h="15840" w:orient="portrait"/>
          <w:cols w:equalWidth="0" w:num="1">
            <w:col w:w="10200"/>
          </w:cols>
          <w:pgMar w:left="1000" w:top="793" w:right="104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00"/>
          </w:cols>
          <w:pgMar w:left="1000" w:top="793" w:right="1040" w:bottom="0" w:gutter="0" w:footer="0" w:header="0"/>
          <w:type w:val="continuous"/>
        </w:sectPr>
      </w:pPr>
    </w:p>
    <w:bookmarkStart w:id="79" w:name="page80"/>
    <w:bookmarkEnd w:id="79"/>
    <w:p>
      <w:pPr>
        <w:ind w:right="60"/>
        <w:spacing w:after="0" w:line="281" w:lineRule="auto"/>
        <w:rPr>
          <w:sz w:val="20"/>
          <w:szCs w:val="20"/>
          <w:color w:val="auto"/>
        </w:rPr>
      </w:pPr>
      <w:r>
        <w:rPr>
          <w:rFonts w:ascii="Times New Roman" w:cs="Times New Roman" w:eastAsia="Times New Roman" w:hAnsi="Times New Roman"/>
          <w:sz w:val="20"/>
          <w:szCs w:val="20"/>
          <w:color w:val="auto"/>
        </w:rPr>
        <w:t>most likely amount and are evaluated on a quarterly basis. Upon commercialization, royalty payments will be recognized in the period incurred.</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Royalty Revenue</w:t>
      </w:r>
    </w:p>
    <w:p>
      <w:pPr>
        <w:spacing w:after="0" w:line="139"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We receive royalty revenue on sales by our partners of products covered by patents or contract rights that we own and net sales of their approved drugs, where we have concluded the license is the predominant item to which the royalties relate. We do not have future performance obligations under these license arrangements. We generally satisfy our obligation to grant intellectual property rights on the effective date of the contract. However, we apply the royalty recognition constraint required under the guidance for sales-based royalties, which requires a sales-based royalty to be recorded when the underlying sale occurs. Therefore, royalties on sales of products commercialized by our partners are recognized in the quarter the product is sold. Our partners generally report sales information to us on a quarter lag. Thus, we estimate the expected royalty proceeds based on an analysis of our partners’ historical experience including their publicly announced sales. Differences between actual and estimated royalty revenues are adjusted for in the period in which they become known, typically the following quarter. As of December 31, 2024, there have not been material differences between actual and estimated royalty revenues.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39"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20"/>
          <w:szCs w:val="20"/>
          <w:color w:val="auto"/>
        </w:rPr>
        <w:t>Research and development costs primarily include third party clinical and preclinical research and development services such as manufacturing, laboratory and related supplies, salaries and personnel-related costs, in-licensing fees, outside services, and an allocation of information technology, and facility overhead costs.</w:t>
      </w:r>
    </w:p>
    <w:p>
      <w:pPr>
        <w:spacing w:after="0" w:line="75"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Costs associated with research and development activities are expensed as incurred. We account for nonrefundable advance payments for goods and services that will be used in future research and development activities as expense when the service has been performed or when the goods have been received. We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91" w:lineRule="exact"/>
        <w:rPr>
          <w:sz w:val="20"/>
          <w:szCs w:val="20"/>
          <w:color w:val="auto"/>
        </w:rPr>
      </w:pPr>
    </w:p>
    <w:p>
      <w:pPr>
        <w:ind w:firstLine="495"/>
        <w:spacing w:after="0" w:line="281" w:lineRule="auto"/>
        <w:rPr>
          <w:sz w:val="20"/>
          <w:szCs w:val="20"/>
          <w:color w:val="auto"/>
        </w:rPr>
      </w:pPr>
      <w:r>
        <w:rPr>
          <w:rFonts w:ascii="Times New Roman" w:cs="Times New Roman" w:eastAsia="Times New Roman" w:hAnsi="Times New Roman"/>
          <w:sz w:val="20"/>
          <w:szCs w:val="20"/>
          <w:color w:val="auto"/>
        </w:rPr>
        <w:t>Upfront and milestone payments incurred under our in-licensing agreements are expensed as research and development in the period in which they are incurred, provided that the technology or method has no alternative future use.</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Acquired In-process Research and Development</w:t>
      </w:r>
    </w:p>
    <w:p>
      <w:pPr>
        <w:spacing w:after="0" w:line="139" w:lineRule="exact"/>
        <w:rPr>
          <w:sz w:val="20"/>
          <w:szCs w:val="20"/>
          <w:color w:val="auto"/>
        </w:rPr>
      </w:pPr>
    </w:p>
    <w:p>
      <w:pPr>
        <w:jc w:val="both"/>
        <w:ind w:right="740" w:firstLine="495"/>
        <w:spacing w:after="0" w:line="266" w:lineRule="auto"/>
        <w:rPr>
          <w:sz w:val="20"/>
          <w:szCs w:val="20"/>
          <w:color w:val="auto"/>
        </w:rPr>
      </w:pPr>
      <w:r>
        <w:rPr>
          <w:rFonts w:ascii="Times New Roman" w:cs="Times New Roman" w:eastAsia="Times New Roman" w:hAnsi="Times New Roman"/>
          <w:sz w:val="20"/>
          <w:szCs w:val="20"/>
          <w:color w:val="auto"/>
        </w:rPr>
        <w:t xml:space="preserve">Acquired in-process research and development costs consist of upfront payments incurred in connection with the acquisition of licensing of products or technologies that do not meet the definition of a business under the Accounting Standards of Codification Topic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39" w:lineRule="exact"/>
        <w:rPr>
          <w:sz w:val="20"/>
          <w:szCs w:val="20"/>
          <w:color w:val="auto"/>
        </w:rPr>
      </w:pPr>
    </w:p>
    <w:p>
      <w:pPr>
        <w:ind w:right="180" w:firstLine="630"/>
        <w:spacing w:after="0" w:line="258" w:lineRule="auto"/>
        <w:rPr>
          <w:sz w:val="20"/>
          <w:szCs w:val="20"/>
          <w:color w:val="auto"/>
        </w:rPr>
      </w:pPr>
      <w:r>
        <w:rPr>
          <w:rFonts w:ascii="Times New Roman" w:cs="Times New Roman" w:eastAsia="Times New Roman" w:hAnsi="Times New Roman"/>
          <w:sz w:val="20"/>
          <w:szCs w:val="20"/>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recognize forfeitures in the period in which forfeitures occur and record stock-based compensation expense as though all awards are expected to vest.</w:t>
      </w:r>
    </w:p>
    <w:p>
      <w:pPr>
        <w:spacing w:after="0" w:line="84" w:lineRule="exact"/>
        <w:rPr>
          <w:sz w:val="20"/>
          <w:szCs w:val="20"/>
          <w:color w:val="auto"/>
        </w:rPr>
      </w:pPr>
    </w:p>
    <w:p>
      <w:pPr>
        <w:ind w:right="180" w:firstLine="630"/>
        <w:spacing w:after="0" w:line="260" w:lineRule="auto"/>
        <w:rPr>
          <w:sz w:val="20"/>
          <w:szCs w:val="20"/>
          <w:color w:val="auto"/>
        </w:rPr>
      </w:pPr>
      <w:r>
        <w:rPr>
          <w:rFonts w:ascii="Times New Roman" w:cs="Times New Roman" w:eastAsia="Times New Roman" w:hAnsi="Times New Roman"/>
          <w:sz w:val="20"/>
          <w:szCs w:val="20"/>
          <w:color w:val="auto"/>
        </w:rPr>
        <w:t>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w:t>
      </w:r>
    </w:p>
    <w:p>
      <w:pPr>
        <w:spacing w:after="0" w:line="83" w:lineRule="exact"/>
        <w:rPr>
          <w:sz w:val="20"/>
          <w:szCs w:val="20"/>
          <w:color w:val="auto"/>
        </w:rPr>
      </w:pPr>
    </w:p>
    <w:p>
      <w:pPr>
        <w:ind w:right="160" w:firstLine="630"/>
        <w:spacing w:after="0" w:line="260" w:lineRule="auto"/>
        <w:rPr>
          <w:sz w:val="20"/>
          <w:szCs w:val="20"/>
          <w:color w:val="auto"/>
        </w:rPr>
      </w:pPr>
      <w:r>
        <w:rPr>
          <w:rFonts w:ascii="Times New Roman" w:cs="Times New Roman" w:eastAsia="Times New Roman" w:hAnsi="Times New Roman"/>
          <w:sz w:val="20"/>
          <w:szCs w:val="20"/>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40"/>
          </w:cols>
          <w:pgMar w:left="1000" w:top="793" w:right="1000" w:bottom="0" w:gutter="0" w:footer="0" w:header="0"/>
          <w:type w:val="continuous"/>
        </w:sectPr>
      </w:pPr>
    </w:p>
    <w:bookmarkStart w:id="80" w:name="page81"/>
    <w:bookmarkEnd w:id="80"/>
    <w:p>
      <w:pPr>
        <w:ind w:right="80" w:firstLine="540"/>
        <w:spacing w:after="0" w:line="255" w:lineRule="auto"/>
        <w:rPr>
          <w:sz w:val="20"/>
          <w:szCs w:val="20"/>
          <w:color w:val="auto"/>
        </w:rPr>
      </w:pPr>
      <w:r>
        <w:rPr>
          <w:rFonts w:ascii="Times New Roman" w:cs="Times New Roman" w:eastAsia="Times New Roman" w:hAnsi="Times New Roman"/>
          <w:sz w:val="20"/>
          <w:szCs w:val="20"/>
          <w:color w:val="auto"/>
        </w:rPr>
        <w:t>Each Performance Stock Unit (“PSU”) represents one equivalent share of our common stock to be issued after achievement of the performance metrics specified in the grant. The fair value of our PSUs is estimated as of the grant date, based upon the expected achievement of the performance metrics specified in the grant and the closing market price of our common stock on the date of grant. The grant date fair value is estimated using a Monte Carlo simulation. 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w:t>
      </w:r>
    </w:p>
    <w:p>
      <w:pPr>
        <w:spacing w:after="0" w:line="90" w:lineRule="exact"/>
        <w:rPr>
          <w:sz w:val="20"/>
          <w:szCs w:val="20"/>
          <w:color w:val="auto"/>
        </w:rPr>
      </w:pPr>
    </w:p>
    <w:p>
      <w:pPr>
        <w:ind w:firstLine="630"/>
        <w:spacing w:after="0" w:line="286" w:lineRule="auto"/>
        <w:rPr>
          <w:sz w:val="20"/>
          <w:szCs w:val="20"/>
          <w:color w:val="auto"/>
        </w:rPr>
      </w:pPr>
      <w:r>
        <w:rPr>
          <w:rFonts w:ascii="Times New Roman" w:cs="Times New Roman" w:eastAsia="Times New Roman" w:hAnsi="Times New Roman"/>
          <w:sz w:val="19"/>
          <w:szCs w:val="19"/>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1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139"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0"/>
          <w:szCs w:val="20"/>
          <w:color w:val="auto"/>
        </w:rPr>
        <w:t>ASC Topic 280, Segment Reporting, establishes standards for companies to report financial statement information about operating segments. Operating segments are defined as components of an enterprise engaging in business activities for which separate financial information is available that is regularly evaluated by the company’s chief operating decision-makers in deciding how to allocate resources and assess performance. Our chief operating decision maker (“CODM”) has been identified as the Chief Executive Officer, who reviews results at a consolidated level only. Therefore, we determined we operate as one reportable segment focused on research and development activities to deliver immunology therapeutics for autoimmune and inflammatory diseases.</w:t>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9" w:lineRule="exact"/>
        <w:rPr>
          <w:sz w:val="20"/>
          <w:szCs w:val="20"/>
          <w:color w:val="auto"/>
        </w:rPr>
      </w:pPr>
    </w:p>
    <w:p>
      <w:pPr>
        <w:ind w:right="100" w:firstLine="630"/>
        <w:spacing w:after="0" w:line="256" w:lineRule="auto"/>
        <w:rPr>
          <w:sz w:val="20"/>
          <w:szCs w:val="20"/>
          <w:color w:val="auto"/>
        </w:rPr>
      </w:pPr>
      <w:r>
        <w:rPr>
          <w:rFonts w:ascii="Times New Roman" w:cs="Times New Roman" w:eastAsia="Times New Roman" w:hAnsi="Times New Roman"/>
          <w:sz w:val="20"/>
          <w:szCs w:val="20"/>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88"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Functional Currency of Foreign Operations</w:t>
      </w:r>
    </w:p>
    <w:p>
      <w:pPr>
        <w:spacing w:after="0" w:line="139"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0"/>
          <w:szCs w:val="20"/>
          <w:color w:val="auto"/>
        </w:rPr>
        <w:t>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 (Loss)</w:t>
      </w:r>
    </w:p>
    <w:p>
      <w:pPr>
        <w:spacing w:after="0" w:line="139" w:lineRule="exact"/>
        <w:rPr>
          <w:sz w:val="20"/>
          <w:szCs w:val="20"/>
          <w:color w:val="auto"/>
        </w:rPr>
      </w:pPr>
    </w:p>
    <w:p>
      <w:pPr>
        <w:ind w:right="60" w:firstLine="630"/>
        <w:spacing w:after="0" w:line="266" w:lineRule="auto"/>
        <w:rPr>
          <w:sz w:val="20"/>
          <w:szCs w:val="20"/>
          <w:color w:val="auto"/>
        </w:rPr>
      </w:pPr>
      <w:r>
        <w:rPr>
          <w:rFonts w:ascii="Times New Roman" w:cs="Times New Roman" w:eastAsia="Times New Roman" w:hAnsi="Times New Roman"/>
          <w:sz w:val="20"/>
          <w:szCs w:val="20"/>
          <w:color w:val="auto"/>
        </w:rPr>
        <w:t>Comprehensive income (loss) represents all changes in stockholders’ equity except those resulting from distributions to stockholders. Our unrealized gain and losses on available for sale investments represent the only component of other comprehensive income (loss) that is excluded from the reported net income (loss).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Net Loss Per Common Share</w:t>
      </w:r>
    </w:p>
    <w:p>
      <w:pPr>
        <w:spacing w:after="0" w:line="139" w:lineRule="exact"/>
        <w:rPr>
          <w:sz w:val="20"/>
          <w:szCs w:val="20"/>
          <w:color w:val="auto"/>
        </w:rPr>
      </w:pPr>
    </w:p>
    <w:p>
      <w:pPr>
        <w:ind w:right="20" w:firstLine="630"/>
        <w:spacing w:after="0" w:line="258" w:lineRule="auto"/>
        <w:rPr>
          <w:sz w:val="20"/>
          <w:szCs w:val="20"/>
          <w:color w:val="auto"/>
        </w:rPr>
      </w:pPr>
      <w:r>
        <w:rPr>
          <w:rFonts w:ascii="Times New Roman" w:cs="Times New Roman" w:eastAsia="Times New Roman" w:hAnsi="Times New Roman"/>
          <w:sz w:val="20"/>
          <w:szCs w:val="20"/>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40"/>
          </w:cols>
          <w:pgMar w:left="1000" w:top="793" w:right="1000" w:bottom="0" w:gutter="0" w:footer="0" w:header="0"/>
          <w:type w:val="continuous"/>
        </w:sectPr>
      </w:pPr>
    </w:p>
    <w:bookmarkStart w:id="81" w:name="page82"/>
    <w:bookmarkEnd w:id="81"/>
    <w:p>
      <w:pPr>
        <w:ind w:right="160" w:firstLine="630"/>
        <w:spacing w:after="0" w:line="309" w:lineRule="auto"/>
        <w:rPr>
          <w:sz w:val="20"/>
          <w:szCs w:val="20"/>
          <w:color w:val="auto"/>
        </w:rPr>
      </w:pPr>
      <w:r>
        <w:rPr>
          <w:rFonts w:ascii="Times New Roman" w:cs="Times New Roman" w:eastAsia="Times New Roman" w:hAnsi="Times New Roman"/>
          <w:sz w:val="19"/>
          <w:szCs w:val="19"/>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4"/>
        </w:trPr>
        <w:tc>
          <w:tcPr>
            <w:tcW w:w="67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35"/>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8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3,602</w:t>
            </w:r>
          </w:p>
        </w:tc>
      </w:tr>
      <w:tr>
        <w:trPr>
          <w:trHeight w:val="303"/>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Stock awards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840</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w:t>
            </w:r>
          </w:p>
        </w:tc>
      </w:tr>
      <w:tr>
        <w:trPr>
          <w:trHeight w:val="260"/>
        </w:trPr>
        <w:tc>
          <w:tcPr>
            <w:tcW w:w="67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3,977</w:t>
            </w:r>
          </w:p>
        </w:tc>
      </w:tr>
      <w:tr>
        <w:trPr>
          <w:trHeight w:val="20"/>
        </w:trPr>
        <w:tc>
          <w:tcPr>
            <w:tcW w:w="6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11925" cy="215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6511925"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-221615</wp:posOffset>
            </wp:positionV>
            <wp:extent cx="6524625" cy="241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6524625" cy="24130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Accounting Pronouncements</w:t>
      </w:r>
    </w:p>
    <w:p>
      <w:pPr>
        <w:spacing w:after="0" w:line="139" w:lineRule="exact"/>
        <w:rPr>
          <w:sz w:val="20"/>
          <w:szCs w:val="20"/>
          <w:color w:val="auto"/>
        </w:rPr>
      </w:pPr>
    </w:p>
    <w:p>
      <w:pPr>
        <w:ind w:right="240" w:firstLine="630"/>
        <w:spacing w:after="0" w:line="266" w:lineRule="auto"/>
        <w:rPr>
          <w:sz w:val="20"/>
          <w:szCs w:val="20"/>
          <w:color w:val="auto"/>
        </w:rPr>
      </w:pPr>
      <w:r>
        <w:rPr>
          <w:rFonts w:ascii="Times New Roman" w:cs="Times New Roman" w:eastAsia="Times New Roman" w:hAnsi="Times New Roman"/>
          <w:sz w:val="20"/>
          <w:szCs w:val="20"/>
          <w:color w:val="auto"/>
        </w:rPr>
        <w:t>We have implemented all new accounting pronouncements that are in effect and may have an impact on our consolidated financial statements. Unless otherwise discussed, we believe the impact of any recently issued pronouncements, not yet effective will not have a material impact on our consolidated financial statements.</w:t>
      </w:r>
    </w:p>
    <w:p>
      <w:pPr>
        <w:spacing w:after="0" w:line="75" w:lineRule="exact"/>
        <w:rPr>
          <w:sz w:val="20"/>
          <w:szCs w:val="20"/>
          <w:color w:val="auto"/>
        </w:rPr>
      </w:pPr>
    </w:p>
    <w:p>
      <w:pPr>
        <w:ind w:right="40" w:firstLine="630"/>
        <w:spacing w:after="0" w:line="254" w:lineRule="auto"/>
        <w:rPr>
          <w:sz w:val="20"/>
          <w:szCs w:val="20"/>
          <w:color w:val="auto"/>
        </w:rPr>
      </w:pPr>
      <w:r>
        <w:rPr>
          <w:rFonts w:ascii="Times New Roman" w:cs="Times New Roman" w:eastAsia="Times New Roman" w:hAnsi="Times New Roman"/>
          <w:sz w:val="20"/>
          <w:szCs w:val="20"/>
          <w:color w:val="auto"/>
        </w:rPr>
        <w:t xml:space="preserve">In November 2023, the Financial Accounting Standards Board (“FASB”) issued Accounting Standard Update (“ASU”) 2023-07, </w:t>
      </w:r>
      <w:r>
        <w:rPr>
          <w:rFonts w:ascii="Times New Roman" w:cs="Times New Roman" w:eastAsia="Times New Roman" w:hAnsi="Times New Roman"/>
          <w:sz w:val="20"/>
          <w:szCs w:val="20"/>
          <w:b w:val="1"/>
          <w:bCs w:val="1"/>
          <w:i w:val="1"/>
          <w:iCs w:val="1"/>
          <w:color w:val="auto"/>
        </w:rPr>
        <w:t>Segment Reporting (Topic 280): Improvements to Reportable Segment Disclosures</w:t>
      </w:r>
      <w:r>
        <w:rPr>
          <w:rFonts w:ascii="Times New Roman" w:cs="Times New Roman" w:eastAsia="Times New Roman" w:hAnsi="Times New Roman"/>
          <w:sz w:val="20"/>
          <w:szCs w:val="20"/>
          <w:color w:val="auto"/>
        </w:rPr>
        <w:t>, which requires enhanced disclosure of significant segment expenses that are regularly provided to the CODM and included within each reported measure of segment profit or loss on an annual and interim basis and should be applied retrospectively to all prior periods presented in the financial statements. We adopted this standard retrospectively on December 31, 2024. For the purpose of the adoption of ASU 2023-07, we performed an evaluation of financial information regularly reviewed by the CODM for purposes of evaluating performance and allocating resources. Financial information provided to and used by the CODM is consistent with our consolidated GAAP financial statements including our Consolidated Statements of Operations, see Note 11.</w:t>
      </w: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 Not Yet Adopted</w:t>
      </w:r>
    </w:p>
    <w:p>
      <w:pPr>
        <w:spacing w:after="0" w:line="135" w:lineRule="exact"/>
        <w:rPr>
          <w:sz w:val="20"/>
          <w:szCs w:val="20"/>
          <w:color w:val="auto"/>
        </w:rPr>
      </w:pPr>
    </w:p>
    <w:p>
      <w:pPr>
        <w:ind w:right="160" w:firstLine="630"/>
        <w:spacing w:after="0" w:line="256"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2023-09, </w:t>
      </w:r>
      <w:r>
        <w:rPr>
          <w:rFonts w:ascii="Times New Roman" w:cs="Times New Roman" w:eastAsia="Times New Roman" w:hAnsi="Times New Roman"/>
          <w:sz w:val="20"/>
          <w:szCs w:val="20"/>
          <w:b w:val="1"/>
          <w:bCs w:val="1"/>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Disclosures Income Taxes</w:t>
      </w:r>
      <w:r>
        <w:rPr>
          <w:rFonts w:ascii="Times New Roman" w:cs="Times New Roman" w:eastAsia="Times New Roman" w:hAnsi="Times New Roman"/>
          <w:sz w:val="20"/>
          <w:szCs w:val="20"/>
          <w:color w:val="auto"/>
        </w:rPr>
        <w:t>, which improves the transparency of income tax disclosures by requiring consistent categories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15, 2024. Early adoption is permitted. Upon adoption, the guidance can be applied prospectively or retrospectively. We are currently assessing the impact that this standard will have on our consolidated financial statements.</w:t>
      </w:r>
    </w:p>
    <w:p>
      <w:pPr>
        <w:spacing w:after="0" w:line="83" w:lineRule="exact"/>
        <w:rPr>
          <w:sz w:val="20"/>
          <w:szCs w:val="20"/>
          <w:color w:val="auto"/>
        </w:rPr>
      </w:pPr>
    </w:p>
    <w:p>
      <w:pPr>
        <w:ind w:firstLine="630"/>
        <w:spacing w:after="0" w:line="257" w:lineRule="auto"/>
        <w:rPr>
          <w:sz w:val="20"/>
          <w:szCs w:val="20"/>
          <w:color w:val="auto"/>
        </w:rPr>
      </w:pPr>
      <w:r>
        <w:rPr>
          <w:rFonts w:ascii="Times New Roman" w:cs="Times New Roman" w:eastAsia="Times New Roman" w:hAnsi="Times New Roman"/>
          <w:sz w:val="20"/>
          <w:szCs w:val="20"/>
          <w:color w:val="auto"/>
        </w:rPr>
        <w:t xml:space="preserve">In November 2024, the FASB issued ASU No. 2024-03, </w:t>
      </w:r>
      <w:r>
        <w:rPr>
          <w:rFonts w:ascii="Times New Roman" w:cs="Times New Roman" w:eastAsia="Times New Roman" w:hAnsi="Times New Roman"/>
          <w:sz w:val="20"/>
          <w:szCs w:val="20"/>
          <w:b w:val="1"/>
          <w:bCs w:val="1"/>
          <w:i w:val="1"/>
          <w:iCs w:val="1"/>
          <w:color w:val="auto"/>
        </w:rPr>
        <w:t>Income Statement—Reporting Comprehensive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Expense Disaggregation Disclosures (Subtopic 220-40): Disaggregation of Income Statement Expenses, </w:t>
      </w:r>
      <w:r>
        <w:rPr>
          <w:rFonts w:ascii="Times New Roman" w:cs="Times New Roman" w:eastAsia="Times New Roman" w:hAnsi="Times New Roman"/>
          <w:sz w:val="20"/>
          <w:szCs w:val="20"/>
          <w:color w:val="auto"/>
        </w:rPr>
        <w:t>which requires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disclosure about the types of costs and expenses included in certain expense captions presented on the income statement</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new disclosure requirements are effective for annual reporting periods beginning after December 15, 2026, and interim reporting periods beginning after December 15, 2027. Early adoption is permitted. We are currently evaluating the provisions of this guidance and assessing the potential impact on our financial statement disclosures.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40"/>
          </w:cols>
          <w:pgMar w:left="1000" w:top="793" w:right="1000" w:bottom="0" w:gutter="0" w:footer="0" w:header="0"/>
          <w:type w:val="continuous"/>
        </w:sectPr>
      </w:pPr>
    </w:p>
    <w:bookmarkStart w:id="82" w:name="page83"/>
    <w:bookmarkEnd w:id="82"/>
    <w:p>
      <w:pPr>
        <w:ind w:left="10"/>
        <w:spacing w:after="0"/>
        <w:rPr>
          <w:sz w:val="20"/>
          <w:szCs w:val="20"/>
          <w:color w:val="auto"/>
        </w:rPr>
      </w:pPr>
      <w:r>
        <w:rPr>
          <w:rFonts w:ascii="Times New Roman" w:cs="Times New Roman" w:eastAsia="Times New Roman" w:hAnsi="Times New Roman"/>
          <w:sz w:val="20"/>
          <w:szCs w:val="20"/>
          <w:b w:val="1"/>
          <w:bCs w:val="1"/>
          <w:color w:val="auto"/>
        </w:rPr>
        <w:t>3. Balance Sheet Accounts and Supplemental Disclosures</w:t>
      </w:r>
    </w:p>
    <w:p>
      <w:pPr>
        <w:spacing w:after="0" w:line="128"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39"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20"/>
          <w:szCs w:val="20"/>
          <w:color w:val="auto"/>
        </w:rPr>
        <w:t>Property and equipment consist of the following:</w:t>
      </w:r>
    </w:p>
    <w:p>
      <w:pPr>
        <w:spacing w:after="0" w:line="36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6,715</w:t>
            </w:r>
          </w:p>
        </w:tc>
        <w:tc>
          <w:tcPr>
            <w:tcW w:w="20" w:type="dxa"/>
            <w:vAlign w:val="bottom"/>
          </w:tcPr>
          <w:p>
            <w:pPr>
              <w:spacing w:after="0"/>
              <w:rPr>
                <w:sz w:val="22"/>
                <w:szCs w:val="22"/>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Property and equipment, gross</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(6,599)</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Total property and equipment, net</w:t>
            </w:r>
          </w:p>
        </w:tc>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1,849</w:t>
            </w:r>
          </w:p>
        </w:tc>
        <w:tc>
          <w:tcPr>
            <w:tcW w:w="2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Accrued Expenses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72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20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Accrued expenses consist of the following:</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1"/>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Accrued compensation and related expenses</w:t>
            </w:r>
          </w:p>
        </w:tc>
        <w:tc>
          <w:tcPr>
            <w:tcW w:w="40" w:type="dxa"/>
            <w:vAlign w:val="bottom"/>
          </w:tcPr>
          <w:p>
            <w:pPr>
              <w:spacing w:after="0"/>
              <w:rPr>
                <w:sz w:val="22"/>
                <w:szCs w:val="22"/>
                <w:color w:val="auto"/>
              </w:rPr>
            </w:pPr>
          </w:p>
        </w:tc>
        <w:tc>
          <w:tcPr>
            <w:tcW w:w="48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8,449</w:t>
            </w:r>
          </w:p>
        </w:tc>
        <w:tc>
          <w:tcPr>
            <w:tcW w:w="20" w:type="dxa"/>
            <w:vAlign w:val="bottom"/>
          </w:tcPr>
          <w:p>
            <w:pPr>
              <w:spacing w:after="0"/>
              <w:rPr>
                <w:sz w:val="22"/>
                <w:szCs w:val="22"/>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Accrued professional fees and other expenses</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Accrued research, development and manufacturing expenses</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Accrued for repurchase of common stock</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1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accrued expenses</w:t>
            </w:r>
          </w:p>
        </w:tc>
        <w:tc>
          <w:tcPr>
            <w:tcW w:w="40" w:type="dxa"/>
            <w:vAlign w:val="bottom"/>
          </w:tcPr>
          <w:p>
            <w:pPr>
              <w:spacing w:after="0"/>
              <w:rPr>
                <w:sz w:val="21"/>
                <w:szCs w:val="21"/>
                <w:color w:val="auto"/>
              </w:rPr>
            </w:pPr>
          </w:p>
        </w:tc>
        <w:tc>
          <w:tcPr>
            <w:tcW w:w="48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39,501</w:t>
            </w:r>
          </w:p>
        </w:tc>
        <w:tc>
          <w:tcPr>
            <w:tcW w:w="2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-2948940</wp:posOffset>
            </wp:positionV>
            <wp:extent cx="6521450" cy="206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652145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-2586990</wp:posOffset>
            </wp:positionV>
            <wp:extent cx="6521450" cy="206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652145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-2225040</wp:posOffset>
            </wp:positionV>
            <wp:extent cx="6521450" cy="206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6521450" cy="20637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-1888490</wp:posOffset>
            </wp:positionV>
            <wp:extent cx="1946275" cy="76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1946275" cy="762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-935990</wp:posOffset>
            </wp:positionV>
            <wp:extent cx="6543675" cy="955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6543675" cy="95567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70" w:right="5440" w:hanging="270"/>
        <w:spacing w:after="0" w:line="379" w:lineRule="auto"/>
        <w:tabs>
          <w:tab w:leader="none" w:pos="20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Collaborative Research and Development Agreements </w:t>
      </w:r>
      <w:r>
        <w:rPr>
          <w:rFonts w:ascii="Times New Roman" w:cs="Times New Roman" w:eastAsia="Times New Roman" w:hAnsi="Times New Roman"/>
          <w:sz w:val="20"/>
          <w:szCs w:val="20"/>
          <w:b w:val="1"/>
          <w:bCs w:val="1"/>
          <w:i w:val="1"/>
          <w:iCs w:val="1"/>
          <w:color w:val="auto"/>
        </w:rPr>
        <w:t>GSK Collaboration</w:t>
      </w:r>
    </w:p>
    <w:p>
      <w:pPr>
        <w:spacing w:after="0" w:line="1" w:lineRule="exact"/>
        <w:rPr>
          <w:sz w:val="20"/>
          <w:szCs w:val="20"/>
          <w:color w:val="auto"/>
        </w:rPr>
      </w:pPr>
    </w:p>
    <w:p>
      <w:pPr>
        <w:ind w:left="10" w:right="60" w:firstLine="540"/>
        <w:spacing w:after="0" w:line="237" w:lineRule="auto"/>
        <w:rPr>
          <w:sz w:val="20"/>
          <w:szCs w:val="20"/>
          <w:color w:val="auto"/>
        </w:rPr>
      </w:pPr>
      <w:r>
        <w:rPr>
          <w:rFonts w:ascii="Times New Roman" w:cs="Times New Roman" w:eastAsia="Times New Roman" w:hAnsi="Times New Roman"/>
          <w:sz w:val="20"/>
          <w:szCs w:val="20"/>
          <w:color w:val="auto"/>
        </w:rPr>
        <w:t xml:space="preserve">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(dostarlimab) as a monotherapy for various solid tumor indications. In addition, GSK is developing dostarlimab in combination with additional therapies under the collaboration, including with another development program from the GSK Agreement: cobolimab, a TIM-3 antibody, in 2L NSCLC. In October 2023, Amendment No. 5 to the GSK Agreement (the “GSK Amendment No. 5”) was agreed by both parties to terminate the LAG-3 antagonist antibody development program under the GSK Agreement. In accordance with the GSK Agreement and the GSK Amendment No. 5, we have regained full global rights to the LAG-3 antagonist antibody development program.</w:t>
      </w:r>
    </w:p>
    <w:p>
      <w:pPr>
        <w:spacing w:after="0" w:line="92" w:lineRule="exact"/>
        <w:rPr>
          <w:sz w:val="20"/>
          <w:szCs w:val="20"/>
          <w:color w:val="auto"/>
        </w:rPr>
      </w:pPr>
    </w:p>
    <w:p>
      <w:pPr>
        <w:ind w:left="10" w:right="20" w:firstLine="630"/>
        <w:spacing w:after="0" w:line="253" w:lineRule="auto"/>
        <w:rPr>
          <w:sz w:val="20"/>
          <w:szCs w:val="20"/>
          <w:color w:val="auto"/>
        </w:rPr>
      </w:pPr>
      <w:r>
        <w:rPr>
          <w:rFonts w:ascii="Times New Roman" w:cs="Times New Roman" w:eastAsia="Times New Roman" w:hAnsi="Times New Roman"/>
          <w:sz w:val="20"/>
          <w:szCs w:val="20"/>
          <w:color w:val="auto"/>
        </w:rPr>
        <w:t xml:space="preserve">For each remaining development program under the GSK Agreement, we are eligible to receive milestone payments if certain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 3, we were granted increased royalties upon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91" w:lineRule="exact"/>
        <w:rPr>
          <w:sz w:val="20"/>
          <w:szCs w:val="20"/>
          <w:color w:val="auto"/>
        </w:rPr>
      </w:pPr>
    </w:p>
    <w:p>
      <w:pPr>
        <w:ind w:left="10" w:right="140" w:firstLine="540"/>
        <w:spacing w:after="0" w:line="272" w:lineRule="auto"/>
        <w:rPr>
          <w:sz w:val="20"/>
          <w:szCs w:val="20"/>
          <w:color w:val="auto"/>
        </w:rPr>
      </w:pPr>
      <w:r>
        <w:rPr>
          <w:rFonts w:ascii="Times New Roman" w:cs="Times New Roman" w:eastAsia="Times New Roman" w:hAnsi="Times New Roman"/>
          <w:sz w:val="19"/>
          <w:szCs w:val="19"/>
          <w:color w:val="auto"/>
        </w:rPr>
        <w:t>We assessed these arrangements in accordance with Accounting Standards Codification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w:t>
      </w:r>
    </w:p>
    <w:p>
      <w:pPr>
        <w:sectPr>
          <w:pgSz w:w="12240" w:h="15840" w:orient="portrait"/>
          <w:cols w:equalWidth="0" w:num="1">
            <w:col w:w="10250"/>
          </w:cols>
          <w:pgMar w:left="990" w:top="786" w:right="100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50"/>
          </w:cols>
          <w:pgMar w:left="990" w:top="786" w:right="1000" w:bottom="0" w:gutter="0" w:footer="0" w:header="0"/>
          <w:type w:val="continuous"/>
        </w:sectPr>
      </w:pPr>
    </w:p>
    <w:bookmarkStart w:id="83" w:name="page84"/>
    <w:bookmarkEnd w:id="83"/>
    <w:p>
      <w:pPr>
        <w:spacing w:after="0" w:line="260" w:lineRule="auto"/>
        <w:rPr>
          <w:sz w:val="20"/>
          <w:szCs w:val="20"/>
          <w:color w:val="auto"/>
        </w:rPr>
      </w:pPr>
      <w:r>
        <w:rPr>
          <w:rFonts w:ascii="Times New Roman" w:cs="Times New Roman" w:eastAsia="Times New Roman" w:hAnsi="Times New Roman"/>
          <w:sz w:val="20"/>
          <w:szCs w:val="20"/>
          <w:color w:val="auto"/>
        </w:rPr>
        <w:t>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spacing w:after="0" w:line="83" w:lineRule="exact"/>
        <w:rPr>
          <w:sz w:val="20"/>
          <w:szCs w:val="20"/>
          <w:color w:val="auto"/>
        </w:rPr>
      </w:pPr>
    </w:p>
    <w:p>
      <w:pPr>
        <w:ind w:right="260" w:firstLine="720"/>
        <w:spacing w:after="0" w:line="266" w:lineRule="auto"/>
        <w:rPr>
          <w:sz w:val="20"/>
          <w:szCs w:val="20"/>
          <w:color w:val="auto"/>
        </w:rPr>
      </w:pPr>
      <w:r>
        <w:rPr>
          <w:rFonts w:ascii="Times New Roman" w:cs="Times New Roman" w:eastAsia="Times New Roman" w:hAnsi="Times New Roman"/>
          <w:sz w:val="20"/>
          <w:szCs w:val="20"/>
          <w:color w:val="auto"/>
        </w:rPr>
        <w:t>As of December 31, 2024, the transaction price for the GSK Agreement and its associated amendments includes the upfront payment, research reimbursement revenue and milestones and royalties earned to date, which are allocated in their entirety to the single performance obligation.</w:t>
      </w:r>
    </w:p>
    <w:p>
      <w:pPr>
        <w:spacing w:after="0" w:line="75" w:lineRule="exact"/>
        <w:rPr>
          <w:sz w:val="20"/>
          <w:szCs w:val="20"/>
          <w:color w:val="auto"/>
        </w:rPr>
      </w:pPr>
    </w:p>
    <w:p>
      <w:pPr>
        <w:ind w:right="20" w:firstLine="540"/>
        <w:spacing w:after="0" w:line="252" w:lineRule="auto"/>
        <w:rPr>
          <w:sz w:val="20"/>
          <w:szCs w:val="20"/>
          <w:color w:val="auto"/>
        </w:rPr>
      </w:pPr>
      <w:r>
        <w:rPr>
          <w:rFonts w:ascii="Times New Roman" w:cs="Times New Roman" w:eastAsia="Times New Roman" w:hAnsi="Times New Roman"/>
          <w:sz w:val="20"/>
          <w:szCs w:val="20"/>
          <w:color w:val="auto"/>
        </w:rPr>
        <w:t xml:space="preserve">We recognized $51.3 million in royalty revenue during the year ended December 31, 2024 related to GSK’s net sales of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and Zejula during the period, which we estimate based on either GSK’s prior sales experience or actuals.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royalty revenue recognized during the year ended December 31, 2024, $47.4 million is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non-cash revenue related to the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Royalty Monetization Agreement (as amended), and $3.9 million is Zejula non-cash revenue related to the Zejula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Monetization Agreement, each of such agreements as described in Note 5. We recognized $17.2 million in royalty revenue during the year ended December 31, 2023, related to GSK’s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and Zejula during the period based on GSK’s prior sales experience or actuals. Of the royalty revenue recognized during the year ended December 31, 2023, $13.8 million is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non-cash revenue related to the</w:t>
      </w:r>
      <w:r>
        <w:rPr>
          <w:rFonts w:ascii="Times New Roman" w:cs="Times New Roman" w:eastAsia="Times New Roman" w:hAnsi="Times New Roman"/>
          <w:sz w:val="20"/>
          <w:szCs w:val="20"/>
          <w:b w:val="1"/>
          <w:bCs w:val="1"/>
          <w:i w:val="1"/>
          <w:iCs w:val="1"/>
          <w:color w:val="auto"/>
        </w:rPr>
        <w:t xml:space="preserve"> Jemperli </w:t>
      </w:r>
      <w:r>
        <w:rPr>
          <w:rFonts w:ascii="Times New Roman" w:cs="Times New Roman" w:eastAsia="Times New Roman" w:hAnsi="Times New Roman"/>
          <w:sz w:val="20"/>
          <w:szCs w:val="20"/>
          <w:color w:val="auto"/>
        </w:rPr>
        <w:t>Royalty Monetization Agreement (as amended) and $3.4 million is Zejula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non-cash revenue related to the Zejula Royalty Monetization Agreement. We recognized $5.3 million in royalty revenue during the year ended December 31, 2022. Of the royalty revenue recognized during the year ended December 31, 2022, $2.3 million is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non-cash revenue related to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(as amended), $1.6 million is Zejula revenue prior to the to the Zejula Royalty Monetization Agreement and $1.4 million is Zejula non-cash revenue related to the Zejula Royalty Monetization Agreement. GSK reports sales information to us on a one quarter lag and differences between actual and estimated royalty revenues will be adjusted in the following quarter.</w:t>
      </w:r>
    </w:p>
    <w:p>
      <w:pPr>
        <w:spacing w:after="0" w:line="99"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 xml:space="preserve">Two sales milestones, for a total of $40.0 million, were recognized during the year ended December 31, 2024 when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annual sales exceeded both the $250.0 million and $500.0 million sales thresholds. These sales milestones are</w:t>
      </w:r>
      <w:r>
        <w:rPr>
          <w:rFonts w:ascii="Times New Roman" w:cs="Times New Roman" w:eastAsia="Times New Roman" w:hAnsi="Times New Roman"/>
          <w:sz w:val="20"/>
          <w:szCs w:val="20"/>
          <w:b w:val="1"/>
          <w:bCs w:val="1"/>
          <w:i w:val="1"/>
          <w:iCs w:val="1"/>
          <w:color w:val="auto"/>
        </w:rPr>
        <w:t xml:space="preserve"> Jemperli </w:t>
      </w:r>
      <w:r>
        <w:rPr>
          <w:rFonts w:ascii="Times New Roman" w:cs="Times New Roman" w:eastAsia="Times New Roman" w:hAnsi="Times New Roman"/>
          <w:sz w:val="20"/>
          <w:szCs w:val="20"/>
          <w:color w:val="auto"/>
        </w:rPr>
        <w:t>non-cash revenue related to the</w:t>
      </w:r>
      <w:r>
        <w:rPr>
          <w:rFonts w:ascii="Times New Roman" w:cs="Times New Roman" w:eastAsia="Times New Roman" w:hAnsi="Times New Roman"/>
          <w:sz w:val="20"/>
          <w:szCs w:val="20"/>
          <w:b w:val="1"/>
          <w:bCs w:val="1"/>
          <w:i w:val="1"/>
          <w:iCs w:val="1"/>
          <w:color w:val="auto"/>
        </w:rPr>
        <w:t xml:space="preserve"> Jemperli </w:t>
      </w:r>
      <w:r>
        <w:rPr>
          <w:rFonts w:ascii="Times New Roman" w:cs="Times New Roman" w:eastAsia="Times New Roman" w:hAnsi="Times New Roman"/>
          <w:sz w:val="20"/>
          <w:szCs w:val="20"/>
          <w:color w:val="auto"/>
        </w:rPr>
        <w:t>Royalty Monetization Agreement (as amended). No milestones were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recognized during the year ended December 31, 2023, and we recognized one clinical milestone for $5.0 million during the year ended December 31, 2022.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Milestones under the GSK Agreement are as follows: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40"/>
          </w:cols>
          <w:pgMar w:left="1000" w:top="793" w:right="1000" w:bottom="0" w:gutter="0" w:footer="0" w:header="0"/>
          <w:type w:val="continuous"/>
        </w:sectPr>
      </w:pPr>
    </w:p>
    <w:bookmarkStart w:id="84" w:name="page85"/>
    <w:bookmarkEnd w:id="84"/>
    <w:tbl>
      <w:tblPr>
        <w:tblLayout w:type="fixed"/>
        <w:tblInd w:w="4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PD-1</w:t>
            </w:r>
          </w:p>
        </w:tc>
        <w:tc>
          <w:tcPr>
            <w:tcW w:w="80" w:type="dxa"/>
            <w:vAlign w:val="bottom"/>
          </w:tcPr>
          <w:p>
            <w:pPr>
              <w:spacing w:after="0"/>
              <w:rPr>
                <w:sz w:val="16"/>
                <w:szCs w:val="16"/>
                <w:color w:val="auto"/>
              </w:rPr>
            </w:pPr>
          </w:p>
        </w:tc>
        <w:tc>
          <w:tcPr>
            <w:tcW w:w="204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TIM-3</w:t>
            </w:r>
          </w:p>
        </w:tc>
        <w:tc>
          <w:tcPr>
            <w:tcW w:w="0" w:type="dxa"/>
            <w:vAlign w:val="bottom"/>
          </w:tcPr>
          <w:p>
            <w:pPr>
              <w:spacing w:after="0"/>
              <w:rPr>
                <w:sz w:val="1"/>
                <w:szCs w:val="1"/>
                <w:color w:val="auto"/>
              </w:rPr>
            </w:pPr>
          </w:p>
        </w:tc>
      </w:tr>
      <w:tr>
        <w:trPr>
          <w:trHeight w:val="214"/>
        </w:trPr>
        <w:tc>
          <w:tcPr>
            <w:tcW w:w="6060" w:type="dxa"/>
            <w:vAlign w:val="bottom"/>
          </w:tcPr>
          <w:p>
            <w:pPr>
              <w:spacing w:after="0"/>
              <w:rPr>
                <w:sz w:val="18"/>
                <w:szCs w:val="18"/>
                <w:color w:val="auto"/>
              </w:rPr>
            </w:pPr>
          </w:p>
        </w:tc>
        <w:tc>
          <w:tcPr>
            <w:tcW w:w="20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Jemperli</w:t>
            </w:r>
            <w:r>
              <w:rPr>
                <w:rFonts w:ascii="Times New Roman" w:cs="Times New Roman" w:eastAsia="Times New Roman" w:hAnsi="Times New Roman"/>
                <w:sz w:val="16"/>
                <w:szCs w:val="16"/>
                <w:b w:val="1"/>
                <w:bCs w:val="1"/>
                <w:color w:val="auto"/>
              </w:rPr>
              <w:t>/Dostarlimab)</w:t>
            </w:r>
          </w:p>
        </w:tc>
        <w:tc>
          <w:tcPr>
            <w:tcW w:w="80" w:type="dxa"/>
            <w:vAlign w:val="bottom"/>
          </w:tcPr>
          <w:p>
            <w:pPr>
              <w:spacing w:after="0"/>
              <w:rPr>
                <w:sz w:val="18"/>
                <w:szCs w:val="18"/>
                <w:color w:val="auto"/>
              </w:rPr>
            </w:pPr>
          </w:p>
        </w:tc>
        <w:tc>
          <w:tcPr>
            <w:tcW w:w="2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(GSK4069889/Cobolimab)</w:t>
            </w: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Milestone Event</w:t>
            </w: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20" w:type="dxa"/>
            <w:vAlign w:val="bottom"/>
          </w:tcPr>
          <w:p>
            <w:pPr>
              <w:jc w:val="center"/>
              <w:ind w:left="100"/>
              <w:spacing w:after="0" w:line="171" w:lineRule="exact"/>
              <w:rPr>
                <w:sz w:val="20"/>
                <w:szCs w:val="20"/>
                <w:color w:val="auto"/>
              </w:rPr>
            </w:pPr>
            <w:r>
              <w:rPr>
                <w:rFonts w:ascii="Times New Roman" w:cs="Times New Roman" w:eastAsia="Times New Roman" w:hAnsi="Times New Roman"/>
                <w:sz w:val="16"/>
                <w:szCs w:val="16"/>
                <w:b w:val="1"/>
                <w:bCs w:val="1"/>
                <w:color w:val="auto"/>
                <w:w w:val="99"/>
              </w:rPr>
              <w:t>Quarter</w:t>
            </w:r>
          </w:p>
        </w:tc>
        <w:tc>
          <w:tcPr>
            <w:tcW w:w="80" w:type="dxa"/>
            <w:vAlign w:val="bottom"/>
          </w:tcPr>
          <w:p>
            <w:pPr>
              <w:spacing w:after="0"/>
              <w:rPr>
                <w:sz w:val="14"/>
                <w:szCs w:val="14"/>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160"/>
              <w:spacing w:after="0" w:line="171" w:lineRule="exact"/>
              <w:rPr>
                <w:sz w:val="20"/>
                <w:szCs w:val="20"/>
                <w:color w:val="auto"/>
              </w:rPr>
            </w:pPr>
            <w:r>
              <w:rPr>
                <w:rFonts w:ascii="Times New Roman" w:cs="Times New Roman" w:eastAsia="Times New Roman" w:hAnsi="Times New Roman"/>
                <w:sz w:val="16"/>
                <w:szCs w:val="16"/>
                <w:b w:val="1"/>
                <w:bCs w:val="1"/>
                <w:color w:val="auto"/>
              </w:rPr>
              <w:t>Quarter</w:t>
            </w:r>
          </w:p>
        </w:tc>
        <w:tc>
          <w:tcPr>
            <w:tcW w:w="0" w:type="dxa"/>
            <w:vAlign w:val="bottom"/>
          </w:tcPr>
          <w:p>
            <w:pPr>
              <w:spacing w:after="0"/>
              <w:rPr>
                <w:sz w:val="1"/>
                <w:szCs w:val="1"/>
                <w:color w:val="auto"/>
              </w:rPr>
            </w:pPr>
          </w:p>
        </w:tc>
      </w:tr>
      <w:tr>
        <w:trPr>
          <w:trHeight w:val="211"/>
        </w:trPr>
        <w:tc>
          <w:tcPr>
            <w:tcW w:w="60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20" w:type="dxa"/>
            <w:vAlign w:val="bottom"/>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0" w:type="dxa"/>
            <w:vAlign w:val="bottom"/>
          </w:tcPr>
          <w:p>
            <w:pPr>
              <w:spacing w:after="0"/>
              <w:rPr>
                <w:sz w:val="1"/>
                <w:szCs w:val="1"/>
                <w:color w:val="auto"/>
              </w:rPr>
            </w:pPr>
          </w:p>
        </w:tc>
      </w:tr>
      <w:tr>
        <w:trPr>
          <w:trHeight w:val="40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Initiated </w:t>
            </w:r>
            <w:r>
              <w:rPr>
                <w:rFonts w:ascii="Times New Roman" w:cs="Times New Roman" w:eastAsia="Times New Roman" w:hAnsi="Times New Roman"/>
                <w:sz w:val="16"/>
                <w:szCs w:val="16"/>
                <w:b w:val="1"/>
                <w:bCs w:val="1"/>
                <w:i w:val="1"/>
                <w:iCs w:val="1"/>
                <w:color w:val="auto"/>
              </w:rPr>
              <w:t>in vivo</w:t>
            </w:r>
            <w:r>
              <w:rPr>
                <w:rFonts w:ascii="Times New Roman" w:cs="Times New Roman" w:eastAsia="Times New Roman" w:hAnsi="Times New Roman"/>
                <w:sz w:val="16"/>
                <w:szCs w:val="16"/>
                <w:color w:val="auto"/>
              </w:rPr>
              <w:t xml:space="preserve"> toxicology studies using good laboratory practices (GLPs)</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$1.0M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Q2'15</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Q4'15</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IND clearance from the FDA</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$4.0M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Q1'16</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Q2'16</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Phase 2 clinical trial initiation</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$3.0M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Q2'17</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Q4'17</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Phase 3 clinical trial initiation - first indication</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$5.0M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Q3'18</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Q4'22</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Phase 3 clinical trial initiation - second indication</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$5.0M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Q2'19</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Filing of the first BLA</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 first indication</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$10.0M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Q1'20</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Filing of the first MAA</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 first indication</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$5.0M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Q1'20</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Filing of the first BLA - second indication</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$10.0M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Q1'21</w:t>
            </w:r>
          </w:p>
        </w:tc>
        <w:tc>
          <w:tcPr>
            <w:tcW w:w="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First BLA approval - first indication</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$20.0M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Q2'21</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First MAA approval - first indication</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$10.0M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Q2'21</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First BLA approval - second indication</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$20.0M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Q3'21</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Filing of the first MAA - second indication</w:t>
            </w:r>
            <w:r>
              <w:rPr>
                <w:rFonts w:ascii="Times New Roman" w:cs="Times New Roman" w:eastAsia="Times New Roman" w:hAnsi="Times New Roman"/>
                <w:sz w:val="20"/>
                <w:szCs w:val="20"/>
                <w:color w:val="auto"/>
                <w:vertAlign w:val="superscript"/>
              </w:rPr>
              <w:t>(3)</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$5.0M</w:t>
            </w:r>
          </w:p>
        </w:tc>
        <w:tc>
          <w:tcPr>
            <w:tcW w:w="122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First MAA approval - second indication</w:t>
            </w:r>
            <w:r>
              <w:rPr>
                <w:rFonts w:ascii="Times New Roman" w:cs="Times New Roman" w:eastAsia="Times New Roman" w:hAnsi="Times New Roman"/>
                <w:sz w:val="20"/>
                <w:szCs w:val="20"/>
                <w:color w:val="auto"/>
                <w:vertAlign w:val="superscript"/>
              </w:rPr>
              <w:t>(3)</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$10.0M</w:t>
            </w:r>
          </w:p>
        </w:tc>
        <w:tc>
          <w:tcPr>
            <w:tcW w:w="122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First commercial sales milestone</w:t>
            </w:r>
            <w:r>
              <w:rPr>
                <w:rFonts w:ascii="Times New Roman" w:cs="Times New Roman" w:eastAsia="Times New Roman" w:hAnsi="Times New Roman"/>
                <w:sz w:val="20"/>
                <w:szCs w:val="20"/>
                <w:color w:val="auto"/>
                <w:vertAlign w:val="superscript"/>
              </w:rPr>
              <w:t>(3)</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$15.0M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Q3'24</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Second commercial sales milestone</w:t>
            </w:r>
            <w:r>
              <w:rPr>
                <w:rFonts w:ascii="Times New Roman" w:cs="Times New Roman" w:eastAsia="Times New Roman" w:hAnsi="Times New Roman"/>
                <w:sz w:val="20"/>
                <w:szCs w:val="20"/>
                <w:color w:val="auto"/>
                <w:vertAlign w:val="superscript"/>
              </w:rPr>
              <w:t>(3)</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$25.0M</w:t>
            </w:r>
          </w:p>
        </w:tc>
        <w:tc>
          <w:tcPr>
            <w:tcW w:w="12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8"/>
              </w:rPr>
              <w:t>Q4'24</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Third commercial sales milestone</w:t>
            </w:r>
            <w:r>
              <w:rPr>
                <w:rFonts w:ascii="Times New Roman" w:cs="Times New Roman" w:eastAsia="Times New Roman" w:hAnsi="Times New Roman"/>
                <w:sz w:val="20"/>
                <w:szCs w:val="20"/>
                <w:color w:val="auto"/>
                <w:vertAlign w:val="superscript"/>
              </w:rPr>
              <w:t>(3)</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$50.0M</w:t>
            </w:r>
          </w:p>
        </w:tc>
        <w:tc>
          <w:tcPr>
            <w:tcW w:w="122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Fourth commercial sales milestone</w:t>
            </w:r>
            <w:r>
              <w:rPr>
                <w:rFonts w:ascii="Times New Roman" w:cs="Times New Roman" w:eastAsia="Times New Roman" w:hAnsi="Times New Roman"/>
                <w:sz w:val="20"/>
                <w:szCs w:val="20"/>
                <w:color w:val="auto"/>
                <w:vertAlign w:val="superscript"/>
              </w:rPr>
              <w:t>(4)</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$75.0M</w:t>
            </w:r>
          </w:p>
        </w:tc>
        <w:tc>
          <w:tcPr>
            <w:tcW w:w="122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5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Milestones recognized through December 31, 2024</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$133.0M</w:t>
            </w:r>
          </w:p>
        </w:tc>
        <w:tc>
          <w:tcPr>
            <w:tcW w:w="122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Milestones that may be recognized in the future</w:t>
            </w:r>
          </w:p>
        </w:tc>
        <w:tc>
          <w:tcPr>
            <w:tcW w:w="82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$140.0M</w:t>
            </w:r>
          </w:p>
        </w:tc>
        <w:tc>
          <w:tcPr>
            <w:tcW w:w="122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-3878580</wp:posOffset>
            </wp:positionV>
            <wp:extent cx="6540500" cy="3902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6540500" cy="3902075"/>
                    </a:xfrm>
                    <a:prstGeom prst="rect">
                      <a:avLst/>
                    </a:prstGeom>
                    <a:noFill/>
                  </pic:spPr>
                </pic:pic>
              </a:graphicData>
            </a:graphic>
          </wp:anchor>
        </w:drawing>
      </w:r>
    </w:p>
    <w:p>
      <w:pPr>
        <w:sectPr>
          <w:pgSz w:w="12240" w:h="15840" w:orient="portrait"/>
          <w:cols w:equalWidth="0" w:num="1">
            <w:col w:w="10260"/>
          </w:cols>
          <w:pgMar w:left="1000" w:top="851" w:right="980" w:bottom="0" w:gutter="0" w:footer="0" w:header="0"/>
        </w:sectPr>
      </w:pP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Biologics License Application (“BLA”)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Marketing Authorization Application (“MAA”)</w:t>
      </w:r>
    </w:p>
    <w:p>
      <w:pPr>
        <w:spacing w:after="0" w:line="26" w:lineRule="exact"/>
        <w:rPr>
          <w:sz w:val="20"/>
          <w:szCs w:val="20"/>
          <w:color w:val="auto"/>
        </w:rPr>
      </w:pPr>
    </w:p>
    <w:p>
      <w:pPr>
        <w:sectPr>
          <w:pgSz w:w="12240" w:h="15840" w:orient="portrait"/>
          <w:cols w:equalWidth="0" w:num="2">
            <w:col w:w="180" w:space="300"/>
            <w:col w:w="9780"/>
          </w:cols>
          <w:pgMar w:left="1000" w:top="851" w:right="980" w:bottom="0" w:gutter="0" w:footer="0" w:header="0"/>
          <w:type w:val="continuous"/>
        </w:sectPr>
      </w:pPr>
    </w:p>
    <w:p>
      <w:pPr>
        <w:ind w:left="480" w:right="60" w:hanging="445"/>
        <w:spacing w:after="0" w:line="235" w:lineRule="auto"/>
        <w:tabs>
          <w:tab w:leader="none" w:pos="480" w:val="left"/>
        </w:tabs>
        <w:numPr>
          <w:ilvl w:val="0"/>
          <w:numId w:val="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the filing and approval of the first MAA for a second indication and first three commercial sales milestones are included as part of the royalty monetization agreement with Sagard (as defined below), see Note 5. Cash is generally received within 30 days of milestone achievement.</w:t>
      </w:r>
    </w:p>
    <w:p>
      <w:pPr>
        <w:ind w:left="480" w:hanging="445"/>
        <w:spacing w:after="0" w:line="217" w:lineRule="auto"/>
        <w:tabs>
          <w:tab w:leader="none" w:pos="48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 xml:space="preserve">For </w:t>
      </w:r>
      <w:r>
        <w:rPr>
          <w:rFonts w:ascii="Times New Roman" w:cs="Times New Roman" w:eastAsia="Times New Roman" w:hAnsi="Times New Roman"/>
          <w:sz w:val="19"/>
          <w:szCs w:val="19"/>
          <w:b w:val="1"/>
          <w:bCs w:val="1"/>
          <w:i w:val="1"/>
          <w:iCs w:val="1"/>
          <w:color w:val="auto"/>
        </w:rPr>
        <w:t>Jemperli</w:t>
      </w:r>
      <w:r>
        <w:rPr>
          <w:rFonts w:ascii="Times New Roman" w:cs="Times New Roman" w:eastAsia="Times New Roman" w:hAnsi="Times New Roman"/>
          <w:sz w:val="19"/>
          <w:szCs w:val="19"/>
          <w:color w:val="auto"/>
        </w:rPr>
        <w:t xml:space="preserve">, we retained the rights to a $75.0 million sales milestone when </w:t>
      </w:r>
      <w:r>
        <w:rPr>
          <w:rFonts w:ascii="Times New Roman" w:cs="Times New Roman" w:eastAsia="Times New Roman" w:hAnsi="Times New Roman"/>
          <w:sz w:val="19"/>
          <w:szCs w:val="19"/>
          <w:b w:val="1"/>
          <w:bCs w:val="1"/>
          <w:i w:val="1"/>
          <w:iCs w:val="1"/>
          <w:color w:val="auto"/>
        </w:rPr>
        <w:t>Jemperli</w:t>
      </w:r>
      <w:r>
        <w:rPr>
          <w:rFonts w:ascii="Times New Roman" w:cs="Times New Roman" w:eastAsia="Times New Roman" w:hAnsi="Times New Roman"/>
          <w:sz w:val="19"/>
          <w:szCs w:val="19"/>
          <w:color w:val="auto"/>
        </w:rPr>
        <w:t xml:space="preserve"> annual Net Sales exceed $1 billion.</w:t>
      </w:r>
    </w:p>
    <w:p>
      <w:pPr>
        <w:spacing w:after="0" w:line="160"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20"/>
          <w:szCs w:val="20"/>
          <w:color w:val="auto"/>
        </w:rPr>
        <w:t>We recognized $91.3 million in revenue under the GSK Agreement during the year ended December 31, 2024, of which $51.3 million was related to royalty revenue and $40.0 million was related to milestone revenue, as there were two milestones earned during the year. We recognized $17.2 million in revenue during the year ended December 31, 2023, of which $17.2 million was related to royalty revenue and none was related to milestone revenue, as there were no milestones earned during the year. We recognized $10.3 million in revenue during the year ended December 31, 2022, of which $5.3 million was related to royalty revenue and $5.0 million was related to one milestone.</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Centessa</w:t>
      </w:r>
    </w:p>
    <w:p>
      <w:pPr>
        <w:spacing w:after="0" w:line="139" w:lineRule="exact"/>
        <w:rPr>
          <w:sz w:val="20"/>
          <w:szCs w:val="20"/>
          <w:color w:val="auto"/>
        </w:rPr>
      </w:pPr>
    </w:p>
    <w:p>
      <w:pPr>
        <w:ind w:right="240" w:firstLine="540"/>
        <w:spacing w:after="0" w:line="258" w:lineRule="auto"/>
        <w:rPr>
          <w:sz w:val="20"/>
          <w:szCs w:val="20"/>
          <w:color w:val="auto"/>
        </w:rPr>
      </w:pPr>
      <w:r>
        <w:rPr>
          <w:rFonts w:ascii="Times New Roman" w:cs="Times New Roman" w:eastAsia="Times New Roman" w:hAnsi="Times New Roman"/>
          <w:sz w:val="20"/>
          <w:szCs w:val="20"/>
          <w:color w:val="auto"/>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CBS008 (renamed ANB102) and the related family of backup antibodies, for the treatment of autoimmune and inflammatory diseases.</w:t>
      </w:r>
    </w:p>
    <w:p>
      <w:pPr>
        <w:spacing w:after="0" w:line="84"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20"/>
          <w:szCs w:val="20"/>
          <w:color w:val="auto"/>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spacing w:after="0" w:line="84" w:lineRule="exact"/>
        <w:rPr>
          <w:sz w:val="20"/>
          <w:szCs w:val="20"/>
          <w:color w:val="auto"/>
        </w:rPr>
      </w:pPr>
    </w:p>
    <w:p>
      <w:pPr>
        <w:ind w:right="80" w:firstLine="540"/>
        <w:spacing w:after="0" w:line="286" w:lineRule="auto"/>
        <w:rPr>
          <w:sz w:val="20"/>
          <w:szCs w:val="20"/>
          <w:color w:val="auto"/>
        </w:rPr>
      </w:pPr>
      <w:r>
        <w:rPr>
          <w:rFonts w:ascii="Times New Roman" w:cs="Times New Roman" w:eastAsia="Times New Roman" w:hAnsi="Times New Roman"/>
          <w:sz w:val="19"/>
          <w:szCs w:val="19"/>
          <w:color w:val="auto"/>
        </w:rPr>
        <w:t>Under the terms of the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w:t>
      </w:r>
    </w:p>
    <w:p>
      <w:pPr>
        <w:sectPr>
          <w:pgSz w:w="12240" w:h="15840" w:orient="portrait"/>
          <w:cols w:equalWidth="0" w:num="1">
            <w:col w:w="10260"/>
          </w:cols>
          <w:pgMar w:left="1000" w:top="851" w:right="980" w:bottom="0" w:gutter="0" w:footer="0" w:header="0"/>
          <w:type w:val="continuous"/>
        </w:sect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60"/>
          </w:cols>
          <w:pgMar w:left="1000" w:top="851" w:right="980" w:bottom="0" w:gutter="0" w:footer="0" w:header="0"/>
          <w:type w:val="continuous"/>
        </w:sectPr>
      </w:pPr>
    </w:p>
    <w:bookmarkStart w:id="85" w:name="page86"/>
    <w:bookmarkEnd w:id="85"/>
    <w:p>
      <w:pPr>
        <w:ind w:right="480"/>
        <w:spacing w:after="0" w:line="281" w:lineRule="auto"/>
        <w:rPr>
          <w:sz w:val="20"/>
          <w:szCs w:val="20"/>
          <w:color w:val="auto"/>
        </w:rPr>
      </w:pPr>
      <w:r>
        <w:rPr>
          <w:rFonts w:ascii="Times New Roman" w:cs="Times New Roman" w:eastAsia="Times New Roman" w:hAnsi="Times New Roman"/>
          <w:sz w:val="20"/>
          <w:szCs w:val="20"/>
          <w:color w:val="auto"/>
        </w:rPr>
        <w:t>December 31, 2024, achievement of the milestone is not probable and, therefore, we have not recognized a liability for the associated $10.0 million contingent consideration.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Sale of Future Royalties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Jemperli Royalty Monetization Agreement</w:t>
      </w:r>
    </w:p>
    <w:p>
      <w:pPr>
        <w:spacing w:after="0" w:line="135" w:lineRule="exact"/>
        <w:rPr>
          <w:sz w:val="20"/>
          <w:szCs w:val="20"/>
          <w:color w:val="auto"/>
        </w:rPr>
      </w:pPr>
    </w:p>
    <w:p>
      <w:pPr>
        <w:ind w:right="240" w:firstLine="630"/>
        <w:spacing w:after="0" w:line="262" w:lineRule="auto"/>
        <w:rPr>
          <w:sz w:val="20"/>
          <w:szCs w:val="20"/>
          <w:color w:val="auto"/>
        </w:rPr>
      </w:pPr>
      <w:r>
        <w:rPr>
          <w:rFonts w:ascii="Times New Roman" w:cs="Times New Roman" w:eastAsia="Times New Roman" w:hAnsi="Times New Roman"/>
          <w:sz w:val="20"/>
          <w:szCs w:val="20"/>
          <w:color w:val="auto"/>
        </w:rPr>
        <w:t>In October 2021, we signed a royalty monetization agreement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with Sagard Healthcare Royalty Partners, LP (“Sagard”). Under the terms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we received $250.0 million in exchange for royalties and milestones payable to us under our GSK collaboration on annual global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w:t>
      </w:r>
    </w:p>
    <w:p>
      <w:pPr>
        <w:spacing w:after="0" w:line="76" w:lineRule="exact"/>
        <w:rPr>
          <w:sz w:val="20"/>
          <w:szCs w:val="20"/>
          <w:color w:val="auto"/>
        </w:rPr>
      </w:pPr>
    </w:p>
    <w:p>
      <w:pPr>
        <w:ind w:right="40" w:firstLine="495"/>
        <w:spacing w:after="0" w:line="255" w:lineRule="auto"/>
        <w:rPr>
          <w:sz w:val="20"/>
          <w:szCs w:val="20"/>
          <w:color w:val="auto"/>
        </w:rPr>
      </w:pPr>
      <w:r>
        <w:rPr>
          <w:rFonts w:ascii="Times New Roman" w:cs="Times New Roman" w:eastAsia="Times New Roman" w:hAnsi="Times New Roman"/>
          <w:sz w:val="20"/>
          <w:szCs w:val="20"/>
          <w:color w:val="auto"/>
        </w:rPr>
        <w:t xml:space="preserve">In May 2024, we entered into an amendment to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Amendment No. 1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under which we sold additional receivables to Sagard in exchange for $50.0 million.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includes all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sales, including any product containing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whether or not such product constitutes a combination product, and the threshold amounts of aggregate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milestones to be received by Sagard under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is either $600.0 million if received by the end of March 31, 2031, or $675.0 million if received thereafter. Once either of these thresholds are met,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and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Amendment will expire, resulting in us regaining all subsequent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milestones. As of December 31, 2024, Sagard has received a total of $63.8 million in royalties and milestones.</w:t>
      </w:r>
    </w:p>
    <w:p>
      <w:pPr>
        <w:spacing w:after="0" w:line="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We retained the rights to a $75.0 million sales milestone when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annual Net Sales exceed $1 billion.</w:t>
      </w:r>
    </w:p>
    <w:p>
      <w:pPr>
        <w:spacing w:after="0" w:line="134" w:lineRule="exact"/>
        <w:rPr>
          <w:sz w:val="20"/>
          <w:szCs w:val="20"/>
          <w:color w:val="auto"/>
        </w:rPr>
      </w:pPr>
    </w:p>
    <w:p>
      <w:pPr>
        <w:ind w:right="20" w:firstLine="630"/>
        <w:spacing w:after="0" w:line="255" w:lineRule="auto"/>
        <w:rPr>
          <w:sz w:val="20"/>
          <w:szCs w:val="20"/>
          <w:color w:val="auto"/>
        </w:rPr>
      </w:pPr>
      <w:r>
        <w:rPr>
          <w:rFonts w:ascii="Times New Roman" w:cs="Times New Roman" w:eastAsia="Times New Roman" w:hAnsi="Times New Roman"/>
          <w:sz w:val="20"/>
          <w:szCs w:val="20"/>
          <w:color w:val="auto"/>
        </w:rPr>
        <w:t xml:space="preserve">The proceeds received from Sagard of $250.0 million and $50.0 million were recorded as a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and these payments to Sagard will be recorded as a reduction of the liability when paid. As such payments are made to Sagard, the balance of the liability will be effectively repaid over the life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w:t>
      </w:r>
    </w:p>
    <w:p>
      <w:pPr>
        <w:spacing w:after="0" w:line="86" w:lineRule="exact"/>
        <w:rPr>
          <w:sz w:val="20"/>
          <w:szCs w:val="20"/>
          <w:color w:val="auto"/>
        </w:rPr>
      </w:pPr>
    </w:p>
    <w:p>
      <w:pPr>
        <w:ind w:right="100" w:firstLine="630"/>
        <w:spacing w:after="0" w:line="256" w:lineRule="auto"/>
        <w:rPr>
          <w:sz w:val="20"/>
          <w:szCs w:val="20"/>
          <w:color w:val="auto"/>
        </w:rPr>
      </w:pPr>
      <w:r>
        <w:rPr>
          <w:rFonts w:ascii="Times New Roman" w:cs="Times New Roman" w:eastAsia="Times New Roman" w:hAnsi="Times New Roman"/>
          <w:sz w:val="20"/>
          <w:szCs w:val="20"/>
          <w:color w:val="auto"/>
        </w:rPr>
        <w:t xml:space="preserve">We estimate the effective interest rate used to record non-cash interest expense under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based on the estimate of future royalty payments to be received by Sagard. As of December 31, 2024, the estimated effective rate under the agreement was 22.7%.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prior estimates, we will prospectively adjust the imputed interest rate and the related amortization of the royalty obligation.</w:t>
      </w:r>
    </w:p>
    <w:p>
      <w:pPr>
        <w:spacing w:after="0" w:line="83" w:lineRule="exact"/>
        <w:rPr>
          <w:sz w:val="20"/>
          <w:szCs w:val="20"/>
          <w:color w:val="auto"/>
        </w:rPr>
      </w:pPr>
    </w:p>
    <w:p>
      <w:pPr>
        <w:ind w:right="20" w:firstLine="495"/>
        <w:spacing w:after="0" w:line="268" w:lineRule="auto"/>
        <w:rPr>
          <w:sz w:val="20"/>
          <w:szCs w:val="20"/>
          <w:color w:val="auto"/>
        </w:rPr>
      </w:pPr>
      <w:r>
        <w:rPr>
          <w:rFonts w:ascii="Times New Roman" w:cs="Times New Roman" w:eastAsia="Times New Roman" w:hAnsi="Times New Roman"/>
          <w:sz w:val="20"/>
          <w:szCs w:val="20"/>
          <w:color w:val="auto"/>
        </w:rPr>
        <w:t xml:space="preserve">We recognized two sales milestones for a total of $40.0 million during the year ended December 31, 2024, when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annual sales exceeded both the $250.0 million and $500.0 million thresholds. No milestones were recognized during the years ended December 31, 2023 and 2022.</w:t>
      </w:r>
    </w:p>
    <w:p>
      <w:pPr>
        <w:spacing w:after="0" w:line="70" w:lineRule="exact"/>
        <w:rPr>
          <w:sz w:val="20"/>
          <w:szCs w:val="20"/>
          <w:color w:val="auto"/>
        </w:rPr>
      </w:pPr>
    </w:p>
    <w:p>
      <w:pPr>
        <w:ind w:right="120" w:firstLine="630"/>
        <w:spacing w:after="0" w:line="259" w:lineRule="auto"/>
        <w:rPr>
          <w:sz w:val="20"/>
          <w:szCs w:val="20"/>
          <w:color w:val="auto"/>
        </w:rPr>
      </w:pPr>
      <w:r>
        <w:rPr>
          <w:rFonts w:ascii="Times New Roman" w:cs="Times New Roman" w:eastAsia="Times New Roman" w:hAnsi="Times New Roman"/>
          <w:sz w:val="20"/>
          <w:szCs w:val="20"/>
          <w:color w:val="auto"/>
        </w:rPr>
        <w:t xml:space="preserve">We recognized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non-cash royalty revenue of approximately $47.4 million, $13.8 million and $2.3 million during the years ended December 31, 2024, 2023 and 2022, respectively and non-cash interest expense of approximately $49.1 million, $17.1 million and $20.4 million during the years ended December 31, 2024, 2023 and 2022, respectively. The interest and amortization of issuance costs is reflected as non-cash interest expense for the sale of future royalties in the Consolidated Statements of Operations.</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shows the activity within the liability account for the year ended December 31, 2024:</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92"/>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Liability related to sale of future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milestones - balance at 12/31/2023</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278,090</w:t>
            </w:r>
          </w:p>
        </w:tc>
      </w:tr>
      <w:tr>
        <w:trPr>
          <w:trHeight w:val="315"/>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Proceeds from sale of future royalties</w:t>
            </w:r>
          </w:p>
        </w:tc>
        <w:tc>
          <w:tcPr>
            <w:tcW w:w="300" w:type="dxa"/>
            <w:vAlign w:val="bottom"/>
          </w:tcPr>
          <w:p>
            <w:pPr>
              <w:spacing w:after="0"/>
              <w:rPr>
                <w:sz w:val="24"/>
                <w:szCs w:val="24"/>
                <w:color w:val="auto"/>
              </w:rPr>
            </w:pPr>
          </w:p>
        </w:tc>
        <w:tc>
          <w:tcPr>
            <w:tcW w:w="1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50,000</w:t>
            </w:r>
          </w:p>
        </w:tc>
      </w:tr>
      <w:tr>
        <w:trPr>
          <w:trHeight w:val="315"/>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Issuance costs related to the sale of future royalties</w:t>
            </w:r>
          </w:p>
        </w:tc>
        <w:tc>
          <w:tcPr>
            <w:tcW w:w="3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315"/>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Amortization of issuance costs</w:t>
            </w:r>
          </w:p>
        </w:tc>
        <w:tc>
          <w:tcPr>
            <w:tcW w:w="300" w:type="dxa"/>
            <w:vAlign w:val="bottom"/>
          </w:tcPr>
          <w:p>
            <w:pPr>
              <w:spacing w:after="0"/>
              <w:rPr>
                <w:sz w:val="24"/>
                <w:szCs w:val="24"/>
                <w:color w:val="auto"/>
              </w:rPr>
            </w:pPr>
          </w:p>
        </w:tc>
        <w:tc>
          <w:tcPr>
            <w:tcW w:w="1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60</w:t>
            </w:r>
          </w:p>
        </w:tc>
      </w:tr>
      <w:tr>
        <w:trPr>
          <w:trHeight w:val="315"/>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Royalty and milestone payments to Sagard</w:t>
            </w:r>
          </w:p>
        </w:tc>
        <w:tc>
          <w:tcPr>
            <w:tcW w:w="3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(53,465)</w:t>
            </w:r>
          </w:p>
        </w:tc>
      </w:tr>
      <w:tr>
        <w:trPr>
          <w:trHeight w:val="318"/>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Non-cash interest expense recognized</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49,076</w:t>
            </w:r>
          </w:p>
        </w:tc>
      </w:tr>
      <w:tr>
        <w:trPr>
          <w:trHeight w:val="24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Liability related to sale of future royalties and milestones - ending balance</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323,658</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-1412240</wp:posOffset>
            </wp:positionV>
            <wp:extent cx="6553200" cy="1431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6553200" cy="1431925"/>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60"/>
          </w:cols>
          <w:pgMar w:left="1000" w:top="793" w:right="980" w:bottom="0" w:gutter="0" w:footer="0" w:header="0"/>
          <w:type w:val="continuous"/>
        </w:sectPr>
      </w:pPr>
    </w:p>
    <w:bookmarkStart w:id="86" w:name="page87"/>
    <w:bookmarkEnd w:id="86"/>
    <w:p>
      <w:pPr>
        <w:ind w:left="190" w:hanging="190"/>
        <w:spacing w:after="0"/>
        <w:tabs>
          <w:tab w:leader="none" w:pos="19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rPr>
        <w:t>Of the non-cash interest expense recognized, $3.7 million was capitalized interest for the year ended December 31, 2024.</w:t>
      </w:r>
    </w:p>
    <w:p>
      <w:pPr>
        <w:spacing w:after="0" w:line="90" w:lineRule="exact"/>
        <w:rPr>
          <w:rFonts w:ascii="Times New Roman" w:cs="Times New Roman" w:eastAsia="Times New Roman" w:hAnsi="Times New Roman"/>
          <w:sz w:val="24"/>
          <w:szCs w:val="24"/>
          <w:color w:val="auto"/>
          <w:vertAlign w:val="superscript"/>
        </w:rPr>
      </w:pPr>
    </w:p>
    <w:p>
      <w:pPr>
        <w:ind w:left="27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0"/>
          <w:szCs w:val="20"/>
          <w:b w:val="1"/>
          <w:bCs w:val="1"/>
          <w:i w:val="1"/>
          <w:iCs w:val="1"/>
          <w:color w:val="auto"/>
        </w:rPr>
        <w:t>Zejula Royalty Monetization Agreement</w:t>
      </w:r>
    </w:p>
    <w:p>
      <w:pPr>
        <w:spacing w:after="0" w:line="139" w:lineRule="exact"/>
        <w:rPr>
          <w:sz w:val="20"/>
          <w:szCs w:val="20"/>
          <w:color w:val="auto"/>
        </w:rPr>
      </w:pPr>
    </w:p>
    <w:p>
      <w:pPr>
        <w:ind w:left="10" w:right="220" w:firstLine="630"/>
        <w:spacing w:after="0" w:line="309" w:lineRule="auto"/>
        <w:rPr>
          <w:sz w:val="20"/>
          <w:szCs w:val="20"/>
          <w:color w:val="auto"/>
        </w:rPr>
      </w:pPr>
      <w:r>
        <w:rPr>
          <w:rFonts w:ascii="Times New Roman" w:cs="Times New Roman" w:eastAsia="Times New Roman" w:hAnsi="Times New Roman"/>
          <w:sz w:val="19"/>
          <w:szCs w:val="19"/>
          <w:color w:val="auto"/>
        </w:rPr>
        <w:t>In October 2020, in connection with GSK Amendment No. 3, GSK agreed, under the terms of a settlement agreement (the “GSK Settlement Agreement”), to pay us a royalty of 0.5% on all GSK net sales of Zejula starting January 1, 2021.</w:t>
      </w:r>
    </w:p>
    <w:p>
      <w:pPr>
        <w:spacing w:after="0" w:line="37" w:lineRule="exact"/>
        <w:rPr>
          <w:sz w:val="20"/>
          <w:szCs w:val="20"/>
          <w:color w:val="auto"/>
        </w:rPr>
      </w:pPr>
    </w:p>
    <w:p>
      <w:pPr>
        <w:ind w:left="10" w:right="20" w:firstLine="630"/>
        <w:spacing w:after="0" w:line="255" w:lineRule="auto"/>
        <w:rPr>
          <w:sz w:val="20"/>
          <w:szCs w:val="20"/>
          <w:color w:val="auto"/>
        </w:rPr>
      </w:pPr>
      <w:r>
        <w:rPr>
          <w:rFonts w:ascii="Times New Roman" w:cs="Times New Roman" w:eastAsia="Times New Roman" w:hAnsi="Times New Roman"/>
          <w:sz w:val="20"/>
          <w:szCs w:val="20"/>
          <w:color w:val="auto"/>
        </w:rPr>
        <w:t>In September 2022, we signed a purchase and sale agreement (the “Zejula Royalty Monetization Agreement”) with a wholly owned subsidiary of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spacing w:after="0" w:line="90" w:lineRule="exact"/>
        <w:rPr>
          <w:sz w:val="20"/>
          <w:szCs w:val="20"/>
          <w:color w:val="auto"/>
        </w:rPr>
      </w:pPr>
    </w:p>
    <w:p>
      <w:pPr>
        <w:ind w:left="10" w:right="200" w:firstLine="630"/>
        <w:spacing w:after="0" w:line="256" w:lineRule="auto"/>
        <w:rPr>
          <w:sz w:val="20"/>
          <w:szCs w:val="20"/>
          <w:color w:val="auto"/>
        </w:rPr>
      </w:pPr>
      <w:r>
        <w:rPr>
          <w:rFonts w:ascii="Times New Roman" w:cs="Times New Roman" w:eastAsia="Times New Roman" w:hAnsi="Times New Roman"/>
          <w:sz w:val="20"/>
          <w:szCs w:val="20"/>
          <w:color w:val="auto"/>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spacing w:after="0" w:line="88" w:lineRule="exact"/>
        <w:rPr>
          <w:sz w:val="20"/>
          <w:szCs w:val="20"/>
          <w:color w:val="auto"/>
        </w:rPr>
      </w:pPr>
    </w:p>
    <w:p>
      <w:pPr>
        <w:ind w:left="10" w:right="40" w:firstLine="630"/>
        <w:spacing w:after="0" w:line="258" w:lineRule="auto"/>
        <w:rPr>
          <w:sz w:val="20"/>
          <w:szCs w:val="20"/>
          <w:color w:val="auto"/>
        </w:rPr>
      </w:pPr>
      <w:r>
        <w:rPr>
          <w:rFonts w:ascii="Times New Roman" w:cs="Times New Roman" w:eastAsia="Times New Roman" w:hAnsi="Times New Roman"/>
          <w:sz w:val="20"/>
          <w:szCs w:val="20"/>
          <w:color w:val="auto"/>
        </w:rPr>
        <w:t>We recognized Zejula non-cash royalty revenue of approximately $3.9 million, $3.4 million and $1.4 million during the years ended December 31, 2024, 2023 and 2022, respectively and non-cash interest expense of approximately $1.0 million, $1.0 million and $0.7 million during the years ended December 31, 2024, 2023 and 2022, respectively. The interest and amortization of issuance costs is reflected as non-cash interest expense for the sale of future royalties in the Consolidated Statements of Operations.</w:t>
      </w:r>
    </w:p>
    <w:p>
      <w:pPr>
        <w:spacing w:after="0" w:line="84"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20"/>
          <w:szCs w:val="20"/>
          <w:color w:val="auto"/>
        </w:rPr>
        <w:t>The following table shows the activity within the liability account for the year ended December 31, 2024:</w:t>
      </w:r>
    </w:p>
    <w:p>
      <w:pPr>
        <w:spacing w:after="0" w:line="28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92"/>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Liability related to sale of future Zejula royalties and milestones - balance at 12/31/2023</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32,717</w:t>
            </w:r>
          </w:p>
        </w:tc>
      </w:tr>
      <w:tr>
        <w:trPr>
          <w:trHeight w:val="315"/>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Amortization of issuance costs</w:t>
            </w:r>
          </w:p>
        </w:tc>
        <w:tc>
          <w:tcPr>
            <w:tcW w:w="300" w:type="dxa"/>
            <w:vAlign w:val="bottom"/>
          </w:tcPr>
          <w:p>
            <w:pPr>
              <w:spacing w:after="0"/>
              <w:rPr>
                <w:sz w:val="24"/>
                <w:szCs w:val="24"/>
                <w:color w:val="auto"/>
              </w:rPr>
            </w:pPr>
          </w:p>
        </w:tc>
        <w:tc>
          <w:tcPr>
            <w:tcW w:w="1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w:t>
            </w:r>
          </w:p>
        </w:tc>
      </w:tr>
      <w:tr>
        <w:trPr>
          <w:trHeight w:val="315"/>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Royalty and milestone payments to DRI</w:t>
            </w:r>
          </w:p>
        </w:tc>
        <w:tc>
          <w:tcPr>
            <w:tcW w:w="3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(3,900)</w:t>
            </w:r>
          </w:p>
        </w:tc>
      </w:tr>
      <w:tr>
        <w:trPr>
          <w:trHeight w:val="318"/>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Non-cash interest expense recognized</w:t>
            </w: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922</w:t>
            </w:r>
          </w:p>
        </w:tc>
      </w:tr>
      <w:tr>
        <w:trPr>
          <w:trHeight w:val="24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Liability related to sale of future royalties and milestones - ending balance</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29,768</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-1012190</wp:posOffset>
            </wp:positionV>
            <wp:extent cx="6553200" cy="1031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6553200" cy="1031875"/>
                    </a:xfrm>
                    <a:prstGeom prst="rect">
                      <a:avLst/>
                    </a:prstGeom>
                    <a:noFill/>
                  </pic:spPr>
                </pic:pic>
              </a:graphicData>
            </a:graphic>
          </wp:anchor>
        </w:drawing>
      </w:r>
    </w:p>
    <w:p>
      <w:pPr>
        <w:spacing w:after="0" w:line="3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6. Fair Value Measurements and Available for Sale Investments</w:t>
      </w:r>
    </w:p>
    <w:p>
      <w:pPr>
        <w:spacing w:after="0" w:line="248"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39" w:lineRule="exact"/>
        <w:rPr>
          <w:sz w:val="20"/>
          <w:szCs w:val="20"/>
          <w:color w:val="auto"/>
        </w:rPr>
      </w:pPr>
    </w:p>
    <w:p>
      <w:pPr>
        <w:jc w:val="both"/>
        <w:ind w:left="10" w:right="840" w:firstLine="630"/>
        <w:spacing w:after="0" w:line="266" w:lineRule="auto"/>
        <w:rPr>
          <w:sz w:val="20"/>
          <w:szCs w:val="20"/>
          <w:color w:val="auto"/>
        </w:rPr>
      </w:pPr>
      <w:r>
        <w:rPr>
          <w:rFonts w:ascii="Times New Roman" w:cs="Times New Roman" w:eastAsia="Times New Roman" w:hAnsi="Times New Roman"/>
          <w:sz w:val="20"/>
          <w:szCs w:val="20"/>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75" w:lineRule="exact"/>
        <w:rPr>
          <w:sz w:val="20"/>
          <w:szCs w:val="20"/>
          <w:color w:val="auto"/>
        </w:rPr>
      </w:pPr>
    </w:p>
    <w:p>
      <w:pPr>
        <w:ind w:left="10" w:right="200" w:firstLine="630"/>
        <w:spacing w:after="0" w:line="260"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83"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20"/>
          <w:szCs w:val="20"/>
          <w:color w:val="auto"/>
        </w:rPr>
        <w:t>Level 1 - Observable inputs that reflect quoted prices (unadjusted) for identical assets or liabilities in active markets.</w:t>
      </w:r>
    </w:p>
    <w:p>
      <w:pPr>
        <w:spacing w:after="0" w:line="130" w:lineRule="exact"/>
        <w:rPr>
          <w:sz w:val="20"/>
          <w:szCs w:val="20"/>
          <w:color w:val="auto"/>
        </w:rPr>
      </w:pPr>
    </w:p>
    <w:p>
      <w:pPr>
        <w:ind w:left="10" w:right="100" w:firstLine="630"/>
        <w:spacing w:after="0" w:line="266" w:lineRule="auto"/>
        <w:rPr>
          <w:sz w:val="20"/>
          <w:szCs w:val="20"/>
          <w:color w:val="auto"/>
        </w:rPr>
      </w:pPr>
      <w:r>
        <w:rPr>
          <w:rFonts w:ascii="Times New Roman" w:cs="Times New Roman" w:eastAsia="Times New Roman" w:hAnsi="Times New Roman"/>
          <w:sz w:val="20"/>
          <w:szCs w:val="20"/>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5" w:lineRule="exact"/>
        <w:rPr>
          <w:sz w:val="20"/>
          <w:szCs w:val="20"/>
          <w:color w:val="auto"/>
        </w:rPr>
      </w:pPr>
    </w:p>
    <w:p>
      <w:pPr>
        <w:ind w:left="10" w:right="680" w:firstLine="630"/>
        <w:spacing w:after="0" w:line="281" w:lineRule="auto"/>
        <w:rPr>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activities, therefore requiring an entity to develop its own assumptions.</w:t>
      </w:r>
    </w:p>
    <w:p>
      <w:pPr>
        <w:sectPr>
          <w:pgSz w:w="12240" w:h="15840" w:orient="portrait"/>
          <w:cols w:equalWidth="0" w:num="1">
            <w:col w:w="10270"/>
          </w:cols>
          <w:pgMar w:left="990" w:top="77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70"/>
          </w:cols>
          <w:pgMar w:left="990" w:top="777" w:right="980" w:bottom="0" w:gutter="0" w:footer="0" w:header="0"/>
          <w:type w:val="continuous"/>
        </w:sectPr>
      </w:pPr>
    </w:p>
    <w:bookmarkStart w:id="87" w:name="page88"/>
    <w:bookmarkEnd w:id="87"/>
    <w:p>
      <w:pPr>
        <w:ind w:left="400"/>
        <w:spacing w:after="0"/>
        <w:rPr>
          <w:sz w:val="20"/>
          <w:szCs w:val="20"/>
          <w:color w:val="auto"/>
        </w:rPr>
      </w:pPr>
      <w:r>
        <w:rPr>
          <w:rFonts w:ascii="Times New Roman" w:cs="Times New Roman" w:eastAsia="Times New Roman" w:hAnsi="Times New Roman"/>
          <w:sz w:val="20"/>
          <w:szCs w:val="20"/>
          <w:b w:val="1"/>
          <w:bCs w:val="1"/>
          <w:i w:val="1"/>
          <w:iCs w:val="1"/>
          <w:color w:val="auto"/>
        </w:rPr>
        <w:t>Assets and Liabilities Measured at Fair Value on a Recurring Basis</w:t>
      </w:r>
    </w:p>
    <w:p>
      <w:pPr>
        <w:spacing w:after="0" w:line="139" w:lineRule="exact"/>
        <w:rPr>
          <w:sz w:val="20"/>
          <w:szCs w:val="20"/>
          <w:color w:val="auto"/>
        </w:rPr>
      </w:pPr>
    </w:p>
    <w:p>
      <w:pPr>
        <w:ind w:right="140" w:firstLine="630"/>
        <w:spacing w:after="0" w:line="281" w:lineRule="auto"/>
        <w:rPr>
          <w:sz w:val="20"/>
          <w:szCs w:val="20"/>
          <w:color w:val="auto"/>
        </w:rPr>
      </w:pPr>
      <w:r>
        <w:rPr>
          <w:rFonts w:ascii="Times New Roman" w:cs="Times New Roman" w:eastAsia="Times New Roman" w:hAnsi="Times New Roman"/>
          <w:sz w:val="20"/>
          <w:szCs w:val="20"/>
          <w:color w:val="auto"/>
        </w:rPr>
        <w:t>The following table summarizes our assets and liabilities that require fair value measurements on a recurring basis and their respective input levels based on the fair value hierarchy:</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at End of Period Using:</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Quoted Market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65"/>
              <w:spacing w:after="0" w:line="160" w:lineRule="exact"/>
              <w:rPr>
                <w:sz w:val="20"/>
                <w:szCs w:val="20"/>
                <w:color w:val="auto"/>
              </w:rPr>
            </w:pPr>
            <w:r>
              <w:rPr>
                <w:rFonts w:ascii="Times New Roman" w:cs="Times New Roman" w:eastAsia="Times New Roman" w:hAnsi="Times New Roman"/>
                <w:sz w:val="16"/>
                <w:szCs w:val="16"/>
                <w:b w:val="1"/>
                <w:bCs w:val="1"/>
                <w:color w:val="auto"/>
              </w:rPr>
              <w:t>Prices for</w:t>
            </w:r>
          </w:p>
        </w:tc>
        <w:tc>
          <w:tcPr>
            <w:tcW w:w="60" w:type="dxa"/>
            <w:vAlign w:val="bottom"/>
          </w:tcPr>
          <w:p>
            <w:pPr>
              <w:spacing w:after="0"/>
              <w:rPr>
                <w:sz w:val="13"/>
                <w:szCs w:val="13"/>
                <w:color w:val="auto"/>
              </w:rPr>
            </w:pPr>
          </w:p>
        </w:tc>
        <w:tc>
          <w:tcPr>
            <w:tcW w:w="13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Other Observable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25"/>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Unobservable</w:t>
            </w:r>
          </w:p>
        </w:tc>
        <w:tc>
          <w:tcPr>
            <w:tcW w:w="0" w:type="dxa"/>
            <w:vAlign w:val="bottom"/>
          </w:tcPr>
          <w:p>
            <w:pPr>
              <w:spacing w:after="0"/>
              <w:rPr>
                <w:sz w:val="1"/>
                <w:szCs w:val="1"/>
                <w:color w:val="auto"/>
              </w:rPr>
            </w:pPr>
          </w:p>
        </w:tc>
      </w:tr>
      <w:tr>
        <w:trPr>
          <w:trHeight w:val="16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65"/>
              <w:spacing w:after="0" w:line="160"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24"/>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25"/>
              <w:spacing w:after="0" w:line="160" w:lineRule="exact"/>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4"/>
        </w:trPr>
        <w:tc>
          <w:tcPr>
            <w:tcW w:w="4440" w:type="dxa"/>
            <w:vAlign w:val="bottom"/>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195"/>
        </w:trPr>
        <w:tc>
          <w:tcPr>
            <w:tcW w:w="188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20"/>
                <w:szCs w:val="20"/>
                <w:b w:val="1"/>
                <w:bCs w:val="1"/>
                <w:color w:val="auto"/>
                <w:w w:val="99"/>
              </w:rPr>
              <w:t>At December 31, 2024</w:t>
            </w: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Money market funds</w:t>
            </w:r>
            <w:r>
              <w:rPr>
                <w:rFonts w:ascii="Times New Roman" w:cs="Times New Roman" w:eastAsia="Times New Roman" w:hAnsi="Times New Roman"/>
                <w:sz w:val="26"/>
                <w:szCs w:val="26"/>
                <w:color w:val="auto"/>
                <w:vertAlign w:val="superscript"/>
              </w:rPr>
              <w:t>(1)</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104,553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Mutual funds</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9,376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U.S. Treasury securities</w:t>
            </w:r>
            <w:r>
              <w:rPr>
                <w:rFonts w:ascii="Times New Roman" w:cs="Times New Roman" w:eastAsia="Times New Roman" w:hAnsi="Times New Roman"/>
                <w:sz w:val="26"/>
                <w:szCs w:val="26"/>
                <w:color w:val="auto"/>
                <w:vertAlign w:val="superscript"/>
              </w:rPr>
              <w:t>(1)(2)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284,495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284,495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Agency securities</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4440" w:type="dxa"/>
            <w:vAlign w:val="bottom"/>
            <w:gridSpan w:val="2"/>
          </w:tcPr>
          <w:p>
            <w:pPr>
              <w:spacing w:after="0" w:line="297" w:lineRule="exact"/>
              <w:rPr>
                <w:sz w:val="20"/>
                <w:szCs w:val="20"/>
                <w:color w:val="auto"/>
              </w:rPr>
            </w:pPr>
            <w:r>
              <w:rPr>
                <w:rFonts w:ascii="Times New Roman" w:cs="Times New Roman" w:eastAsia="Times New Roman" w:hAnsi="Times New Roman"/>
                <w:sz w:val="20"/>
                <w:szCs w:val="20"/>
                <w:color w:val="auto"/>
              </w:rPr>
              <w:t>Commercial and corporate obligations</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1"/>
        </w:trPr>
        <w:tc>
          <w:tcPr>
            <w:tcW w:w="188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b w:val="1"/>
                <w:bCs w:val="1"/>
                <w:color w:val="auto"/>
                <w:w w:val="99"/>
              </w:rPr>
              <w:t>At December 31, 2023</w:t>
            </w: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Money market funds</w:t>
            </w:r>
            <w:r>
              <w:rPr>
                <w:rFonts w:ascii="Times New Roman" w:cs="Times New Roman" w:eastAsia="Times New Roman" w:hAnsi="Times New Roman"/>
                <w:sz w:val="26"/>
                <w:szCs w:val="26"/>
                <w:color w:val="auto"/>
                <w:vertAlign w:val="superscript"/>
              </w:rPr>
              <w:t>(1)</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27,789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Mutual funds</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6,286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U.S. Treasury securities</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325,714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Certificates of deposit</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Agency securities</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42"/>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and corporate obligations</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35,754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-2383155</wp:posOffset>
            </wp:positionV>
            <wp:extent cx="6521450" cy="2378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6521450" cy="2378075"/>
                    </a:xfrm>
                    <a:prstGeom prst="rect">
                      <a:avLst/>
                    </a:prstGeom>
                    <a:noFill/>
                  </pic:spPr>
                </pic:pic>
              </a:graphicData>
            </a:graphic>
          </wp:anchor>
        </w:drawing>
      </w:r>
    </w:p>
    <w:p>
      <w:pPr>
        <w:ind w:left="480" w:hanging="445"/>
        <w:spacing w:after="0"/>
        <w:tabs>
          <w:tab w:leader="none" w:pos="480" w:val="left"/>
        </w:tabs>
        <w:numPr>
          <w:ilvl w:val="0"/>
          <w:numId w:val="4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Included in cash and cash equivalents in the accompanying consolidated balance sheets.</w:t>
      </w:r>
    </w:p>
    <w:p>
      <w:pPr>
        <w:spacing w:after="0" w:line="41" w:lineRule="exact"/>
        <w:rPr>
          <w:rFonts w:ascii="Times New Roman" w:cs="Times New Roman" w:eastAsia="Times New Roman" w:hAnsi="Times New Roman"/>
          <w:sz w:val="26"/>
          <w:szCs w:val="26"/>
          <w:color w:val="auto"/>
          <w:vertAlign w:val="superscript"/>
        </w:rPr>
      </w:pPr>
    </w:p>
    <w:p>
      <w:pPr>
        <w:ind w:left="480" w:right="500" w:hanging="445"/>
        <w:spacing w:after="0" w:line="216" w:lineRule="auto"/>
        <w:tabs>
          <w:tab w:leader="none" w:pos="480" w:val="left"/>
        </w:tabs>
        <w:numPr>
          <w:ilvl w:val="0"/>
          <w:numId w:val="4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Included in short-term or long-term investments in the accompanying consolidated balance sheets depending on the respective maturity date.</w:t>
      </w:r>
    </w:p>
    <w:p>
      <w:pPr>
        <w:spacing w:after="0" w:line="222" w:lineRule="exact"/>
        <w:rPr>
          <w:sz w:val="20"/>
          <w:szCs w:val="20"/>
          <w:color w:val="auto"/>
        </w:rPr>
      </w:pPr>
    </w:p>
    <w:p>
      <w:pPr>
        <w:ind w:right="60" w:firstLine="630"/>
        <w:spacing w:after="0" w:line="281" w:lineRule="auto"/>
        <w:rPr>
          <w:sz w:val="20"/>
          <w:szCs w:val="20"/>
          <w:color w:val="auto"/>
        </w:rPr>
      </w:pPr>
      <w:r>
        <w:rPr>
          <w:rFonts w:ascii="Times New Roman" w:cs="Times New Roman" w:eastAsia="Times New Roman" w:hAnsi="Times New Roman"/>
          <w:sz w:val="20"/>
          <w:szCs w:val="20"/>
          <w:color w:val="auto"/>
        </w:rPr>
        <w:t>The following methods and assumptions were used to estimate the fair value of our financial instruments for which it is practicable to estimate that value:</w:t>
      </w:r>
    </w:p>
    <w:p>
      <w:pPr>
        <w:spacing w:after="0" w:line="58" w:lineRule="exact"/>
        <w:rPr>
          <w:sz w:val="20"/>
          <w:szCs w:val="20"/>
          <w:color w:val="auto"/>
        </w:rPr>
      </w:pPr>
    </w:p>
    <w:p>
      <w:pPr>
        <w:ind w:right="80" w:firstLine="63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Marketable Securities. </w:t>
      </w:r>
      <w:r>
        <w:rPr>
          <w:rFonts w:ascii="Times New Roman" w:cs="Times New Roman" w:eastAsia="Times New Roman" w:hAnsi="Times New Roman"/>
          <w:sz w:val="20"/>
          <w:szCs w:val="20"/>
          <w:color w:val="auto"/>
        </w:rPr>
        <w:t>For fair values determined by Level 1 inputs, which utilize quoted prices in active markets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Fair Value of Other Financial Instruments</w:t>
      </w:r>
    </w:p>
    <w:p>
      <w:pPr>
        <w:spacing w:after="0" w:line="139" w:lineRule="exact"/>
        <w:rPr>
          <w:sz w:val="20"/>
          <w:szCs w:val="20"/>
          <w:color w:val="auto"/>
        </w:rPr>
      </w:pPr>
    </w:p>
    <w:p>
      <w:pPr>
        <w:ind w:right="260" w:firstLine="680"/>
        <w:spacing w:after="0" w:line="281" w:lineRule="auto"/>
        <w:rPr>
          <w:sz w:val="20"/>
          <w:szCs w:val="20"/>
          <w:color w:val="auto"/>
        </w:rPr>
      </w:pPr>
      <w:r>
        <w:rPr>
          <w:rFonts w:ascii="Times New Roman" w:cs="Times New Roman" w:eastAsia="Times New Roman" w:hAnsi="Times New Roman"/>
          <w:sz w:val="20"/>
          <w:szCs w:val="20"/>
          <w:color w:val="auto"/>
        </w:rPr>
        <w:t>The carrying amounts of certain of our financial instruments, including cash and cash equivalents, accounts payable, and accrued expenses approximate fair value due to their short-term nature.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Available for Sale Investments</w:t>
      </w:r>
    </w:p>
    <w:p>
      <w:pPr>
        <w:spacing w:after="0" w:line="139" w:lineRule="exact"/>
        <w:rPr>
          <w:sz w:val="20"/>
          <w:szCs w:val="20"/>
          <w:color w:val="auto"/>
        </w:rPr>
      </w:pPr>
    </w:p>
    <w:p>
      <w:pPr>
        <w:jc w:val="both"/>
        <w:ind w:right="60" w:firstLine="630"/>
        <w:spacing w:after="0" w:line="258" w:lineRule="auto"/>
        <w:rPr>
          <w:sz w:val="20"/>
          <w:szCs w:val="20"/>
          <w:color w:val="auto"/>
        </w:rPr>
      </w:pPr>
      <w:r>
        <w:rPr>
          <w:rFonts w:ascii="Times New Roman" w:cs="Times New Roman" w:eastAsia="Times New Roman" w:hAnsi="Times New Roman"/>
          <w:sz w:val="20"/>
          <w:szCs w:val="20"/>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December 31, 2024 are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restart"/>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0"/>
        </w:trPr>
        <w:tc>
          <w:tcPr>
            <w:tcW w:w="4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29"/>
              <w:spacing w:after="0" w:line="160"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76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98"/>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Agency securities</w:t>
            </w:r>
            <w:r>
              <w:rPr>
                <w:rFonts w:ascii="Times New Roman" w:cs="Times New Roman" w:eastAsia="Times New Roman" w:hAnsi="Times New Roman"/>
                <w:sz w:val="26"/>
                <w:szCs w:val="26"/>
                <w:color w:val="auto"/>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7,579</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Commercial and corporate obligations</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10,652</w:t>
            </w:r>
          </w:p>
        </w:tc>
        <w:tc>
          <w:tcPr>
            <w:tcW w:w="0" w:type="dxa"/>
            <w:vAlign w:val="bottom"/>
          </w:tcPr>
          <w:p>
            <w:pPr>
              <w:spacing w:after="0"/>
              <w:rPr>
                <w:sz w:val="1"/>
                <w:szCs w:val="1"/>
                <w:color w:val="auto"/>
              </w:rPr>
            </w:pPr>
          </w:p>
        </w:tc>
      </w:tr>
      <w:tr>
        <w:trPr>
          <w:trHeight w:val="282"/>
        </w:trPr>
        <w:tc>
          <w:tcPr>
            <w:tcW w:w="476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US Treasury securities</w:t>
            </w:r>
            <w:r>
              <w:rPr>
                <w:rFonts w:ascii="Times New Roman" w:cs="Times New Roman" w:eastAsia="Times New Roman" w:hAnsi="Times New Roman"/>
                <w:sz w:val="26"/>
                <w:szCs w:val="26"/>
                <w:color w:val="auto"/>
                <w:vertAlign w:val="superscript"/>
              </w:rPr>
              <w:t>(3)</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283,985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284,495</w:t>
            </w:r>
          </w:p>
        </w:tc>
        <w:tc>
          <w:tcPr>
            <w:tcW w:w="0" w:type="dxa"/>
            <w:vAlign w:val="bottom"/>
          </w:tcPr>
          <w:p>
            <w:pPr>
              <w:spacing w:after="0"/>
              <w:rPr>
                <w:sz w:val="1"/>
                <w:szCs w:val="1"/>
                <w:color w:val="auto"/>
              </w:rPr>
            </w:pPr>
          </w:p>
        </w:tc>
      </w:tr>
      <w:tr>
        <w:trPr>
          <w:trHeight w:val="260"/>
        </w:trPr>
        <w:tc>
          <w:tcPr>
            <w:tcW w:w="4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Total available-for-sale investments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302,214</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302,726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-209550</wp:posOffset>
                </wp:positionV>
                <wp:extent cx="56769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6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4999pt" to="446.5pt,-16.4999pt" o:allowincell="f" strokecolor="#000000" strokeweight="0pt"/>
            </w:pict>
          </mc:Fallback>
        </mc:AlternateContent>
        <w:drawing>
          <wp:anchor simplePos="0" relativeHeight="251657728" behindDoc="1" locked="0" layoutInCell="0" allowOverlap="1">
            <wp:simplePos x="0" y="0"/>
            <wp:positionH relativeFrom="column">
              <wp:posOffset>-31115</wp:posOffset>
            </wp:positionH>
            <wp:positionV relativeFrom="paragraph">
              <wp:posOffset>-793115</wp:posOffset>
            </wp:positionV>
            <wp:extent cx="6556375" cy="812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extLst>
                    </a:blip>
                    <a:srcRect/>
                    <a:stretch>
                      <a:fillRect/>
                    </a:stretch>
                  </pic:blipFill>
                  <pic:spPr bwMode="auto">
                    <a:xfrm>
                      <a:off x="0" y="0"/>
                      <a:ext cx="6556375" cy="812800"/>
                    </a:xfrm>
                    <a:prstGeom prst="rect">
                      <a:avLst/>
                    </a:prstGeom>
                    <a:noFill/>
                  </pic:spPr>
                </pic:pic>
              </a:graphicData>
            </a:graphic>
          </wp:anchor>
        </w:drawing>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40"/>
          </w:cols>
          <w:pgMar w:left="1000" w:top="784" w:right="1000" w:bottom="0" w:gutter="0" w:footer="0" w:header="0"/>
          <w:type w:val="continuous"/>
        </w:sectPr>
      </w:pPr>
    </w:p>
    <w:bookmarkStart w:id="88" w:name="page89"/>
    <w:bookmarkEnd w:id="88"/>
    <w:p>
      <w:pPr>
        <w:ind w:left="550" w:right="520" w:hanging="550"/>
        <w:spacing w:after="0" w:line="226" w:lineRule="auto"/>
        <w:tabs>
          <w:tab w:leader="none" w:pos="505" w:val="left"/>
        </w:tabs>
        <w:numPr>
          <w:ilvl w:val="0"/>
          <w:numId w:val="4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agency securities, $7.6 million have maturity dates of less than one year and $0.0 million have a maturity date of between one to two years as of December 31, 2024.</w:t>
      </w:r>
    </w:p>
    <w:p>
      <w:pPr>
        <w:spacing w:after="0" w:line="21" w:lineRule="exact"/>
        <w:rPr>
          <w:rFonts w:ascii="Times New Roman" w:cs="Times New Roman" w:eastAsia="Times New Roman" w:hAnsi="Times New Roman"/>
          <w:sz w:val="26"/>
          <w:szCs w:val="26"/>
          <w:color w:val="auto"/>
          <w:vertAlign w:val="superscript"/>
        </w:rPr>
      </w:pPr>
    </w:p>
    <w:p>
      <w:pPr>
        <w:ind w:left="550" w:right="360" w:hanging="550"/>
        <w:spacing w:after="0" w:line="226" w:lineRule="auto"/>
        <w:tabs>
          <w:tab w:leader="none" w:pos="505" w:val="left"/>
        </w:tabs>
        <w:numPr>
          <w:ilvl w:val="0"/>
          <w:numId w:val="4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commercial and corporate obligations, $10.7 million have maturity dates of less than one year and $0.0 million have a maturity date of between one to two years as of December 31, 2024.</w:t>
      </w:r>
    </w:p>
    <w:p>
      <w:pPr>
        <w:spacing w:after="0" w:line="21" w:lineRule="exact"/>
        <w:rPr>
          <w:rFonts w:ascii="Times New Roman" w:cs="Times New Roman" w:eastAsia="Times New Roman" w:hAnsi="Times New Roman"/>
          <w:sz w:val="26"/>
          <w:szCs w:val="26"/>
          <w:color w:val="auto"/>
          <w:vertAlign w:val="superscript"/>
        </w:rPr>
      </w:pPr>
    </w:p>
    <w:p>
      <w:pPr>
        <w:ind w:left="550" w:right="240" w:hanging="550"/>
        <w:spacing w:after="0" w:line="226" w:lineRule="auto"/>
        <w:tabs>
          <w:tab w:leader="none" w:pos="505" w:val="left"/>
        </w:tabs>
        <w:numPr>
          <w:ilvl w:val="0"/>
          <w:numId w:val="4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U.S. Treasury securities, $249.0 million have maturity dates of less than one year and $35.5 million have a maturity date of between one to two years as of December 31, 2024.</w:t>
      </w:r>
    </w:p>
    <w:p>
      <w:pPr>
        <w:spacing w:after="0" w:line="222" w:lineRule="exact"/>
        <w:rPr>
          <w:sz w:val="20"/>
          <w:szCs w:val="20"/>
          <w:color w:val="auto"/>
        </w:rPr>
      </w:pPr>
    </w:p>
    <w:p>
      <w:pPr>
        <w:ind w:left="10" w:right="440" w:firstLine="630"/>
        <w:spacing w:after="0" w:line="285" w:lineRule="auto"/>
        <w:rPr>
          <w:sz w:val="20"/>
          <w:szCs w:val="20"/>
          <w:color w:val="auto"/>
        </w:rPr>
      </w:pPr>
      <w:r>
        <w:rPr>
          <w:rFonts w:ascii="Times New Roman" w:cs="Times New Roman" w:eastAsia="Times New Roman" w:hAnsi="Times New Roman"/>
          <w:sz w:val="19"/>
          <w:szCs w:val="19"/>
          <w:color w:val="auto"/>
        </w:rPr>
        <w:t>The aggregate market value, cost basis, and gross unrealized gains and losses of available-for-sale investments by security type, classified in cash equivalents, short-term and long-term investments as of December 31, 2023 are as follows:</w:t>
      </w:r>
    </w:p>
    <w:tbl>
      <w:tblPr>
        <w:tblLayout w:type="fixed"/>
        <w:tblInd w:w="50" w:type="dxa"/>
        <w:tblCellMar>
          <w:top w:w="0" w:type="dxa"/>
          <w:left w:w="0" w:type="dxa"/>
          <w:bottom w:w="0" w:type="dxa"/>
          <w:right w:w="0" w:type="dxa"/>
        </w:tblCellMar>
      </w:tblPr>
      <w:tr>
        <w:trPr>
          <w:trHeight w:val="163"/>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28"/>
              <w:spacing w:after="0" w:line="16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0"/>
        </w:trPr>
        <w:tc>
          <w:tcPr>
            <w:tcW w:w="4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76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98"/>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Agency securities</w:t>
            </w:r>
            <w:r>
              <w:rPr>
                <w:rFonts w:ascii="Times New Roman" w:cs="Times New Roman" w:eastAsia="Times New Roman" w:hAnsi="Times New Roman"/>
                <w:sz w:val="26"/>
                <w:szCs w:val="26"/>
                <w:color w:val="auto"/>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20,322</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20,253</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Commercial and corporate obligations</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35,760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35,754</w:t>
            </w:r>
          </w:p>
        </w:tc>
        <w:tc>
          <w:tcPr>
            <w:tcW w:w="0" w:type="dxa"/>
            <w:vAlign w:val="bottom"/>
          </w:tcPr>
          <w:p>
            <w:pPr>
              <w:spacing w:after="0"/>
              <w:rPr>
                <w:sz w:val="1"/>
                <w:szCs w:val="1"/>
                <w:color w:val="auto"/>
              </w:rPr>
            </w:pPr>
          </w:p>
        </w:tc>
      </w:tr>
      <w:tr>
        <w:trPr>
          <w:trHeight w:val="282"/>
        </w:trPr>
        <w:tc>
          <w:tcPr>
            <w:tcW w:w="476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US Treasury securities</w:t>
            </w:r>
            <w:r>
              <w:rPr>
                <w:rFonts w:ascii="Times New Roman" w:cs="Times New Roman" w:eastAsia="Times New Roman" w:hAnsi="Times New Roman"/>
                <w:sz w:val="26"/>
                <w:szCs w:val="26"/>
                <w:color w:val="auto"/>
                <w:vertAlign w:val="superscript"/>
              </w:rPr>
              <w:t>(4)</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326,227</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325,714</w:t>
            </w:r>
          </w:p>
        </w:tc>
        <w:tc>
          <w:tcPr>
            <w:tcW w:w="0" w:type="dxa"/>
            <w:vAlign w:val="bottom"/>
          </w:tcPr>
          <w:p>
            <w:pPr>
              <w:spacing w:after="0"/>
              <w:rPr>
                <w:sz w:val="1"/>
                <w:szCs w:val="1"/>
                <w:color w:val="auto"/>
              </w:rPr>
            </w:pPr>
          </w:p>
        </w:tc>
      </w:tr>
      <w:tr>
        <w:trPr>
          <w:trHeight w:val="260"/>
        </w:trPr>
        <w:tc>
          <w:tcPr>
            <w:tcW w:w="4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Total available-for-sale investments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382,555</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381,965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-209550</wp:posOffset>
                </wp:positionV>
                <wp:extent cx="30480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4999pt" to="240pt,-1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3924300</wp:posOffset>
                </wp:positionH>
                <wp:positionV relativeFrom="paragraph">
                  <wp:posOffset>-209550</wp:posOffset>
                </wp:positionV>
                <wp:extent cx="17526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pt,-16.4999pt" to="447pt,-16.49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-983615</wp:posOffset>
            </wp:positionV>
            <wp:extent cx="6543675" cy="1003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6543675" cy="1003300"/>
                    </a:xfrm>
                    <a:prstGeom prst="rect">
                      <a:avLst/>
                    </a:prstGeom>
                    <a:noFill/>
                  </pic:spPr>
                </pic:pic>
              </a:graphicData>
            </a:graphic>
          </wp:anchor>
        </w:drawing>
      </w:r>
    </w:p>
    <w:p>
      <w:pPr>
        <w:spacing w:after="0" w:line="228" w:lineRule="exact"/>
        <w:rPr>
          <w:sz w:val="20"/>
          <w:szCs w:val="20"/>
          <w:color w:val="auto"/>
        </w:rPr>
      </w:pPr>
    </w:p>
    <w:p>
      <w:pPr>
        <w:ind w:left="550" w:right="420" w:hanging="550"/>
        <w:spacing w:after="0" w:line="226" w:lineRule="auto"/>
        <w:tabs>
          <w:tab w:leader="none" w:pos="505" w:val="left"/>
        </w:tabs>
        <w:numPr>
          <w:ilvl w:val="0"/>
          <w:numId w:val="4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agency securities, $20.3 million have maturity dates of less than one year and $0.0 million have a maturity date of between one to two years as of December 31, 2023.</w:t>
      </w:r>
    </w:p>
    <w:p>
      <w:pPr>
        <w:spacing w:after="0" w:line="21" w:lineRule="exact"/>
        <w:rPr>
          <w:rFonts w:ascii="Times New Roman" w:cs="Times New Roman" w:eastAsia="Times New Roman" w:hAnsi="Times New Roman"/>
          <w:sz w:val="26"/>
          <w:szCs w:val="26"/>
          <w:color w:val="auto"/>
          <w:vertAlign w:val="superscript"/>
        </w:rPr>
      </w:pPr>
    </w:p>
    <w:p>
      <w:pPr>
        <w:ind w:left="550" w:right="120" w:hanging="550"/>
        <w:spacing w:after="0" w:line="226" w:lineRule="auto"/>
        <w:tabs>
          <w:tab w:leader="none" w:pos="505" w:val="left"/>
        </w:tabs>
        <w:numPr>
          <w:ilvl w:val="0"/>
          <w:numId w:val="4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certificates of deposit, $0.2 million have a maturity date of less than one year and $0.0 million have a maturity date of between one to two years as of December 31, 2023.</w:t>
      </w:r>
    </w:p>
    <w:p>
      <w:pPr>
        <w:spacing w:after="0" w:line="2" w:lineRule="exact"/>
        <w:rPr>
          <w:rFonts w:ascii="Times New Roman" w:cs="Times New Roman" w:eastAsia="Times New Roman" w:hAnsi="Times New Roman"/>
          <w:sz w:val="26"/>
          <w:szCs w:val="26"/>
          <w:color w:val="auto"/>
          <w:vertAlign w:val="superscript"/>
        </w:rPr>
      </w:pPr>
    </w:p>
    <w:p>
      <w:pPr>
        <w:ind w:left="490" w:hanging="490"/>
        <w:spacing w:after="0" w:line="224" w:lineRule="auto"/>
        <w:tabs>
          <w:tab w:leader="none" w:pos="490" w:val="left"/>
        </w:tabs>
        <w:numPr>
          <w:ilvl w:val="0"/>
          <w:numId w:val="4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commercial and corporate obligations, $25.8 million have maturity dates of less than one year and</w:t>
      </w:r>
    </w:p>
    <w:p>
      <w:pPr>
        <w:spacing w:after="0" w:line="3"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$10.0 million have a maturity date of between one to two years as of December 31, 2023.</w:t>
      </w:r>
    </w:p>
    <w:p>
      <w:pPr>
        <w:spacing w:after="0" w:line="28" w:lineRule="exact"/>
        <w:rPr>
          <w:sz w:val="20"/>
          <w:szCs w:val="20"/>
          <w:color w:val="auto"/>
        </w:rPr>
      </w:pPr>
    </w:p>
    <w:p>
      <w:pPr>
        <w:ind w:left="550" w:right="240" w:hanging="550"/>
        <w:spacing w:after="0" w:line="226" w:lineRule="auto"/>
        <w:tabs>
          <w:tab w:leader="none" w:pos="505" w:val="left"/>
        </w:tabs>
        <w:numPr>
          <w:ilvl w:val="0"/>
          <w:numId w:val="4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U.S. Treasury securities, $308.6 million have maturity dates of less than one year and $17.1 million have a maturity date of between one to two years as of December 31, 2023.</w:t>
      </w:r>
    </w:p>
    <w:p>
      <w:pPr>
        <w:spacing w:after="0" w:line="222" w:lineRule="exact"/>
        <w:rPr>
          <w:sz w:val="20"/>
          <w:szCs w:val="20"/>
          <w:color w:val="auto"/>
        </w:rPr>
      </w:pPr>
    </w:p>
    <w:p>
      <w:pPr>
        <w:ind w:left="10" w:right="20" w:firstLine="630"/>
        <w:spacing w:after="0" w:line="266" w:lineRule="auto"/>
        <w:rPr>
          <w:sz w:val="20"/>
          <w:szCs w:val="20"/>
          <w:color w:val="auto"/>
        </w:rPr>
      </w:pPr>
      <w:r>
        <w:rPr>
          <w:rFonts w:ascii="Times New Roman" w:cs="Times New Roman" w:eastAsia="Times New Roman" w:hAnsi="Times New Roman"/>
          <w:sz w:val="20"/>
          <w:szCs w:val="20"/>
          <w:color w:val="auto"/>
        </w:rPr>
        <w:t>The following tables present gross unrealized losses and fair values for those investments that were in an unrealized loss position as of December 31, 2024 and December 31, 2023, aggregated by investment category and the length of time that individual securities have been in a continuous loss position:</w:t>
      </w:r>
    </w:p>
    <w:p>
      <w:pPr>
        <w:spacing w:after="0" w:line="33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2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4"/>
          </w:tcPr>
          <w:p>
            <w:pPr>
              <w:jc w:val="right"/>
              <w:ind w:right="40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4"/>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89"/>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89"/>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89"/>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0" w:type="dxa"/>
            <w:vAlign w:val="bottom"/>
          </w:tcPr>
          <w:p>
            <w:pPr>
              <w:spacing w:after="0"/>
              <w:rPr>
                <w:sz w:val="1"/>
                <w:szCs w:val="1"/>
                <w:color w:val="auto"/>
              </w:rPr>
            </w:pPr>
          </w:p>
        </w:tc>
      </w:tr>
      <w:tr>
        <w:trPr>
          <w:trHeight w:val="160"/>
        </w:trPr>
        <w:tc>
          <w:tcPr>
            <w:tcW w:w="2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3"/>
                <w:szCs w:val="13"/>
                <w:color w:val="auto"/>
              </w:rPr>
            </w:pPr>
          </w:p>
        </w:tc>
        <w:tc>
          <w:tcPr>
            <w:tcW w:w="980" w:type="dxa"/>
            <w:vAlign w:val="bottom"/>
            <w:vMerge w:val="restart"/>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1"/>
        </w:trPr>
        <w:tc>
          <w:tcPr>
            <w:tcW w:w="2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301"/>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Agency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303"/>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25,250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25,250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60"/>
        </w:trPr>
        <w:tc>
          <w:tcPr>
            <w:tcW w:w="2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32,829</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32,829</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2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4"/>
          </w:tcPr>
          <w:p>
            <w:pPr>
              <w:jc w:val="right"/>
              <w:ind w:right="40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4"/>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0" w:type="dxa"/>
            <w:vAlign w:val="bottom"/>
          </w:tcPr>
          <w:p>
            <w:pPr>
              <w:spacing w:after="0"/>
              <w:rPr>
                <w:sz w:val="1"/>
                <w:szCs w:val="1"/>
                <w:color w:val="auto"/>
              </w:rPr>
            </w:pPr>
          </w:p>
        </w:tc>
      </w:tr>
      <w:tr>
        <w:trPr>
          <w:trHeight w:val="160"/>
        </w:trPr>
        <w:tc>
          <w:tcPr>
            <w:tcW w:w="2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3"/>
                <w:szCs w:val="13"/>
                <w:color w:val="auto"/>
              </w:rPr>
            </w:pPr>
          </w:p>
        </w:tc>
        <w:tc>
          <w:tcPr>
            <w:tcW w:w="980" w:type="dxa"/>
            <w:vAlign w:val="bottom"/>
            <w:vMerge w:val="restart"/>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1"/>
        </w:trPr>
        <w:tc>
          <w:tcPr>
            <w:tcW w:w="2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301"/>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Agency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7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0"/>
        </w:trPr>
        <w:tc>
          <w:tcPr>
            <w:tcW w:w="29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Commercial and corporate</w:t>
            </w: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15,200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20,360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obligations</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98,840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99,000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197,840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0" w:type="dxa"/>
            <w:vAlign w:val="bottom"/>
          </w:tcPr>
          <w:p>
            <w:pPr>
              <w:spacing w:after="0"/>
              <w:rPr>
                <w:sz w:val="1"/>
                <w:szCs w:val="1"/>
                <w:color w:val="auto"/>
              </w:rPr>
            </w:pPr>
          </w:p>
        </w:tc>
      </w:tr>
      <w:tr>
        <w:trPr>
          <w:trHeight w:val="260"/>
        </w:trPr>
        <w:tc>
          <w:tcPr>
            <w:tcW w:w="2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132,167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238,697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-2599690</wp:posOffset>
            </wp:positionV>
            <wp:extent cx="6553200" cy="622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6553200" cy="622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-1069340</wp:posOffset>
            </wp:positionV>
            <wp:extent cx="6553200" cy="1089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6553200" cy="1089025"/>
                    </a:xfrm>
                    <a:prstGeom prst="rect">
                      <a:avLst/>
                    </a:prstGeom>
                    <a:noFill/>
                  </pic:spPr>
                </pic:pic>
              </a:graphicData>
            </a:graphic>
          </wp:anchor>
        </w:drawing>
      </w:r>
    </w:p>
    <w:p>
      <w:pPr>
        <w:spacing w:after="0" w:line="228" w:lineRule="exact"/>
        <w:rPr>
          <w:sz w:val="20"/>
          <w:szCs w:val="20"/>
          <w:color w:val="auto"/>
        </w:rPr>
      </w:pPr>
    </w:p>
    <w:p>
      <w:pPr>
        <w:ind w:left="10" w:right="80" w:firstLine="630"/>
        <w:spacing w:after="0" w:line="286" w:lineRule="auto"/>
        <w:rPr>
          <w:sz w:val="20"/>
          <w:szCs w:val="20"/>
          <w:color w:val="auto"/>
        </w:rPr>
      </w:pPr>
      <w:r>
        <w:rPr>
          <w:rFonts w:ascii="Times New Roman" w:cs="Times New Roman" w:eastAsia="Times New Roman" w:hAnsi="Times New Roman"/>
          <w:sz w:val="19"/>
          <w:szCs w:val="19"/>
          <w:color w:val="auto"/>
        </w:rPr>
        <w:t>As of December 31, 2024 and 2023, unrealized losses on available-for-sale investments were less than $0.1 million and $0.8 million, respectively, with no unrealized losses, on available for sale investments that were in an unrealized loss position for greater than 12 months as of December 31, 2024. We do not intend to sell the investments and it is not more likely than not</w:t>
      </w:r>
    </w:p>
    <w:p>
      <w:pPr>
        <w:sectPr>
          <w:pgSz w:w="12240" w:h="15840" w:orient="portrait"/>
          <w:cols w:equalWidth="0" w:num="1">
            <w:col w:w="10270"/>
          </w:cols>
          <w:pgMar w:left="990" w:top="793" w:right="980" w:bottom="0" w:gutter="0" w:footer="0" w:header="0"/>
        </w:sectPr>
      </w:pPr>
    </w:p>
    <w:p>
      <w:pPr>
        <w:spacing w:after="0" w:line="38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270"/>
          </w:cols>
          <w:pgMar w:left="990" w:top="793" w:right="980" w:bottom="0" w:gutter="0" w:footer="0" w:header="0"/>
          <w:type w:val="continuous"/>
        </w:sectPr>
      </w:pPr>
    </w:p>
    <w:bookmarkStart w:id="89" w:name="page90"/>
    <w:bookmarkEnd w:id="89"/>
    <w:p>
      <w:pPr>
        <w:ind w:left="10" w:right="440"/>
        <w:spacing w:after="0" w:line="281" w:lineRule="auto"/>
        <w:rPr>
          <w:sz w:val="20"/>
          <w:szCs w:val="20"/>
          <w:color w:val="auto"/>
        </w:rPr>
      </w:pPr>
      <w:r>
        <w:rPr>
          <w:rFonts w:ascii="Times New Roman" w:cs="Times New Roman" w:eastAsia="Times New Roman" w:hAnsi="Times New Roman"/>
          <w:sz w:val="20"/>
          <w:szCs w:val="20"/>
          <w:color w:val="auto"/>
        </w:rPr>
        <w:t>that we will be required to sell the investments before recovery of their amortized cost basis, accordingly, no allowance for credit losses was recorded.</w:t>
      </w:r>
    </w:p>
    <w:p>
      <w:pPr>
        <w:spacing w:after="0" w:line="294" w:lineRule="exact"/>
        <w:rPr>
          <w:sz w:val="20"/>
          <w:szCs w:val="20"/>
          <w:color w:val="auto"/>
        </w:rPr>
      </w:pPr>
    </w:p>
    <w:p>
      <w:pPr>
        <w:ind w:left="270" w:right="8260" w:hanging="270"/>
        <w:spacing w:after="0" w:line="379" w:lineRule="auto"/>
        <w:tabs>
          <w:tab w:leader="none" w:pos="20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Stockholders’ Equity </w:t>
      </w:r>
      <w:r>
        <w:rPr>
          <w:rFonts w:ascii="Times New Roman" w:cs="Times New Roman" w:eastAsia="Times New Roman" w:hAnsi="Times New Roman"/>
          <w:sz w:val="20"/>
          <w:szCs w:val="20"/>
          <w:b w:val="1"/>
          <w:bCs w:val="1"/>
          <w:i w:val="1"/>
          <w:iCs w:val="1"/>
          <w:color w:val="auto"/>
        </w:rPr>
        <w:t>Common Stock</w:t>
      </w:r>
    </w:p>
    <w:p>
      <w:pPr>
        <w:spacing w:after="0" w:line="1" w:lineRule="exact"/>
        <w:rPr>
          <w:sz w:val="20"/>
          <w:szCs w:val="20"/>
          <w:color w:val="auto"/>
        </w:rPr>
      </w:pPr>
    </w:p>
    <w:p>
      <w:pPr>
        <w:ind w:left="10" w:right="920" w:firstLine="630"/>
        <w:spacing w:after="0" w:line="281" w:lineRule="auto"/>
        <w:rPr>
          <w:sz w:val="20"/>
          <w:szCs w:val="20"/>
          <w:color w:val="auto"/>
        </w:rPr>
      </w:pPr>
      <w:r>
        <w:rPr>
          <w:rFonts w:ascii="Times New Roman" w:cs="Times New Roman" w:eastAsia="Times New Roman" w:hAnsi="Times New Roman"/>
          <w:sz w:val="20"/>
          <w:szCs w:val="20"/>
          <w:color w:val="auto"/>
        </w:rPr>
        <w:t>Of the 500,000,000 shares of common stock authorized, 30,473,443 shares were issued and outstanding as of December 31, 2024.</w:t>
      </w:r>
    </w:p>
    <w:p>
      <w:pPr>
        <w:spacing w:after="0" w:line="5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i w:val="1"/>
          <w:iCs w:val="1"/>
          <w:color w:val="auto"/>
        </w:rPr>
        <w:t>Stock Repurchase Program</w:t>
      </w:r>
    </w:p>
    <w:p>
      <w:pPr>
        <w:spacing w:after="0" w:line="139" w:lineRule="exact"/>
        <w:rPr>
          <w:sz w:val="20"/>
          <w:szCs w:val="20"/>
          <w:color w:val="auto"/>
        </w:rPr>
      </w:pPr>
    </w:p>
    <w:p>
      <w:pPr>
        <w:ind w:left="10" w:right="220" w:firstLine="630"/>
        <w:spacing w:after="0" w:line="260" w:lineRule="auto"/>
        <w:rPr>
          <w:sz w:val="20"/>
          <w:szCs w:val="20"/>
          <w:color w:val="auto"/>
        </w:rPr>
      </w:pPr>
      <w:r>
        <w:rPr>
          <w:rFonts w:ascii="Times New Roman" w:cs="Times New Roman" w:eastAsia="Times New Roman" w:hAnsi="Times New Roman"/>
          <w:sz w:val="20"/>
          <w:szCs w:val="20"/>
          <w:color w:val="auto"/>
        </w:rPr>
        <w:t>In January 2023, our Board of Directors authorized a stock repurchase program (the “Repurchase Program”) to repurchase up to $50.0 million of our outstanding common stock. The Repurchase Program was completed in May 2023. The following table presents the repurchase activity from January 1, 2023 through May 5, 2023, the end date of the Repurchase Program:</w:t>
      </w:r>
    </w:p>
    <w:p>
      <w:pPr>
        <w:spacing w:after="0" w:line="122"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0" w:type="dxa"/>
            <w:vAlign w:val="bottom"/>
          </w:tcPr>
          <w:p>
            <w:pPr>
              <w:spacing w:after="0"/>
              <w:rPr>
                <w:sz w:val="1"/>
                <w:szCs w:val="1"/>
                <w:color w:val="auto"/>
              </w:rPr>
            </w:pPr>
          </w:p>
        </w:tc>
      </w:tr>
      <w:tr>
        <w:trPr>
          <w:trHeight w:val="160"/>
        </w:trPr>
        <w:tc>
          <w:tcPr>
            <w:tcW w:w="5420" w:type="dxa"/>
            <w:vAlign w:val="bottom"/>
          </w:tcPr>
          <w:p>
            <w:pPr>
              <w:spacing w:after="0"/>
              <w:rPr>
                <w:sz w:val="13"/>
                <w:szCs w:val="13"/>
                <w:color w:val="auto"/>
              </w:rPr>
            </w:pPr>
          </w:p>
        </w:tc>
        <w:tc>
          <w:tcPr>
            <w:tcW w:w="1560" w:type="dxa"/>
            <w:vAlign w:val="bottom"/>
            <w:vMerge w:val="restart"/>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60" w:type="dxa"/>
            <w:vAlign w:val="bottom"/>
          </w:tcPr>
          <w:p>
            <w:pPr>
              <w:spacing w:after="0"/>
              <w:rPr>
                <w:sz w:val="13"/>
                <w:szCs w:val="13"/>
                <w:color w:val="auto"/>
              </w:rPr>
            </w:pPr>
          </w:p>
        </w:tc>
        <w:tc>
          <w:tcPr>
            <w:tcW w:w="1560" w:type="dxa"/>
            <w:vAlign w:val="bottom"/>
            <w:gridSpan w:val="2"/>
            <w:vMerge w:val="restart"/>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6"/>
                <w:szCs w:val="16"/>
                <w:b w:val="1"/>
                <w:bCs w:val="1"/>
                <w:color w:val="auto"/>
              </w:rPr>
              <w:t>value of shares</w:t>
            </w:r>
          </w:p>
        </w:tc>
        <w:tc>
          <w:tcPr>
            <w:tcW w:w="0" w:type="dxa"/>
            <w:vAlign w:val="bottom"/>
          </w:tcPr>
          <w:p>
            <w:pPr>
              <w:spacing w:after="0"/>
              <w:rPr>
                <w:sz w:val="1"/>
                <w:szCs w:val="1"/>
                <w:color w:val="auto"/>
              </w:rPr>
            </w:pPr>
          </w:p>
        </w:tc>
      </w:tr>
      <w:tr>
        <w:trPr>
          <w:trHeight w:val="160"/>
        </w:trPr>
        <w:tc>
          <w:tcPr>
            <w:tcW w:w="54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6"/>
                <w:szCs w:val="16"/>
                <w:b w:val="1"/>
                <w:bCs w:val="1"/>
                <w:color w:val="auto"/>
                <w:w w:val="98"/>
              </w:rPr>
              <w:t>purchased</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1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92"/>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First Quarter 2023</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1,589,424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24.19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38,456</w:t>
            </w:r>
          </w:p>
        </w:tc>
        <w:tc>
          <w:tcPr>
            <w:tcW w:w="0" w:type="dxa"/>
            <w:vAlign w:val="bottom"/>
          </w:tcPr>
          <w:p>
            <w:pPr>
              <w:spacing w:after="0"/>
              <w:rPr>
                <w:sz w:val="1"/>
                <w:szCs w:val="1"/>
                <w:color w:val="auto"/>
              </w:rPr>
            </w:pPr>
          </w:p>
        </w:tc>
      </w:tr>
      <w:tr>
        <w:trPr>
          <w:trHeight w:val="318"/>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Second Quarter 2023</w:t>
            </w:r>
          </w:p>
        </w:tc>
        <w:tc>
          <w:tcPr>
            <w:tcW w:w="1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534,790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21.59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11,544</w:t>
            </w:r>
          </w:p>
        </w:tc>
        <w:tc>
          <w:tcPr>
            <w:tcW w:w="0" w:type="dxa"/>
            <w:vAlign w:val="bottom"/>
          </w:tcPr>
          <w:p>
            <w:pPr>
              <w:spacing w:after="0"/>
              <w:rPr>
                <w:sz w:val="1"/>
                <w:szCs w:val="1"/>
                <w:color w:val="auto"/>
              </w:rPr>
            </w:pPr>
          </w:p>
        </w:tc>
      </w:tr>
      <w:tr>
        <w:trPr>
          <w:trHeight w:val="275"/>
        </w:trPr>
        <w:tc>
          <w:tcPr>
            <w:tcW w:w="5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2,124,214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50,000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-631190</wp:posOffset>
            </wp:positionV>
            <wp:extent cx="6553200" cy="650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6553200" cy="650875"/>
                    </a:xfrm>
                    <a:prstGeom prst="rect">
                      <a:avLst/>
                    </a:prstGeom>
                    <a:noFill/>
                  </pic:spPr>
                </pic:pic>
              </a:graphicData>
            </a:graphic>
          </wp:anchor>
        </w:drawing>
      </w:r>
    </w:p>
    <w:p>
      <w:pPr>
        <w:spacing w:after="0" w:line="108" w:lineRule="exact"/>
        <w:rPr>
          <w:sz w:val="20"/>
          <w:szCs w:val="20"/>
          <w:color w:val="auto"/>
        </w:rPr>
      </w:pPr>
    </w:p>
    <w:p>
      <w:pPr>
        <w:ind w:left="10" w:right="180" w:firstLine="630"/>
        <w:spacing w:after="0" w:line="309" w:lineRule="auto"/>
        <w:rPr>
          <w:sz w:val="20"/>
          <w:szCs w:val="20"/>
          <w:color w:val="auto"/>
        </w:rPr>
      </w:pPr>
      <w:r>
        <w:rPr>
          <w:rFonts w:ascii="Times New Roman" w:cs="Times New Roman" w:eastAsia="Times New Roman" w:hAnsi="Times New Roman"/>
          <w:sz w:val="19"/>
          <w:szCs w:val="19"/>
          <w:color w:val="auto"/>
        </w:rPr>
        <w:t>The repurchased common stock was subsequently retired after the repurchase and the par value of the shares was charged to common stock. The excess of the repurchase price over the par value was applied against additional paid in capital.</w:t>
      </w:r>
    </w:p>
    <w:p>
      <w:pPr>
        <w:spacing w:after="0" w:line="28"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i w:val="1"/>
          <w:iCs w:val="1"/>
          <w:color w:val="auto"/>
        </w:rPr>
        <w:t>Open Market Sales Agreement</w:t>
      </w:r>
    </w:p>
    <w:p>
      <w:pPr>
        <w:spacing w:after="0" w:line="139" w:lineRule="exact"/>
        <w:rPr>
          <w:sz w:val="20"/>
          <w:szCs w:val="20"/>
          <w:color w:val="auto"/>
        </w:rPr>
      </w:pPr>
    </w:p>
    <w:p>
      <w:pPr>
        <w:ind w:left="10" w:right="120" w:firstLine="630"/>
        <w:spacing w:after="0" w:line="258" w:lineRule="auto"/>
        <w:rPr>
          <w:sz w:val="20"/>
          <w:szCs w:val="20"/>
          <w:color w:val="auto"/>
        </w:rPr>
      </w:pPr>
      <w:r>
        <w:rPr>
          <w:rFonts w:ascii="Times New Roman" w:cs="Times New Roman" w:eastAsia="Times New Roman" w:hAnsi="Times New Roman"/>
          <w:sz w:val="20"/>
          <w:szCs w:val="20"/>
          <w:color w:val="auto"/>
        </w:rPr>
        <w:t>In November 2024, we entered into a sales agreement with TD Securities (USA) LLC (“TD Cowen”), through which we may offer and sell shares of our common stock, having an aggregate offering of up to $100.0 million through TD Cowen as our sales agent. Our prior sales agreement with Cowen terminated upon effectiveness of the registration statement on the Form S-3 we filed in connection with our sales agreement with TD Cowen. As of December 31, 2024, we had sold no shares under this agreement.</w:t>
      </w:r>
    </w:p>
    <w:p>
      <w:pPr>
        <w:spacing w:after="0" w:line="75"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i w:val="1"/>
          <w:iCs w:val="1"/>
          <w:color w:val="auto"/>
        </w:rPr>
        <w:t>Underwriting Agreement</w:t>
      </w:r>
    </w:p>
    <w:p>
      <w:pPr>
        <w:spacing w:after="0" w:line="139" w:lineRule="exact"/>
        <w:rPr>
          <w:sz w:val="20"/>
          <w:szCs w:val="20"/>
          <w:color w:val="auto"/>
        </w:rPr>
      </w:pPr>
    </w:p>
    <w:p>
      <w:pPr>
        <w:ind w:left="10" w:right="140" w:firstLine="800"/>
        <w:spacing w:after="0" w:line="258" w:lineRule="auto"/>
        <w:rPr>
          <w:sz w:val="20"/>
          <w:szCs w:val="20"/>
          <w:color w:val="auto"/>
        </w:rPr>
      </w:pPr>
      <w:r>
        <w:rPr>
          <w:rFonts w:ascii="Times New Roman" w:cs="Times New Roman" w:eastAsia="Times New Roman" w:hAnsi="Times New Roman"/>
          <w:sz w:val="20"/>
          <w:szCs w:val="20"/>
          <w:color w:val="auto"/>
        </w:rPr>
        <w:t>In August 2024, we entered into an underwriting agreement with TD Securities (USA) LLC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spacing w:after="0" w:line="317" w:lineRule="exact"/>
        <w:rPr>
          <w:sz w:val="20"/>
          <w:szCs w:val="20"/>
          <w:color w:val="auto"/>
        </w:rPr>
      </w:pPr>
    </w:p>
    <w:p>
      <w:pPr>
        <w:ind w:left="270" w:right="7760" w:hanging="270"/>
        <w:spacing w:after="0" w:line="399" w:lineRule="auto"/>
        <w:tabs>
          <w:tab w:leader="none" w:pos="200"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Equity Incentive Plans </w:t>
      </w:r>
      <w:r>
        <w:rPr>
          <w:rFonts w:ascii="Times New Roman" w:cs="Times New Roman" w:eastAsia="Times New Roman" w:hAnsi="Times New Roman"/>
          <w:sz w:val="19"/>
          <w:szCs w:val="19"/>
          <w:b w:val="1"/>
          <w:bCs w:val="1"/>
          <w:i w:val="1"/>
          <w:iCs w:val="1"/>
          <w:color w:val="auto"/>
        </w:rPr>
        <w:t>2017 Equity Incentive Plan</w:t>
      </w:r>
    </w:p>
    <w:p>
      <w:pPr>
        <w:spacing w:after="0" w:line="1" w:lineRule="exact"/>
        <w:rPr>
          <w:sz w:val="20"/>
          <w:szCs w:val="20"/>
          <w:color w:val="auto"/>
        </w:rPr>
      </w:pPr>
    </w:p>
    <w:p>
      <w:pPr>
        <w:ind w:left="10" w:right="20" w:firstLine="630"/>
        <w:spacing w:after="0" w:line="269" w:lineRule="auto"/>
        <w:rPr>
          <w:sz w:val="20"/>
          <w:szCs w:val="20"/>
          <w:color w:val="auto"/>
        </w:rPr>
      </w:pPr>
      <w:r>
        <w:rPr>
          <w:rFonts w:ascii="Times New Roman" w:cs="Times New Roman" w:eastAsia="Times New Roman" w:hAnsi="Times New Roman"/>
          <w:sz w:val="19"/>
          <w:szCs w:val="19"/>
          <w:color w:val="auto"/>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were to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1,063,871 shares as of January 1, 2024. At our annual stockholder meeting on June 12, 2024, the 2017 Plan was amended, eliminating the automatic annual share increase and the number of shares available for issuance was increased by 2,700,000 shares. All future share increases will require stockholder approval. As of December 31, 2024, 2,882,340 shares were available for future issuance.</w:t>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270"/>
          </w:cols>
          <w:pgMar w:left="990" w:top="793" w:right="980" w:bottom="0" w:gutter="0" w:footer="0" w:header="0"/>
          <w:type w:val="continuous"/>
        </w:sectPr>
      </w:pPr>
    </w:p>
    <w:bookmarkStart w:id="90" w:name="page91"/>
    <w:bookmarkEnd w:id="90"/>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139"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0"/>
          <w:szCs w:val="20"/>
          <w:color w:val="auto"/>
        </w:rPr>
        <w:t>In January 2017, our Board of Directors and stockholders approved and adopted the 2017 Employee Stock Purchase Plan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265,967 shares as of January 1, 2024. As of December 31, 2024, 181,078 shares have been issued under the ESPP. As of December 31, 2024, 1,917,729 shares were available for future issuance under the ESPP.</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39"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0"/>
          <w:szCs w:val="20"/>
          <w:color w:val="auto"/>
        </w:rPr>
        <w:t>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year ended December 31, 2024 is as follows: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0"/>
        </w:trPr>
        <w:tc>
          <w:tcPr>
            <w:tcW w:w="42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187"/>
              <w:spacing w:after="0" w:line="16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1"/>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60"/>
        </w:trPr>
        <w:tc>
          <w:tcPr>
            <w:tcW w:w="422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Subject to</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167"/>
              <w:spacing w:after="0" w:line="160"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1"/>
              <w:spacing w:after="0" w:line="160" w:lineRule="exact"/>
              <w:rPr>
                <w:sz w:val="20"/>
                <w:szCs w:val="20"/>
                <w:color w:val="auto"/>
              </w:rPr>
            </w:pPr>
            <w:r>
              <w:rPr>
                <w:rFonts w:ascii="Times New Roman" w:cs="Times New Roman" w:eastAsia="Times New Roman" w:hAnsi="Times New Roman"/>
                <w:sz w:val="16"/>
                <w:szCs w:val="16"/>
                <w:b w:val="1"/>
                <w:bCs w:val="1"/>
                <w:color w:val="auto"/>
                <w:w w:val="98"/>
              </w:rPr>
              <w:t>Value (in</w:t>
            </w:r>
          </w:p>
        </w:tc>
        <w:tc>
          <w:tcPr>
            <w:tcW w:w="0" w:type="dxa"/>
            <w:vAlign w:val="bottom"/>
          </w:tcPr>
          <w:p>
            <w:pPr>
              <w:spacing w:after="0"/>
              <w:rPr>
                <w:sz w:val="1"/>
                <w:szCs w:val="1"/>
                <w:color w:val="auto"/>
              </w:rPr>
            </w:pPr>
          </w:p>
        </w:tc>
      </w:tr>
      <w:tr>
        <w:trPr>
          <w:trHeight w:val="214"/>
        </w:trPr>
        <w:tc>
          <w:tcPr>
            <w:tcW w:w="42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67"/>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Term (in years)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thousands)</w:t>
            </w:r>
          </w:p>
        </w:tc>
        <w:tc>
          <w:tcPr>
            <w:tcW w:w="0" w:type="dxa"/>
            <w:vAlign w:val="bottom"/>
          </w:tcPr>
          <w:p>
            <w:pPr>
              <w:spacing w:after="0"/>
              <w:rPr>
                <w:sz w:val="1"/>
                <w:szCs w:val="1"/>
                <w:color w:val="auto"/>
              </w:rPr>
            </w:pPr>
          </w:p>
        </w:tc>
      </w:tr>
      <w:tr>
        <w:trPr>
          <w:trHeight w:val="277"/>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4,225,615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27.36</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5,827</w:t>
            </w:r>
          </w:p>
        </w:tc>
        <w:tc>
          <w:tcPr>
            <w:tcW w:w="0" w:type="dxa"/>
            <w:vAlign w:val="bottom"/>
          </w:tcPr>
          <w:p>
            <w:pPr>
              <w:spacing w:after="0"/>
              <w:rPr>
                <w:sz w:val="1"/>
                <w:szCs w:val="1"/>
                <w:color w:val="auto"/>
              </w:rPr>
            </w:pPr>
          </w:p>
        </w:tc>
      </w:tr>
      <w:tr>
        <w:trPr>
          <w:trHeight w:val="30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2,423,788</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21.81</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Exercises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(282,210)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18.96</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Forfeitures and cancellations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(280,904)</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34.74</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6,086,289</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Exercisable at December 31, 2024</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28.60</w:t>
            </w: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534</w:t>
            </w:r>
          </w:p>
        </w:tc>
        <w:tc>
          <w:tcPr>
            <w:tcW w:w="0" w:type="dxa"/>
            <w:vAlign w:val="bottom"/>
          </w:tcPr>
          <w:p>
            <w:pPr>
              <w:spacing w:after="0" w:line="20" w:lineRule="exact"/>
              <w:rPr>
                <w:sz w:val="1"/>
                <w:szCs w:val="1"/>
                <w:color w:val="auto"/>
              </w:rPr>
            </w:pPr>
          </w:p>
        </w:tc>
      </w:tr>
      <w:tr>
        <w:trPr>
          <w:trHeight w:val="260"/>
        </w:trPr>
        <w:tc>
          <w:tcPr>
            <w:tcW w:w="4220" w:type="dxa"/>
            <w:vAlign w:val="bottom"/>
            <w:vMerge w:val="continue"/>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2,829,196</w:t>
            </w:r>
          </w:p>
        </w:tc>
        <w:tc>
          <w:tcPr>
            <w:tcW w:w="34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620" w:type="dxa"/>
            <w:vAlign w:val="bottom"/>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-1148715</wp:posOffset>
            </wp:positionV>
            <wp:extent cx="6511925" cy="1168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extLst>
                    </a:blip>
                    <a:srcRect/>
                    <a:stretch>
                      <a:fillRect/>
                    </a:stretch>
                  </pic:blipFill>
                  <pic:spPr bwMode="auto">
                    <a:xfrm>
                      <a:off x="0" y="0"/>
                      <a:ext cx="6511925" cy="1168400"/>
                    </a:xfrm>
                    <a:prstGeom prst="rect">
                      <a:avLst/>
                    </a:prstGeom>
                    <a:noFill/>
                  </pic:spPr>
                </pic:pic>
              </a:graphicData>
            </a:graphic>
          </wp:anchor>
        </w:drawing>
      </w:r>
    </w:p>
    <w:p>
      <w:pPr>
        <w:spacing w:after="0" w:line="268" w:lineRule="exact"/>
        <w:rPr>
          <w:sz w:val="20"/>
          <w:szCs w:val="20"/>
          <w:color w:val="auto"/>
        </w:rPr>
      </w:pPr>
    </w:p>
    <w:p>
      <w:pPr>
        <w:jc w:val="both"/>
        <w:ind w:right="40" w:firstLine="630"/>
        <w:spacing w:after="0" w:line="281" w:lineRule="auto"/>
        <w:rPr>
          <w:sz w:val="20"/>
          <w:szCs w:val="20"/>
          <w:color w:val="auto"/>
        </w:rPr>
      </w:pPr>
      <w:r>
        <w:rPr>
          <w:rFonts w:ascii="Times New Roman" w:cs="Times New Roman" w:eastAsia="Times New Roman" w:hAnsi="Times New Roman"/>
          <w:sz w:val="20"/>
          <w:szCs w:val="20"/>
          <w:color w:val="auto"/>
        </w:rPr>
        <w:t>Total cash received from the exercise of stock options was approximately $5.3 million during the year ended December 31, 2024.</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Time-Based Restricted Stock Units</w:t>
      </w:r>
    </w:p>
    <w:p>
      <w:pPr>
        <w:spacing w:after="0" w:line="139" w:lineRule="exact"/>
        <w:rPr>
          <w:sz w:val="20"/>
          <w:szCs w:val="20"/>
          <w:color w:val="auto"/>
        </w:rPr>
      </w:pPr>
    </w:p>
    <w:p>
      <w:pPr>
        <w:ind w:right="20" w:firstLine="630"/>
        <w:spacing w:after="0" w:line="258" w:lineRule="auto"/>
        <w:rPr>
          <w:sz w:val="20"/>
          <w:szCs w:val="20"/>
          <w:color w:val="auto"/>
        </w:rPr>
      </w:pPr>
      <w:r>
        <w:rPr>
          <w:rFonts w:ascii="Times New Roman" w:cs="Times New Roman" w:eastAsia="Times New Roman" w:hAnsi="Times New Roman"/>
          <w:sz w:val="20"/>
          <w:szCs w:val="20"/>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43"/>
        </w:trPr>
        <w:tc>
          <w:tcPr>
            <w:tcW w:w="4700" w:type="dxa"/>
            <w:vAlign w:val="bottom"/>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restart"/>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3"/>
                <w:szCs w:val="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31"/>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Restricted Stock</w:t>
            </w:r>
          </w:p>
        </w:tc>
        <w:tc>
          <w:tcPr>
            <w:tcW w:w="6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60" w:type="dxa"/>
            <w:vAlign w:val="bottom"/>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31"/>
              <w:spacing w:after="0" w:line="160" w:lineRule="exact"/>
              <w:rPr>
                <w:sz w:val="20"/>
                <w:szCs w:val="20"/>
                <w:color w:val="auto"/>
              </w:rPr>
            </w:pPr>
            <w:r>
              <w:rPr>
                <w:rFonts w:ascii="Times New Roman" w:cs="Times New Roman" w:eastAsia="Times New Roman" w:hAnsi="Times New Roman"/>
                <w:sz w:val="16"/>
                <w:szCs w:val="16"/>
                <w:b w:val="1"/>
                <w:bCs w:val="1"/>
                <w:color w:val="auto"/>
                <w:w w:val="98"/>
              </w:rPr>
              <w:t>Value (in</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6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6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thousands)</w:t>
            </w: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2024</w:t>
            </w: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1,481,572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31,735</w:t>
            </w:r>
          </w:p>
        </w:tc>
        <w:tc>
          <w:tcPr>
            <w:tcW w:w="0" w:type="dxa"/>
            <w:vAlign w:val="bottom"/>
          </w:tcPr>
          <w:p>
            <w:pPr>
              <w:spacing w:after="0"/>
              <w:rPr>
                <w:sz w:val="1"/>
                <w:szCs w:val="1"/>
                <w:color w:val="auto"/>
              </w:rPr>
            </w:pPr>
          </w:p>
        </w:tc>
      </w:tr>
      <w:tr>
        <w:trPr>
          <w:trHeight w:val="30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882,385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21.81</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Released</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(1,108,333)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25.74</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Forfeitures and cancellations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25.37</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3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1,227,677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21.79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16,254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RSU expected to vest at December 31, 2024</w:t>
            </w: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1,227,677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21.79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-1156335</wp:posOffset>
            </wp:positionV>
            <wp:extent cx="6483350" cy="1177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extLst>
                    </a:blip>
                    <a:srcRect/>
                    <a:stretch>
                      <a:fillRect/>
                    </a:stretch>
                  </pic:blipFill>
                  <pic:spPr bwMode="auto">
                    <a:xfrm>
                      <a:off x="0" y="0"/>
                      <a:ext cx="6483350" cy="1177925"/>
                    </a:xfrm>
                    <a:prstGeom prst="rect">
                      <a:avLst/>
                    </a:prstGeom>
                    <a:noFill/>
                  </pic:spPr>
                </pic:pic>
              </a:graphicData>
            </a:graphic>
          </wp:anchor>
        </w:drawing>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Performance Stock Units</w:t>
      </w:r>
    </w:p>
    <w:p>
      <w:pPr>
        <w:spacing w:after="0" w:line="139"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20"/>
          <w:szCs w:val="20"/>
          <w:color w:val="auto"/>
        </w:rPr>
        <w:t>A Performance Stock Unit (“PSU”) represents one equivalent share of our common stock to be issued after achievement of the performance metrics specified in the grant. 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p>
      <w:pPr>
        <w:sectPr>
          <w:pgSz w:w="12240" w:h="15840" w:orient="portrait"/>
          <w:cols w:equalWidth="0" w:num="1">
            <w:col w:w="10220"/>
          </w:cols>
          <w:pgMar w:left="1000" w:top="784" w:right="102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20"/>
          </w:cols>
          <w:pgMar w:left="1000" w:top="784" w:right="1020" w:bottom="0" w:gutter="0" w:footer="0" w:header="0"/>
          <w:type w:val="continuous"/>
        </w:sectPr>
      </w:pPr>
    </w:p>
    <w:bookmarkStart w:id="91" w:name="page92"/>
    <w:bookmarkEnd w:id="91"/>
    <w:p>
      <w:pPr>
        <w:jc w:val="center"/>
        <w:ind w:left="436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jc w:val="center"/>
        <w:ind w:left="43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3927475</wp:posOffset>
                </wp:positionH>
                <wp:positionV relativeFrom="paragraph">
                  <wp:posOffset>13970</wp:posOffset>
                </wp:positionV>
                <wp:extent cx="141922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9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25pt,1.1pt" to="421pt,1.1pt" o:allowincell="f" strokecolor="#000000" strokeweight="1pt"/>
            </w:pict>
          </mc:Fallback>
        </mc:AlternateContent>
      </w:r>
    </w:p>
    <w:p>
      <w:pPr>
        <w:spacing w:after="0" w:line="76" w:lineRule="exact"/>
        <w:rPr>
          <w:sz w:val="20"/>
          <w:szCs w:val="20"/>
          <w:color w:val="auto"/>
        </w:rPr>
      </w:pPr>
    </w:p>
    <w:tbl>
      <w:tblPr>
        <w:tblLayout w:type="fixed"/>
        <w:tblInd w:w="1880" w:type="dxa"/>
        <w:tblCellMar>
          <w:top w:w="0" w:type="dxa"/>
          <w:left w:w="0" w:type="dxa"/>
          <w:bottom w:w="0" w:type="dxa"/>
          <w:right w:w="0" w:type="dxa"/>
        </w:tblCellMar>
      </w:tblPr>
      <w:tr>
        <w:trPr>
          <w:trHeight w:val="217"/>
        </w:trPr>
        <w:tc>
          <w:tcPr>
            <w:tcW w:w="4300" w:type="dxa"/>
            <w:vAlign w:val="bottom"/>
          </w:tcPr>
          <w:p>
            <w:pPr>
              <w:spacing w:after="0"/>
              <w:rPr>
                <w:sz w:val="18"/>
                <w:szCs w:val="18"/>
                <w:color w:val="auto"/>
              </w:rPr>
            </w:pPr>
          </w:p>
        </w:tc>
        <w:tc>
          <w:tcPr>
            <w:tcW w:w="200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r>
      <w:tr>
        <w:trPr>
          <w:trHeight w:val="277"/>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Volatility of common stock</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Contract term (in years)</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-575310</wp:posOffset>
            </wp:positionV>
            <wp:extent cx="4216400" cy="215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4216400" cy="215900"/>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-194310</wp:posOffset>
            </wp:positionV>
            <wp:extent cx="4216400" cy="215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4216400" cy="215900"/>
                    </a:xfrm>
                    <a:prstGeom prst="rect">
                      <a:avLst/>
                    </a:prstGeom>
                    <a:noFill/>
                  </pic:spPr>
                </pic:pic>
              </a:graphicData>
            </a:graphic>
          </wp:anchor>
        </w:drawing>
      </w:r>
    </w:p>
    <w:p>
      <w:pPr>
        <w:spacing w:after="0" w:line="151" w:lineRule="exact"/>
        <w:rPr>
          <w:sz w:val="20"/>
          <w:szCs w:val="20"/>
          <w:color w:val="auto"/>
        </w:rPr>
      </w:pPr>
    </w:p>
    <w:p>
      <w:pPr>
        <w:ind w:left="220" w:right="520" w:firstLine="270"/>
        <w:spacing w:after="0" w:line="260" w:lineRule="auto"/>
        <w:rPr>
          <w:sz w:val="20"/>
          <w:szCs w:val="20"/>
          <w:color w:val="auto"/>
        </w:rPr>
      </w:pPr>
      <w:r>
        <w:rPr>
          <w:rFonts w:ascii="Times New Roman" w:cs="Times New Roman" w:eastAsia="Times New Roman" w:hAnsi="Times New Roman"/>
          <w:sz w:val="20"/>
          <w:szCs w:val="20"/>
          <w:color w:val="auto"/>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requisite service period over which the compensation expense will be recognized is July 22, 2024 through July 1, 2028.</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The following table presents a summary of activity with respect to our PSUs:</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000" w:type="dxa"/>
            <w:vAlign w:val="bottom"/>
            <w:vMerge w:val="restart"/>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Number of Performance</w:t>
            </w:r>
          </w:p>
        </w:tc>
        <w:tc>
          <w:tcPr>
            <w:tcW w:w="80" w:type="dxa"/>
            <w:vAlign w:val="bottom"/>
          </w:tcPr>
          <w:p>
            <w:pPr>
              <w:spacing w:after="0"/>
              <w:rPr>
                <w:sz w:val="16"/>
                <w:szCs w:val="16"/>
                <w:color w:val="auto"/>
              </w:rPr>
            </w:pPr>
          </w:p>
        </w:tc>
        <w:tc>
          <w:tcPr>
            <w:tcW w:w="20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Weighted-Average Grant</w:t>
            </w:r>
          </w:p>
        </w:tc>
        <w:tc>
          <w:tcPr>
            <w:tcW w:w="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 Contractual</w:t>
            </w:r>
          </w:p>
        </w:tc>
        <w:tc>
          <w:tcPr>
            <w:tcW w:w="0" w:type="dxa"/>
            <w:vAlign w:val="bottom"/>
          </w:tcPr>
          <w:p>
            <w:pPr>
              <w:spacing w:after="0"/>
              <w:rPr>
                <w:sz w:val="1"/>
                <w:szCs w:val="1"/>
                <w:color w:val="auto"/>
              </w:rPr>
            </w:pPr>
          </w:p>
        </w:tc>
      </w:tr>
      <w:tr>
        <w:trPr>
          <w:trHeight w:val="214"/>
        </w:trPr>
        <w:tc>
          <w:tcPr>
            <w:tcW w:w="4300" w:type="dxa"/>
            <w:vAlign w:val="bottom"/>
          </w:tcPr>
          <w:p>
            <w:pPr>
              <w:spacing w:after="0"/>
              <w:rPr>
                <w:sz w:val="18"/>
                <w:szCs w:val="18"/>
                <w:color w:val="auto"/>
              </w:rPr>
            </w:pPr>
          </w:p>
        </w:tc>
        <w:tc>
          <w:tcPr>
            <w:tcW w:w="200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6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Term (in years)</w:t>
            </w:r>
          </w:p>
        </w:tc>
        <w:tc>
          <w:tcPr>
            <w:tcW w:w="0" w:type="dxa"/>
            <w:vAlign w:val="bottom"/>
          </w:tcPr>
          <w:p>
            <w:pPr>
              <w:spacing w:after="0"/>
              <w:rPr>
                <w:sz w:val="1"/>
                <w:szCs w:val="1"/>
                <w:color w:val="auto"/>
              </w:rPr>
            </w:pPr>
          </w:p>
        </w:tc>
      </w:tr>
      <w:tr>
        <w:trPr>
          <w:trHeight w:val="277"/>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2024</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511,000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24.69</w:t>
            </w: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Released</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Forfeitures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24.69</w:t>
            </w: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504,500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24.69</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-983615</wp:posOffset>
            </wp:positionV>
            <wp:extent cx="6692900" cy="215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6692900" cy="215900"/>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-602615</wp:posOffset>
            </wp:positionV>
            <wp:extent cx="6692900" cy="215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extLst>
                    </a:blip>
                    <a:srcRect/>
                    <a:stretch>
                      <a:fillRect/>
                    </a:stretch>
                  </pic:blipFill>
                  <pic:spPr bwMode="auto">
                    <a:xfrm>
                      <a:off x="0" y="0"/>
                      <a:ext cx="6692900" cy="215900"/>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-221615</wp:posOffset>
            </wp:positionV>
            <wp:extent cx="6692900" cy="241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extLst>
                    </a:blip>
                    <a:srcRect/>
                    <a:stretch>
                      <a:fillRect/>
                    </a:stretch>
                  </pic:blipFill>
                  <pic:spPr bwMode="auto">
                    <a:xfrm>
                      <a:off x="0" y="0"/>
                      <a:ext cx="6692900" cy="24130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39" w:lineRule="exact"/>
        <w:rPr>
          <w:sz w:val="20"/>
          <w:szCs w:val="20"/>
          <w:color w:val="auto"/>
        </w:rPr>
      </w:pPr>
    </w:p>
    <w:p>
      <w:pPr>
        <w:ind w:right="580" w:firstLine="630"/>
        <w:spacing w:after="0" w:line="255" w:lineRule="auto"/>
        <w:rPr>
          <w:sz w:val="20"/>
          <w:szCs w:val="20"/>
          <w:color w:val="auto"/>
        </w:rPr>
      </w:pPr>
      <w:r>
        <w:rPr>
          <w:rFonts w:ascii="Times New Roman" w:cs="Times New Roman" w:eastAsia="Times New Roman" w:hAnsi="Times New Roman"/>
          <w:sz w:val="20"/>
          <w:szCs w:val="20"/>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p>
      <w:pPr>
        <w:spacing w:after="0" w:line="115"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76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3813175</wp:posOffset>
                </wp:positionH>
                <wp:positionV relativeFrom="paragraph">
                  <wp:posOffset>13970</wp:posOffset>
                </wp:positionV>
                <wp:extent cx="269557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9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25pt,1.1pt" to="512.5pt,1.1pt" o:allowincell="f" strokecolor="#000000" strokeweight="1pt"/>
            </w:pict>
          </mc:Fallback>
        </mc:AlternateConten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13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3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3.8 %</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285"/>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78.4 %</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85.7 %</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87.4 %</w:t>
            </w:r>
          </w:p>
        </w:tc>
      </w:tr>
      <w:tr>
        <w:trPr>
          <w:trHeight w:val="285"/>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85"/>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w:t>
            </w:r>
          </w:p>
        </w:tc>
      </w:tr>
      <w:tr>
        <w:trPr>
          <w:trHeight w:val="285"/>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grant date fair value per share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16.06</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6540500" cy="206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-546735</wp:posOffset>
            </wp:positionV>
            <wp:extent cx="6540500" cy="206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540500" cy="206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271" w:lineRule="exact"/>
        <w:rPr>
          <w:sz w:val="20"/>
          <w:szCs w:val="20"/>
          <w:color w:val="auto"/>
        </w:rPr>
      </w:pPr>
    </w:p>
    <w:p>
      <w:pPr>
        <w:ind w:right="540" w:firstLine="540"/>
        <w:spacing w:after="0" w:line="256" w:lineRule="auto"/>
        <w:rPr>
          <w:sz w:val="20"/>
          <w:szCs w:val="20"/>
          <w:color w:val="auto"/>
        </w:rPr>
      </w:pPr>
      <w:r>
        <w:rPr>
          <w:rFonts w:ascii="Times New Roman" w:cs="Times New Roman" w:eastAsia="Times New Roman" w:hAnsi="Times New Roman"/>
          <w:sz w:val="20"/>
          <w:szCs w:val="20"/>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ectPr>
          <w:pgSz w:w="12240" w:h="15840" w:orient="portrait"/>
          <w:cols w:equalWidth="0" w:num="1">
            <w:col w:w="10760"/>
          </w:cols>
          <w:pgMar w:left="1000" w:top="884"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760"/>
          </w:cols>
          <w:pgMar w:left="1000" w:top="884" w:right="480" w:bottom="0" w:gutter="0" w:footer="0" w:header="0"/>
          <w:type w:val="continuous"/>
        </w:sectPr>
      </w:pPr>
    </w:p>
    <w:bookmarkStart w:id="92" w:name="page93"/>
    <w:bookmarkEnd w:id="92"/>
    <w:p>
      <w:pPr>
        <w:ind w:left="10" w:right="20" w:firstLine="495"/>
        <w:spacing w:after="0" w:line="281" w:lineRule="auto"/>
        <w:rPr>
          <w:sz w:val="20"/>
          <w:szCs w:val="20"/>
          <w:color w:val="auto"/>
        </w:rPr>
      </w:pPr>
      <w:r>
        <w:rPr>
          <w:rFonts w:ascii="Times New Roman" w:cs="Times New Roman" w:eastAsia="Times New Roman" w:hAnsi="Times New Roman"/>
          <w:sz w:val="20"/>
          <w:szCs w:val="20"/>
          <w:color w:val="auto"/>
        </w:rPr>
        <w:t>Total non-cash stock-based compensation expense for all stock awards that was recognized in the consolidated statements of operations and comprehensive loss is as follows:</w:t>
      </w:r>
    </w:p>
    <w:p>
      <w:pPr>
        <w:spacing w:after="0" w:line="115"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4"/>
        </w:trPr>
        <w:tc>
          <w:tcPr>
            <w:tcW w:w="5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20"/>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r>
      <w:tr>
        <w:trPr>
          <w:trHeight w:val="262"/>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14,823</w:t>
            </w:r>
          </w:p>
        </w:tc>
        <w:tc>
          <w:tcPr>
            <w:tcW w:w="420" w:type="dxa"/>
            <w:vAlign w:val="bottom"/>
          </w:tcPr>
          <w:p>
            <w:pPr>
              <w:spacing w:after="0"/>
              <w:rPr>
                <w:sz w:val="22"/>
                <w:szCs w:val="22"/>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10,159</w:t>
            </w:r>
          </w:p>
        </w:tc>
        <w:tc>
          <w:tcPr>
            <w:tcW w:w="4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6,775</w:t>
            </w:r>
          </w:p>
        </w:tc>
        <w:tc>
          <w:tcPr>
            <w:tcW w:w="280" w:type="dxa"/>
            <w:vAlign w:val="bottom"/>
          </w:tcPr>
          <w:p>
            <w:pPr>
              <w:spacing w:after="0"/>
              <w:rPr>
                <w:sz w:val="22"/>
                <w:szCs w:val="22"/>
                <w:color w:val="auto"/>
              </w:rPr>
            </w:pPr>
          </w:p>
        </w:tc>
      </w:tr>
      <w:tr>
        <w:trPr>
          <w:trHeight w:val="288"/>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19,225</w:t>
            </w:r>
          </w:p>
        </w:tc>
        <w:tc>
          <w:tcPr>
            <w:tcW w:w="42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23,046</w:t>
            </w:r>
          </w:p>
        </w:tc>
        <w:tc>
          <w:tcPr>
            <w:tcW w:w="4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w w:val="92"/>
              </w:rPr>
              <w:t>(2)</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20,581</w:t>
            </w: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w:t>
            </w:r>
          </w:p>
        </w:tc>
      </w:tr>
      <w:tr>
        <w:trPr>
          <w:trHeight w:val="245"/>
        </w:trPr>
        <w:tc>
          <w:tcPr>
            <w:tcW w:w="55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34,048</w:t>
            </w:r>
          </w:p>
        </w:tc>
        <w:tc>
          <w:tcPr>
            <w:tcW w:w="420" w:type="dxa"/>
            <w:vAlign w:val="bottom"/>
          </w:tcPr>
          <w:p>
            <w:pPr>
              <w:spacing w:after="0"/>
              <w:rPr>
                <w:sz w:val="21"/>
                <w:szCs w:val="21"/>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33,205</w:t>
            </w:r>
          </w:p>
        </w:tc>
        <w:tc>
          <w:tcPr>
            <w:tcW w:w="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27,356</w:t>
            </w:r>
          </w:p>
        </w:tc>
        <w:tc>
          <w:tcPr>
            <w:tcW w:w="28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540500" cy="206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540500" cy="231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a:extLst>
                        <a:ext uri="{28A0092B-C50C-407E-A947-70E740481C1C}"/>
                      </a:extLst>
                    </a:blip>
                    <a:srcRect/>
                    <a:stretch>
                      <a:fillRect/>
                    </a:stretch>
                  </pic:blipFill>
                  <pic:spPr bwMode="auto">
                    <a:xfrm>
                      <a:off x="0" y="0"/>
                      <a:ext cx="6540500" cy="231775"/>
                    </a:xfrm>
                    <a:prstGeom prst="rect">
                      <a:avLst/>
                    </a:prstGeom>
                    <a:noFill/>
                  </pic:spPr>
                </pic:pic>
              </a:graphicData>
            </a:graphic>
          </wp:anchor>
        </w:drawing>
      </w:r>
    </w:p>
    <w:p>
      <w:pPr>
        <w:spacing w:after="0" w:line="68" w:lineRule="exact"/>
        <w:rPr>
          <w:sz w:val="20"/>
          <w:szCs w:val="20"/>
          <w:color w:val="auto"/>
        </w:rPr>
      </w:pPr>
    </w:p>
    <w:p>
      <w:pPr>
        <w:ind w:left="490" w:right="420" w:hanging="445"/>
        <w:spacing w:after="0" w:line="226" w:lineRule="auto"/>
        <w:tabs>
          <w:tab w:leader="none" w:pos="49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$2.6 million related to two year RSU initially issued to our Chief Executive Officer in March 2022 and now fully recognized.</w:t>
      </w:r>
    </w:p>
    <w:p>
      <w:pPr>
        <w:spacing w:after="0" w:line="61" w:lineRule="exact"/>
        <w:rPr>
          <w:rFonts w:ascii="Times New Roman" w:cs="Times New Roman" w:eastAsia="Times New Roman" w:hAnsi="Times New Roman"/>
          <w:sz w:val="26"/>
          <w:szCs w:val="26"/>
          <w:color w:val="auto"/>
          <w:vertAlign w:val="superscript"/>
        </w:rPr>
      </w:pPr>
    </w:p>
    <w:p>
      <w:pPr>
        <w:ind w:left="490" w:right="320" w:hanging="445"/>
        <w:spacing w:after="0" w:line="226" w:lineRule="auto"/>
        <w:tabs>
          <w:tab w:leader="none" w:pos="49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$11.7 million related to two year RSU initially issued to our Chief Executive Officer in March 2022 and now fully recognized.</w:t>
      </w:r>
    </w:p>
    <w:p>
      <w:pPr>
        <w:spacing w:after="0" w:line="61" w:lineRule="exact"/>
        <w:rPr>
          <w:rFonts w:ascii="Times New Roman" w:cs="Times New Roman" w:eastAsia="Times New Roman" w:hAnsi="Times New Roman"/>
          <w:sz w:val="26"/>
          <w:szCs w:val="26"/>
          <w:color w:val="auto"/>
          <w:vertAlign w:val="superscript"/>
        </w:rPr>
      </w:pPr>
    </w:p>
    <w:p>
      <w:pPr>
        <w:ind w:left="490" w:right="420" w:hanging="445"/>
        <w:spacing w:after="0" w:line="226" w:lineRule="auto"/>
        <w:tabs>
          <w:tab w:leader="none" w:pos="49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$9.2 million related to two year RSU initially issued to our Chief Executive Officer in March 2022 and now fully recognized.</w:t>
      </w:r>
    </w:p>
    <w:p>
      <w:pPr>
        <w:spacing w:after="0" w:line="222" w:lineRule="exact"/>
        <w:rPr>
          <w:sz w:val="20"/>
          <w:szCs w:val="20"/>
          <w:color w:val="auto"/>
        </w:rPr>
      </w:pPr>
    </w:p>
    <w:p>
      <w:pPr>
        <w:ind w:left="10" w:right="180" w:firstLine="495"/>
        <w:spacing w:after="0" w:line="256" w:lineRule="auto"/>
        <w:rPr>
          <w:sz w:val="20"/>
          <w:szCs w:val="20"/>
          <w:color w:val="auto"/>
        </w:rPr>
      </w:pPr>
      <w:r>
        <w:rPr>
          <w:rFonts w:ascii="Times New Roman" w:cs="Times New Roman" w:eastAsia="Times New Roman" w:hAnsi="Times New Roman"/>
          <w:sz w:val="20"/>
          <w:szCs w:val="20"/>
          <w:color w:val="auto"/>
        </w:rPr>
        <w:t>At December 31, 2024, there was $44.1 million of unrecognized compensation cost related to unvested stock option awards, which is expected to be recognized over a remaining weighted average vesting period of 2.75 years, $20.1 million of unrecognized cost related to unvested RSU awards, which is expected to be recognized over a period of 2.75 years, $11.0 million of unrecognized cost related to unvested PSU awards, which is expected to be recognized over a period of 3.52 years, and $0.4 million of unrecognized compensation cost related to the ESPP, which is expected to be recognized over a remaining weighted-average vesting period of 0.37 years.</w:t>
      </w:r>
    </w:p>
    <w:p>
      <w:pPr>
        <w:spacing w:after="0" w:line="3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9. Employee Benefit Plan</w:t>
      </w:r>
    </w:p>
    <w:p>
      <w:pPr>
        <w:spacing w:after="0" w:line="137" w:lineRule="exact"/>
        <w:rPr>
          <w:sz w:val="20"/>
          <w:szCs w:val="20"/>
          <w:color w:val="auto"/>
        </w:rPr>
      </w:pPr>
    </w:p>
    <w:p>
      <w:pPr>
        <w:ind w:left="10" w:right="20" w:firstLine="630"/>
        <w:spacing w:after="0" w:line="255" w:lineRule="auto"/>
        <w:rPr>
          <w:sz w:val="20"/>
          <w:szCs w:val="20"/>
          <w:color w:val="auto"/>
        </w:rPr>
      </w:pPr>
      <w:r>
        <w:rPr>
          <w:rFonts w:ascii="Times New Roman" w:cs="Times New Roman" w:eastAsia="Times New Roman" w:hAnsi="Times New Roman"/>
          <w:sz w:val="20"/>
          <w:szCs w:val="20"/>
          <w:color w:val="auto"/>
        </w:rPr>
        <w:t>We have a defined contribution 401(k) plan available to eligible employees. Employee contributions are voluntary and are determined on an individual basis, limited to the maximum amount allowable under U.S. federal tax regulations. We elected to match 100% of an employee’s contributions up to 10% of the employees’ eligible salary with a maximum limit of $23,000 in 2024, 100% of an employee’s contribution up to 10% of the employees’ salary with a maximum limit of $22,500 in 2023, and 100% of an employee’s contribution up to 6% of the employee’s salary with a maximum limit of $11,000 in 2022. For the years ended December 31, 2024, 2023, and 2022, we incurred approximately $2.2 million, $1.6 million, and $1.0 million, respectively of costs related to the 401(k) plan.</w:t>
      </w:r>
    </w:p>
    <w:p>
      <w:pPr>
        <w:spacing w:after="0" w:line="322" w:lineRule="exact"/>
        <w:rPr>
          <w:sz w:val="20"/>
          <w:szCs w:val="20"/>
          <w:color w:val="auto"/>
        </w:rPr>
      </w:pPr>
    </w:p>
    <w:p>
      <w:pPr>
        <w:ind w:left="310" w:right="7140" w:hanging="310"/>
        <w:spacing w:after="0" w:line="379" w:lineRule="auto"/>
        <w:tabs>
          <w:tab w:leader="none" w:pos="295"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Operating Leases</w:t>
      </w:r>
    </w:p>
    <w:p>
      <w:pPr>
        <w:spacing w:after="0" w:line="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On May 4, 2020, we entered into a lease agreement with Wateridge Property Owner, LP, with respect to facilities in the</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building at 10770 Wateridge Circle, San Diego, California 92121 (the “Lease Agreement”). Under the Lease Agreement, we</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agreed to lease approximately 45,000 square feet of space for a term of 124 months, beginning on April 5, 2021. The terms of</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Lease Agreement provide us with an option to extend the term of the lease for an additional five years, as well as a one-time</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option to terminate the lease after seven years with the payment of a termination fee. The exercise of the lease option is at our</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sole discretion, which we currently do not anticipate exercising and as such was not recognized as part of the right-of-use asset</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“ROU asset”) and lease liability. The monthly base rent was initially $4.20 per rentable square foot and is increased by 3%</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annually. Under the Lease Agreement, we are also responsible for our pro rata share of real estate taxes, building insurance,</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maintenance, direct expenses, and utilities. Upon lease commencement, on April 5, 2021, we recognized an ROU asset of</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$20.6 million, with a corresponding lease liability of $20.7 million on the consolidated balance sheets. The ROU asset includes</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adjustments for prepayments, initial direct costs, and lease incentives. As of December 31, 2024, we have recorded $0.3 million</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a security deposit in accordance with the terms of the Lease Agreement.</w:t>
      </w:r>
    </w:p>
    <w:p>
      <w:pPr>
        <w:spacing w:after="0" w:line="110" w:lineRule="exact"/>
        <w:rPr>
          <w:sz w:val="20"/>
          <w:szCs w:val="20"/>
          <w:color w:val="auto"/>
        </w:rPr>
      </w:pPr>
    </w:p>
    <w:p>
      <w:pPr>
        <w:ind w:left="10" w:right="120" w:firstLine="590"/>
        <w:spacing w:after="0" w:line="275" w:lineRule="auto"/>
        <w:rPr>
          <w:sz w:val="20"/>
          <w:szCs w:val="20"/>
          <w:color w:val="auto"/>
        </w:rPr>
      </w:pPr>
      <w:r>
        <w:rPr>
          <w:rFonts w:ascii="Times New Roman" w:cs="Times New Roman" w:eastAsia="Times New Roman" w:hAnsi="Times New Roman"/>
          <w:sz w:val="19"/>
          <w:szCs w:val="19"/>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6.7 years.</w:t>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70"/>
          </w:cols>
          <w:pgMar w:left="990" w:top="793" w:right="980" w:bottom="0" w:gutter="0" w:footer="0" w:header="0"/>
          <w:type w:val="continuous"/>
        </w:sectPr>
      </w:pPr>
    </w:p>
    <w:bookmarkStart w:id="93" w:name="page94"/>
    <w:bookmarkEnd w:id="93"/>
    <w:p>
      <w:pPr>
        <w:ind w:left="540"/>
        <w:spacing w:after="0"/>
        <w:rPr>
          <w:sz w:val="20"/>
          <w:szCs w:val="20"/>
          <w:color w:val="auto"/>
        </w:rPr>
      </w:pPr>
      <w:r>
        <w:rPr>
          <w:rFonts w:ascii="Times New Roman" w:cs="Times New Roman" w:eastAsia="Times New Roman" w:hAnsi="Times New Roman"/>
          <w:sz w:val="19"/>
          <w:szCs w:val="19"/>
          <w:color w:val="auto"/>
        </w:rPr>
        <w:t>The following non-cancellable office lease costs are included in our consolidated statements of cash flow (in thousands):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Operating lease cost</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r>
      <w:tr>
        <w:trPr>
          <w:trHeight w:val="505"/>
        </w:trPr>
        <w:tc>
          <w:tcPr>
            <w:tcW w:w="2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Classification on the Cash Flow</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24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Operating</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2,478</w:t>
            </w:r>
          </w:p>
        </w:tc>
      </w:tr>
      <w:tr>
        <w:trPr>
          <w:trHeight w:val="525"/>
        </w:trPr>
        <w:tc>
          <w:tcPr>
            <w:tcW w:w="24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Operating</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-527685</wp:posOffset>
            </wp:positionV>
            <wp:extent cx="6540500" cy="215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6">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200" w:space="200"/>
            <w:col w:w="5860"/>
          </w:cols>
          <w:pgMar w:left="1000" w:top="793" w:right="980" w:bottom="0" w:gutter="0" w:footer="0" w:header="0"/>
          <w:type w:val="continuous"/>
        </w:sectPr>
      </w:pPr>
    </w:p>
    <w:p>
      <w:pPr>
        <w:spacing w:after="0" w:line="91" w:lineRule="exact"/>
        <w:rPr>
          <w:sz w:val="20"/>
          <w:szCs w:val="20"/>
          <w:color w:val="auto"/>
        </w:rPr>
      </w:pPr>
    </w:p>
    <w:p>
      <w:pPr>
        <w:ind w:right="580" w:firstLine="540"/>
        <w:spacing w:after="0" w:line="281" w:lineRule="auto"/>
        <w:rPr>
          <w:sz w:val="20"/>
          <w:szCs w:val="20"/>
          <w:color w:val="auto"/>
        </w:rPr>
      </w:pPr>
      <w:r>
        <w:rPr>
          <w:rFonts w:ascii="Times New Roman" w:cs="Times New Roman" w:eastAsia="Times New Roman" w:hAnsi="Times New Roman"/>
          <w:sz w:val="20"/>
          <w:szCs w:val="20"/>
          <w:color w:val="auto"/>
        </w:rPr>
        <w:t>At December 31, 2024, the future minimum annual obligations for the Company’s operating lease liabilities are as follows: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8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 (in thousands)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03"/>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2,531</w:t>
            </w:r>
          </w:p>
        </w:tc>
      </w:tr>
      <w:tr>
        <w:trPr>
          <w:trHeight w:val="30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2,607</w:t>
            </w:r>
          </w:p>
        </w:tc>
      </w:tr>
      <w:tr>
        <w:trPr>
          <w:trHeight w:val="30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2,685</w:t>
            </w:r>
          </w:p>
        </w:tc>
      </w:tr>
      <w:tr>
        <w:trPr>
          <w:trHeight w:val="30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2,766</w:t>
            </w:r>
          </w:p>
        </w:tc>
      </w:tr>
      <w:tr>
        <w:trPr>
          <w:trHeight w:val="30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2,849</w:t>
            </w:r>
          </w:p>
        </w:tc>
      </w:tr>
      <w:tr>
        <w:trPr>
          <w:trHeight w:val="303"/>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4,939</w:t>
            </w:r>
          </w:p>
        </w:tc>
      </w:tr>
      <w:tr>
        <w:trPr>
          <w:trHeight w:val="277"/>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Total minimum payments required</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18,377</w:t>
            </w:r>
          </w:p>
        </w:tc>
      </w:tr>
      <w:tr>
        <w:trPr>
          <w:trHeight w:val="303"/>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(2,340)</w:t>
            </w:r>
          </w:p>
        </w:tc>
      </w:tr>
      <w:tr>
        <w:trPr>
          <w:trHeight w:val="26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5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16,037</w:t>
            </w:r>
          </w:p>
        </w:tc>
      </w:tr>
      <w:tr>
        <w:trPr>
          <w:trHeight w:val="20"/>
        </w:trPr>
        <w:tc>
          <w:tcPr>
            <w:tcW w:w="8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-1745615</wp:posOffset>
            </wp:positionV>
            <wp:extent cx="6534150" cy="1765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extLst>
                        <a:ext uri="{28A0092B-C50C-407E-A947-70E740481C1C}"/>
                      </a:extLst>
                    </a:blip>
                    <a:srcRect/>
                    <a:stretch>
                      <a:fillRect/>
                    </a:stretch>
                  </pic:blipFill>
                  <pic:spPr bwMode="auto">
                    <a:xfrm>
                      <a:off x="0" y="0"/>
                      <a:ext cx="6534150" cy="1765300"/>
                    </a:xfrm>
                    <a:prstGeom prst="rect">
                      <a:avLst/>
                    </a:prstGeom>
                    <a:noFill/>
                  </pic:spPr>
                </pic:pic>
              </a:graphicData>
            </a:graphic>
          </wp:anchor>
        </w:drawing>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Other Commitments and Contingencies</w:t>
      </w:r>
    </w:p>
    <w:p>
      <w:pPr>
        <w:spacing w:after="0" w:line="139"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0"/>
          <w:szCs w:val="20"/>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Guarantees and Indemnifications</w:t>
      </w:r>
    </w:p>
    <w:p>
      <w:pPr>
        <w:spacing w:after="0" w:line="139" w:lineRule="exact"/>
        <w:rPr>
          <w:sz w:val="20"/>
          <w:szCs w:val="20"/>
          <w:color w:val="auto"/>
        </w:rPr>
      </w:pPr>
    </w:p>
    <w:p>
      <w:pPr>
        <w:ind w:right="180" w:firstLine="630"/>
        <w:spacing w:after="0" w:line="255" w:lineRule="auto"/>
        <w:rPr>
          <w:sz w:val="20"/>
          <w:szCs w:val="20"/>
          <w:color w:val="auto"/>
        </w:rPr>
      </w:pPr>
      <w:r>
        <w:rPr>
          <w:rFonts w:ascii="Times New Roman" w:cs="Times New Roman" w:eastAsia="Times New Roman" w:hAnsi="Times New Roman"/>
          <w:sz w:val="20"/>
          <w:szCs w:val="20"/>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 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90" w:lineRule="exact"/>
        <w:rPr>
          <w:sz w:val="20"/>
          <w:szCs w:val="20"/>
          <w:color w:val="auto"/>
        </w:rPr>
      </w:pPr>
    </w:p>
    <w:p>
      <w:pPr>
        <w:ind w:right="60" w:firstLine="630"/>
        <w:spacing w:after="0" w:line="258" w:lineRule="auto"/>
        <w:rPr>
          <w:sz w:val="20"/>
          <w:szCs w:val="20"/>
          <w:color w:val="auto"/>
        </w:rPr>
      </w:pPr>
      <w:r>
        <w:rPr>
          <w:rFonts w:ascii="Times New Roman" w:cs="Times New Roman" w:eastAsia="Times New Roman" w:hAnsi="Times New Roman"/>
          <w:sz w:val="20"/>
          <w:szCs w:val="20"/>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84" w:lineRule="exact"/>
        <w:rPr>
          <w:sz w:val="20"/>
          <w:szCs w:val="20"/>
          <w:color w:val="auto"/>
        </w:rPr>
      </w:pPr>
    </w:p>
    <w:p>
      <w:pPr>
        <w:ind w:right="160" w:firstLine="630"/>
        <w:spacing w:after="0" w:line="266" w:lineRule="auto"/>
        <w:rPr>
          <w:sz w:val="20"/>
          <w:szCs w:val="20"/>
          <w:color w:val="auto"/>
        </w:rPr>
      </w:pPr>
      <w:r>
        <w:rPr>
          <w:rFonts w:ascii="Times New Roman" w:cs="Times New Roman" w:eastAsia="Times New Roman" w:hAnsi="Times New Roman"/>
          <w:sz w:val="20"/>
          <w:szCs w:val="20"/>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75" w:lineRule="exact"/>
        <w:rPr>
          <w:sz w:val="20"/>
          <w:szCs w:val="20"/>
          <w:color w:val="auto"/>
        </w:rPr>
      </w:pPr>
    </w:p>
    <w:p>
      <w:pPr>
        <w:ind w:right="20" w:firstLine="630"/>
        <w:spacing w:after="0" w:line="281" w:lineRule="auto"/>
        <w:rPr>
          <w:sz w:val="20"/>
          <w:szCs w:val="20"/>
          <w:color w:val="auto"/>
        </w:rPr>
      </w:pPr>
      <w:r>
        <w:rPr>
          <w:rFonts w:ascii="Times New Roman" w:cs="Times New Roman" w:eastAsia="Times New Roman" w:hAnsi="Times New Roman"/>
          <w:sz w:val="20"/>
          <w:szCs w:val="20"/>
          <w:color w:val="auto"/>
        </w:rPr>
        <w:t>We believe that the fair value of these indemnification obligations is minimal. Accordingly, we have not recognized any liabilities relating to these obligations for any period presented.</w:t>
      </w:r>
    </w:p>
    <w:p>
      <w:pPr>
        <w:sectPr>
          <w:pgSz w:w="12240" w:h="15840" w:orient="portrait"/>
          <w:cols w:equalWidth="0" w:num="1">
            <w:col w:w="10260"/>
          </w:cols>
          <w:pgMar w:left="1000" w:top="793"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60"/>
          </w:cols>
          <w:pgMar w:left="1000" w:top="793" w:right="980" w:bottom="0" w:gutter="0" w:footer="0" w:header="0"/>
          <w:type w:val="continuous"/>
        </w:sectPr>
      </w:pPr>
    </w:p>
    <w:bookmarkStart w:id="94" w:name="page95"/>
    <w:bookmarkEnd w:id="94"/>
    <w:p>
      <w:pPr>
        <w:ind w:left="10"/>
        <w:spacing w:after="0"/>
        <w:rPr>
          <w:sz w:val="20"/>
          <w:szCs w:val="20"/>
          <w:color w:val="auto"/>
        </w:rPr>
      </w:pPr>
      <w:r>
        <w:rPr>
          <w:rFonts w:ascii="Times New Roman" w:cs="Times New Roman" w:eastAsia="Times New Roman" w:hAnsi="Times New Roman"/>
          <w:sz w:val="20"/>
          <w:szCs w:val="20"/>
          <w:b w:val="1"/>
          <w:bCs w:val="1"/>
          <w:color w:val="auto"/>
        </w:rPr>
        <w:t>11. Segment Reporting</w:t>
      </w:r>
    </w:p>
    <w:p>
      <w:pPr>
        <w:spacing w:after="0" w:line="137" w:lineRule="exact"/>
        <w:rPr>
          <w:sz w:val="20"/>
          <w:szCs w:val="20"/>
          <w:color w:val="auto"/>
        </w:rPr>
      </w:pPr>
    </w:p>
    <w:p>
      <w:pPr>
        <w:ind w:left="10" w:right="220" w:firstLine="630"/>
        <w:spacing w:after="0" w:line="258" w:lineRule="auto"/>
        <w:rPr>
          <w:sz w:val="20"/>
          <w:szCs w:val="20"/>
          <w:color w:val="auto"/>
        </w:rPr>
      </w:pPr>
      <w:r>
        <w:rPr>
          <w:rFonts w:ascii="Times New Roman" w:cs="Times New Roman" w:eastAsia="Times New Roman" w:hAnsi="Times New Roman"/>
          <w:sz w:val="20"/>
          <w:szCs w:val="20"/>
          <w:color w:val="auto"/>
        </w:rPr>
        <w:t>We operate as one reportable segment focused on research and development activities to deliver immunology therapeutics for autoimmune and inflammatory diseases. Segment profit or loss is measured as the net loss reported on our Consolidated Statements of Operations and Comprehensive Loss and net loss is used to monitor results. Our segment revenue consists of non-cash royalties and milestones, and is derived from collaboration agreements, see Note 4. The measure of segment assets is reported on our Consolidated Balance Sheets as total assets.</w:t>
      </w:r>
    </w:p>
    <w:p>
      <w:pPr>
        <w:spacing w:after="0" w:line="84" w:lineRule="exact"/>
        <w:rPr>
          <w:sz w:val="20"/>
          <w:szCs w:val="20"/>
          <w:color w:val="auto"/>
        </w:rPr>
      </w:pPr>
    </w:p>
    <w:p>
      <w:pPr>
        <w:ind w:left="10" w:right="500" w:firstLine="630"/>
        <w:spacing w:after="0" w:line="281" w:lineRule="auto"/>
        <w:rPr>
          <w:sz w:val="20"/>
          <w:szCs w:val="20"/>
          <w:color w:val="auto"/>
        </w:rPr>
      </w:pPr>
      <w:r>
        <w:rPr>
          <w:rFonts w:ascii="Times New Roman" w:cs="Times New Roman" w:eastAsia="Times New Roman" w:hAnsi="Times New Roman"/>
          <w:sz w:val="20"/>
          <w:szCs w:val="20"/>
          <w:color w:val="auto"/>
        </w:rPr>
        <w:t>The CODM is our Chief Executive Officer. The CODM manages the business activities on a consolidated basis in making decisions regarding resource allocation and performance assessment.</w:t>
      </w:r>
    </w:p>
    <w:p>
      <w:pPr>
        <w:spacing w:after="0" w:line="18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is a summary of segment revenue, loss and our significant expenses (in thousands):</w:t>
      </w:r>
    </w:p>
    <w:p>
      <w:pPr>
        <w:spacing w:after="0" w:line="38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95"/>
        </w:trPr>
        <w:tc>
          <w:tcPr>
            <w:tcW w:w="6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95"/>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Collaboration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91,280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10,287</w:t>
            </w:r>
          </w:p>
        </w:tc>
      </w:tr>
      <w:tr>
        <w:trPr>
          <w:trHeight w:val="292"/>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315"/>
        </w:trPr>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External R&amp;D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5"/>
        </w:trPr>
        <w:tc>
          <w:tcPr>
            <w:tcW w:w="6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Rosnilimab</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53,422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7,794</w:t>
            </w:r>
          </w:p>
        </w:tc>
      </w:tr>
      <w:tr>
        <w:trPr>
          <w:trHeight w:val="315"/>
        </w:trPr>
        <w:tc>
          <w:tcPr>
            <w:tcW w:w="6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ANB032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17,197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3,866</w:t>
            </w:r>
          </w:p>
        </w:tc>
      </w:tr>
      <w:tr>
        <w:trPr>
          <w:trHeight w:val="315"/>
        </w:trPr>
        <w:tc>
          <w:tcPr>
            <w:tcW w:w="6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ANB033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1,706</w:t>
            </w:r>
          </w:p>
        </w:tc>
      </w:tr>
      <w:tr>
        <w:trPr>
          <w:trHeight w:val="315"/>
        </w:trPr>
        <w:tc>
          <w:tcPr>
            <w:tcW w:w="6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ANB101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6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Imsidolimab</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31,769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38,812</w:t>
            </w:r>
          </w:p>
        </w:tc>
      </w:tr>
      <w:tr>
        <w:trPr>
          <w:trHeight w:val="318"/>
        </w:trPr>
        <w:tc>
          <w:tcPr>
            <w:tcW w:w="6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Preclinical and other unallocated costs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14,350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14,526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11,838</w:t>
            </w:r>
          </w:p>
        </w:tc>
      </w:tr>
      <w:tr>
        <w:trPr>
          <w:trHeight w:val="295"/>
        </w:trPr>
        <w:tc>
          <w:tcPr>
            <w:tcW w:w="6180" w:type="dxa"/>
            <w:vAlign w:val="bottom"/>
          </w:tcPr>
          <w:p>
            <w:pPr>
              <w:ind w:left="240"/>
              <w:spacing w:after="0" w:line="294" w:lineRule="exact"/>
              <w:rPr>
                <w:sz w:val="20"/>
                <w:szCs w:val="20"/>
                <w:color w:val="auto"/>
              </w:rPr>
            </w:pPr>
            <w:r>
              <w:rPr>
                <w:rFonts w:ascii="Times New Roman" w:cs="Times New Roman" w:eastAsia="Times New Roman" w:hAnsi="Times New Roman"/>
                <w:sz w:val="20"/>
                <w:szCs w:val="20"/>
                <w:color w:val="auto"/>
              </w:rPr>
              <w:t>Total External R&amp;D</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117,967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100,022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64,016</w:t>
            </w:r>
          </w:p>
        </w:tc>
      </w:tr>
      <w:tr>
        <w:trPr>
          <w:trHeight w:val="295"/>
        </w:trPr>
        <w:tc>
          <w:tcPr>
            <w:tcW w:w="6180" w:type="dxa"/>
            <w:vAlign w:val="bottom"/>
          </w:tcPr>
          <w:p>
            <w:pPr>
              <w:ind w:left="240"/>
              <w:spacing w:after="0" w:line="294" w:lineRule="exact"/>
              <w:rPr>
                <w:sz w:val="20"/>
                <w:szCs w:val="20"/>
                <w:color w:val="auto"/>
              </w:rPr>
            </w:pPr>
            <w:r>
              <w:rPr>
                <w:rFonts w:ascii="Times New Roman" w:cs="Times New Roman" w:eastAsia="Times New Roman" w:hAnsi="Times New Roman"/>
                <w:sz w:val="20"/>
                <w:szCs w:val="20"/>
                <w:color w:val="auto"/>
              </w:rPr>
              <w:t>Total Internal R&amp;D</w:t>
            </w:r>
            <w:r>
              <w:rPr>
                <w:rFonts w:ascii="Times New Roman" w:cs="Times New Roman" w:eastAsia="Times New Roman" w:hAnsi="Times New Roman"/>
                <w:sz w:val="26"/>
                <w:szCs w:val="26"/>
                <w:color w:val="auto"/>
                <w:vertAlign w:val="superscript"/>
              </w:rPr>
              <w:t>(2)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45,873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32,261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24,782</w:t>
            </w:r>
          </w:p>
        </w:tc>
      </w:tr>
      <w:tr>
        <w:trPr>
          <w:trHeight w:val="295"/>
        </w:trPr>
        <w:tc>
          <w:tcPr>
            <w:tcW w:w="6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R&amp;D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163,840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132,283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88,798</w:t>
            </w:r>
          </w:p>
        </w:tc>
      </w:tr>
      <w:tr>
        <w:trPr>
          <w:trHeight w:val="292"/>
        </w:trPr>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Acquired in-process research and development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666"/>
        </w:trPr>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External G&amp;A</w:t>
            </w:r>
            <w:r>
              <w:rPr>
                <w:rFonts w:ascii="Times New Roman" w:cs="Times New Roman" w:eastAsia="Times New Roman" w:hAnsi="Times New Roman"/>
                <w:sz w:val="26"/>
                <w:szCs w:val="26"/>
                <w:color w:val="auto"/>
                <w:vertAlign w:val="superscript"/>
              </w:rPr>
              <w:t>(3)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7,285</w:t>
            </w:r>
          </w:p>
        </w:tc>
      </w:tr>
      <w:tr>
        <w:trPr>
          <w:trHeight w:val="282"/>
        </w:trPr>
        <w:tc>
          <w:tcPr>
            <w:tcW w:w="6180" w:type="dxa"/>
            <w:vAlign w:val="bottom"/>
          </w:tcPr>
          <w:p>
            <w:pPr>
              <w:ind w:left="240"/>
              <w:spacing w:after="0" w:line="282" w:lineRule="exact"/>
              <w:rPr>
                <w:sz w:val="20"/>
                <w:szCs w:val="20"/>
                <w:color w:val="auto"/>
              </w:rPr>
            </w:pPr>
            <w:r>
              <w:rPr>
                <w:rFonts w:ascii="Times New Roman" w:cs="Times New Roman" w:eastAsia="Times New Roman" w:hAnsi="Times New Roman"/>
                <w:sz w:val="20"/>
                <w:szCs w:val="20"/>
                <w:color w:val="auto"/>
              </w:rPr>
              <w:t>Internal G&amp;A</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32,356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33,652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29,358</w:t>
            </w:r>
          </w:p>
        </w:tc>
      </w:tr>
      <w:tr>
        <w:trPr>
          <w:trHeight w:val="295"/>
        </w:trPr>
        <w:tc>
          <w:tcPr>
            <w:tcW w:w="6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G&amp;A</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42,389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41,946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36,643</w:t>
            </w:r>
          </w:p>
        </w:tc>
      </w:tr>
      <w:tr>
        <w:trPr>
          <w:trHeight w:val="295"/>
        </w:trPr>
        <w:tc>
          <w:tcPr>
            <w:tcW w:w="6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206,229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181,568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125,441</w:t>
            </w:r>
          </w:p>
        </w:tc>
      </w:tr>
      <w:tr>
        <w:trPr>
          <w:trHeight w:val="295"/>
        </w:trPr>
        <w:tc>
          <w:tcPr>
            <w:tcW w:w="6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Loss from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(114,949)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(164,411)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(115,154)</w:t>
            </w:r>
          </w:p>
        </w:tc>
      </w:tr>
      <w:tr>
        <w:trPr>
          <w:trHeight w:val="607"/>
        </w:trPr>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income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18,873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7,550</w:t>
            </w:r>
          </w:p>
        </w:tc>
      </w:tr>
      <w:tr>
        <w:trPr>
          <w:trHeight w:val="315"/>
        </w:trPr>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Non-cash interest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(50,087)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(18,083)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(21,108)</w:t>
            </w:r>
          </w:p>
        </w:tc>
      </w:tr>
      <w:tr>
        <w:trPr>
          <w:trHeight w:val="318"/>
        </w:trPr>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95"/>
        </w:trPr>
        <w:tc>
          <w:tcPr>
            <w:tcW w:w="6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other (expense)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(30,279)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(13,546)</w:t>
            </w:r>
          </w:p>
        </w:tc>
      </w:tr>
      <w:tr>
        <w:trPr>
          <w:trHeight w:val="295"/>
        </w:trPr>
        <w:tc>
          <w:tcPr>
            <w:tcW w:w="6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95"/>
        </w:trPr>
        <w:tc>
          <w:tcPr>
            <w:tcW w:w="6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Loss before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(145,228)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(163,623)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(128,700)</w:t>
            </w:r>
          </w:p>
        </w:tc>
      </w:tr>
      <w:tr>
        <w:trPr>
          <w:trHeight w:val="295"/>
        </w:trPr>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75"/>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Segment net loss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(145,231)</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(163,619)</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(128,724)</w:t>
            </w:r>
          </w:p>
        </w:tc>
      </w:tr>
      <w:tr>
        <w:trPr>
          <w:trHeight w:val="20"/>
        </w:trPr>
        <w:tc>
          <w:tcPr>
            <w:tcW w:w="6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-5631815</wp:posOffset>
            </wp:positionV>
            <wp:extent cx="6553200" cy="5651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8">
                      <a:extLst>
                        <a:ext uri="{28A0092B-C50C-407E-A947-70E740481C1C}"/>
                      </a:extLst>
                    </a:blip>
                    <a:srcRect/>
                    <a:stretch>
                      <a:fillRect/>
                    </a:stretch>
                  </pic:blipFill>
                  <pic:spPr bwMode="auto">
                    <a:xfrm>
                      <a:off x="0" y="0"/>
                      <a:ext cx="6553200" cy="5651500"/>
                    </a:xfrm>
                    <a:prstGeom prst="rect">
                      <a:avLst/>
                    </a:prstGeom>
                    <a:noFill/>
                  </pic:spPr>
                </pic:pic>
              </a:graphicData>
            </a:graphic>
          </wp:anchor>
        </w:drawing>
      </w:r>
    </w:p>
    <w:p>
      <w:pPr>
        <w:spacing w:after="0" w:line="28" w:lineRule="exact"/>
        <w:rPr>
          <w:sz w:val="20"/>
          <w:szCs w:val="20"/>
          <w:color w:val="auto"/>
        </w:rPr>
      </w:pPr>
    </w:p>
    <w:p>
      <w:pPr>
        <w:ind w:left="550" w:right="40" w:hanging="550"/>
        <w:spacing w:after="0" w:line="226" w:lineRule="auto"/>
        <w:tabs>
          <w:tab w:leader="none" w:pos="505"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External R&amp;D consists of costs associated with our research and development activities, including drug discovery efforts, preclinical and clinical development of our programs, manufacturing, and allocated facility-related costs.</w:t>
      </w:r>
    </w:p>
    <w:p>
      <w:pPr>
        <w:spacing w:after="0" w:line="2" w:lineRule="exact"/>
        <w:rPr>
          <w:rFonts w:ascii="Times New Roman" w:cs="Times New Roman" w:eastAsia="Times New Roman" w:hAnsi="Times New Roman"/>
          <w:sz w:val="26"/>
          <w:szCs w:val="26"/>
          <w:color w:val="auto"/>
          <w:vertAlign w:val="superscript"/>
        </w:rPr>
      </w:pPr>
    </w:p>
    <w:p>
      <w:pPr>
        <w:ind w:left="490" w:hanging="490"/>
        <w:spacing w:after="0" w:line="224" w:lineRule="auto"/>
        <w:tabs>
          <w:tab w:leader="none" w:pos="490"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Internal R&amp;D and G&amp;A consist of salaries and wages, stock-based compensation, recruiting and other employee benefits.</w:t>
      </w:r>
    </w:p>
    <w:p>
      <w:pPr>
        <w:spacing w:after="0" w:line="42" w:lineRule="exact"/>
        <w:rPr>
          <w:rFonts w:ascii="Times New Roman" w:cs="Times New Roman" w:eastAsia="Times New Roman" w:hAnsi="Times New Roman"/>
          <w:sz w:val="26"/>
          <w:szCs w:val="26"/>
          <w:color w:val="auto"/>
          <w:vertAlign w:val="superscript"/>
        </w:rPr>
      </w:pPr>
    </w:p>
    <w:p>
      <w:pPr>
        <w:ind w:left="550" w:right="240" w:hanging="550"/>
        <w:spacing w:after="0" w:line="227" w:lineRule="auto"/>
        <w:tabs>
          <w:tab w:leader="none" w:pos="505"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External G&amp;A consists of general and administrative expenses including legal services, insurance, professional fees for auditing, tax, and market research, and allocated facility-related costs not otherwise included in research and development expenses.</w:t>
      </w:r>
    </w:p>
    <w:p>
      <w:pPr>
        <w:sectPr>
          <w:pgSz w:w="12240" w:h="15840" w:orient="portrait"/>
          <w:cols w:equalWidth="0" w:num="1">
            <w:col w:w="10270"/>
          </w:cols>
          <w:pgMar w:left="990" w:top="786" w:right="98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270"/>
          </w:cols>
          <w:pgMar w:left="990" w:top="786" w:right="980" w:bottom="0" w:gutter="0" w:footer="0" w:header="0"/>
          <w:type w:val="continuous"/>
        </w:sectPr>
      </w:pPr>
    </w:p>
    <w:bookmarkStart w:id="95" w:name="page96"/>
    <w:bookmarkEnd w:id="95"/>
    <w:p>
      <w:pPr>
        <w:ind w:left="40"/>
        <w:spacing w:after="0"/>
        <w:rPr>
          <w:sz w:val="20"/>
          <w:szCs w:val="20"/>
          <w:color w:val="auto"/>
        </w:rPr>
      </w:pPr>
      <w:r>
        <w:rPr>
          <w:rFonts w:ascii="Times New Roman" w:cs="Times New Roman" w:eastAsia="Times New Roman" w:hAnsi="Times New Roman"/>
          <w:sz w:val="20"/>
          <w:szCs w:val="20"/>
          <w:b w:val="1"/>
          <w:bCs w:val="1"/>
          <w:color w:val="auto"/>
        </w:rPr>
        <w:t>12. Income Taxes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components of loss before income tax provision consist of the following:</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(145,367)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(163,580)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(128,650)</w:t>
            </w:r>
          </w:p>
        </w:tc>
      </w:tr>
      <w:tr>
        <w:trPr>
          <w:trHeight w:val="28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4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net loss before income taxes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(145,228)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(163,623)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(128,700)</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543675" cy="593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a:extLst>
                        <a:ext uri="{28A0092B-C50C-407E-A947-70E740481C1C}"/>
                      </a:extLst>
                    </a:blip>
                    <a:srcRect/>
                    <a:stretch>
                      <a:fillRect/>
                    </a:stretch>
                  </pic:blipFill>
                  <pic:spPr bwMode="auto">
                    <a:xfrm>
                      <a:off x="0" y="0"/>
                      <a:ext cx="6543675" cy="593725"/>
                    </a:xfrm>
                    <a:prstGeom prst="rect">
                      <a:avLst/>
                    </a:prstGeom>
                    <a:noFill/>
                  </pic:spPr>
                </pic:pic>
              </a:graphicData>
            </a:graphic>
          </wp:anchor>
        </w:drawing>
      </w:r>
    </w:p>
    <w:p>
      <w:pPr>
        <w:spacing w:after="0" w:line="348" w:lineRule="exact"/>
        <w:rPr>
          <w:sz w:val="20"/>
          <w:szCs w:val="20"/>
          <w:color w:val="auto"/>
        </w:rPr>
      </w:pPr>
    </w:p>
    <w:p>
      <w:pPr>
        <w:ind w:right="340" w:firstLine="630"/>
        <w:spacing w:after="0" w:line="281" w:lineRule="auto"/>
        <w:rPr>
          <w:sz w:val="20"/>
          <w:szCs w:val="20"/>
          <w:color w:val="auto"/>
        </w:rPr>
      </w:pPr>
      <w:r>
        <w:rPr>
          <w:rFonts w:ascii="Times New Roman" w:cs="Times New Roman" w:eastAsia="Times New Roman" w:hAnsi="Times New Roman"/>
          <w:sz w:val="20"/>
          <w:szCs w:val="20"/>
          <w:color w:val="auto"/>
        </w:rPr>
        <w:t>For the years ended December 31, 2024, 2023 and 2022, we recognized income tax provision of $3,000, income tax benefit of $4,000, and income tax provision of $24,000 respectively, related to state income taxes.</w:t>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Significant components of our deferred tax assets and liabilities are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20"/>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1"/>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06"/>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70,724</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72,777</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174 Capitalized R&amp;D</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61,029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37,240</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26,102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19,058</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Equity compensation</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10,533</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Zejula royalty revenue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6,978</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Lease liability</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3,912</w:t>
            </w:r>
          </w:p>
        </w:tc>
      </w:tr>
      <w:tr>
        <w:trPr>
          <w:trHeight w:val="288"/>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net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12,774</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7,201</w:t>
            </w:r>
          </w:p>
        </w:tc>
      </w:tr>
      <w:tr>
        <w:trPr>
          <w:trHeight w:val="265"/>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193,532</w:t>
            </w:r>
          </w:p>
        </w:tc>
        <w:tc>
          <w:tcPr>
            <w:tcW w:w="8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157,699</w:t>
            </w:r>
          </w:p>
        </w:tc>
      </w:tr>
      <w:tr>
        <w:trPr>
          <w:trHeight w:val="241"/>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06"/>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ROU asset</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(3,552)</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net</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(2,658)</w:t>
            </w:r>
          </w:p>
        </w:tc>
      </w:tr>
      <w:tr>
        <w:trPr>
          <w:trHeight w:val="288"/>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Fixed assets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65"/>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(6,347)</w:t>
            </w:r>
          </w:p>
        </w:tc>
        <w:tc>
          <w:tcPr>
            <w:tcW w:w="8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(6,332)</w:t>
            </w:r>
          </w:p>
        </w:tc>
      </w:tr>
      <w:tr>
        <w:trPr>
          <w:trHeight w:val="262"/>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Net deferred tax assets</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187,185</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151,367</w:t>
            </w:r>
          </w:p>
        </w:tc>
      </w:tr>
      <w:tr>
        <w:trPr>
          <w:trHeight w:val="288"/>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Less: valuation allowance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(187,185)</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(151,367)</w:t>
            </w:r>
          </w:p>
        </w:tc>
      </w:tr>
      <w:tr>
        <w:trPr>
          <w:trHeight w:val="245"/>
        </w:trPr>
        <w:tc>
          <w:tcPr>
            <w:tcW w:w="71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-3107690</wp:posOffset>
            </wp:positionV>
            <wp:extent cx="6534150" cy="3127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0">
                      <a:extLst>
                        <a:ext uri="{28A0092B-C50C-407E-A947-70E740481C1C}"/>
                      </a:extLst>
                    </a:blip>
                    <a:srcRect/>
                    <a:stretch>
                      <a:fillRect/>
                    </a:stretch>
                  </pic:blipFill>
                  <pic:spPr bwMode="auto">
                    <a:xfrm>
                      <a:off x="0" y="0"/>
                      <a:ext cx="6534150" cy="3127375"/>
                    </a:xfrm>
                    <a:prstGeom prst="rect">
                      <a:avLst/>
                    </a:prstGeom>
                    <a:noFill/>
                  </pic:spPr>
                </pic:pic>
              </a:graphicData>
            </a:graphic>
          </wp:anchor>
        </w:drawing>
      </w:r>
    </w:p>
    <w:p>
      <w:pPr>
        <w:spacing w:after="0" w:line="268" w:lineRule="exact"/>
        <w:rPr>
          <w:sz w:val="20"/>
          <w:szCs w:val="20"/>
          <w:color w:val="auto"/>
        </w:rPr>
      </w:pPr>
    </w:p>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We have recorded a full valuation allowance against our net deferred tax assets due to the uncertainty surrounding the realization of such assets. Management has determined it more likely than not that the deferred tax assets are not realizable due to our historical loss position.</w:t>
      </w:r>
    </w:p>
    <w:p>
      <w:pPr>
        <w:spacing w:after="0" w:line="75" w:lineRule="exact"/>
        <w:rPr>
          <w:sz w:val="20"/>
          <w:szCs w:val="20"/>
          <w:color w:val="auto"/>
        </w:rPr>
      </w:pPr>
    </w:p>
    <w:p>
      <w:pPr>
        <w:ind w:right="60" w:firstLine="630"/>
        <w:spacing w:after="0" w:line="254" w:lineRule="auto"/>
        <w:rPr>
          <w:sz w:val="20"/>
          <w:szCs w:val="20"/>
          <w:color w:val="auto"/>
        </w:rPr>
      </w:pPr>
      <w:r>
        <w:rPr>
          <w:rFonts w:ascii="Times New Roman" w:cs="Times New Roman" w:eastAsia="Times New Roman" w:hAnsi="Times New Roman"/>
          <w:sz w:val="20"/>
          <w:szCs w:val="20"/>
          <w:color w:val="auto"/>
        </w:rPr>
        <w:t>As of December 31, 2024, we had federal and state net operating loss carryforwards (“NOLs”), of $300.7 million and $73.0 million, respectively. The federal and state NOLs generated prior to 2018 will begin to expire in 2031 and 2028, respectively, unless previously utilized. The federal NOL includes $262.0 million of net operating losses generated in 2018 and after. Federal net operating losses generated in 2018 and after carryover indefinitely and may generally be used to offset up to 80% of future taxable income. As of December 31, 2024, we had federal and state research tax credit carryforwards of approximately $18.6 million and $17.4 million, respectively. The federal research tax credit carryforwards will begin to expire in 2041 and the state research tax credits carryforward indefinitely. We also have foreign tax losses of $2.8 million, which will carry forward indefinitely, subject to a continuity of ownership test.</w:t>
      </w:r>
    </w:p>
    <w:p>
      <w:pPr>
        <w:spacing w:after="0" w:line="93" w:lineRule="exact"/>
        <w:rPr>
          <w:sz w:val="20"/>
          <w:szCs w:val="20"/>
          <w:color w:val="auto"/>
        </w:rPr>
      </w:pPr>
    </w:p>
    <w:p>
      <w:pPr>
        <w:ind w:right="60" w:firstLine="630"/>
        <w:spacing w:after="0" w:line="256" w:lineRule="auto"/>
        <w:rPr>
          <w:sz w:val="20"/>
          <w:szCs w:val="20"/>
          <w:color w:val="auto"/>
        </w:rPr>
      </w:pPr>
      <w:r>
        <w:rPr>
          <w:rFonts w:ascii="Times New Roman" w:cs="Times New Roman" w:eastAsia="Times New Roman" w:hAnsi="Times New Roman"/>
          <w:sz w:val="20"/>
          <w:szCs w:val="20"/>
          <w:color w:val="auto"/>
        </w:rPr>
        <w:t>The above NOL carryforward and the federal and state research credit carryforwards may be subject to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w:t>
      </w:r>
    </w:p>
    <w:p>
      <w:pPr>
        <w:spacing w:after="0" w:line="88" w:lineRule="exact"/>
        <w:rPr>
          <w:sz w:val="20"/>
          <w:szCs w:val="20"/>
          <w:color w:val="auto"/>
        </w:rPr>
      </w:pPr>
    </w:p>
    <w:p>
      <w:pPr>
        <w:ind w:right="120" w:firstLine="630"/>
        <w:spacing w:after="0" w:line="281" w:lineRule="auto"/>
        <w:rPr>
          <w:sz w:val="20"/>
          <w:szCs w:val="20"/>
          <w:color w:val="auto"/>
        </w:rPr>
      </w:pPr>
      <w:r>
        <w:rPr>
          <w:rFonts w:ascii="Times New Roman" w:cs="Times New Roman" w:eastAsia="Times New Roman" w:hAnsi="Times New Roman"/>
          <w:sz w:val="20"/>
          <w:szCs w:val="20"/>
          <w:color w:val="auto"/>
        </w:rPr>
        <w:t>We experienced ownership changes as defined by Section 382 of the Code during 2007, 2017 and 2021. As a result, as of December 31, 2024, there are $114.6 million of federal NOLs available to offset taxable income in future years without</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40"/>
          </w:cols>
          <w:pgMar w:left="1000" w:top="786" w:right="1000" w:bottom="0" w:gutter="0" w:footer="0" w:header="0"/>
          <w:type w:val="continuous"/>
        </w:sectPr>
      </w:pPr>
    </w:p>
    <w:bookmarkStart w:id="96" w:name="page97"/>
    <w:bookmarkEnd w:id="96"/>
    <w:p>
      <w:pPr>
        <w:ind w:right="220"/>
        <w:spacing w:after="0" w:line="281" w:lineRule="auto"/>
        <w:rPr>
          <w:sz w:val="20"/>
          <w:szCs w:val="20"/>
          <w:color w:val="auto"/>
        </w:rPr>
      </w:pPr>
      <w:r>
        <w:rPr>
          <w:rFonts w:ascii="Times New Roman" w:cs="Times New Roman" w:eastAsia="Times New Roman" w:hAnsi="Times New Roman"/>
          <w:sz w:val="20"/>
          <w:szCs w:val="20"/>
          <w:color w:val="auto"/>
        </w:rPr>
        <w:t>Section 382 limitation, while $186.1 million of federal NOLs are subject to annual limitations over future periods. State NOL and credit carryforwards may be similarly limited.</w:t>
      </w:r>
    </w:p>
    <w:p>
      <w:pPr>
        <w:spacing w:after="0" w:line="61" w:lineRule="exact"/>
        <w:rPr>
          <w:sz w:val="20"/>
          <w:szCs w:val="20"/>
          <w:color w:val="auto"/>
        </w:rPr>
      </w:pPr>
    </w:p>
    <w:p>
      <w:pPr>
        <w:ind w:right="160" w:firstLine="680"/>
        <w:spacing w:after="0" w:line="258" w:lineRule="auto"/>
        <w:rPr>
          <w:sz w:val="20"/>
          <w:szCs w:val="20"/>
          <w:color w:val="auto"/>
        </w:rPr>
      </w:pPr>
      <w:r>
        <w:rPr>
          <w:rFonts w:ascii="Times New Roman" w:cs="Times New Roman" w:eastAsia="Times New Roman" w:hAnsi="Times New Roman"/>
          <w:sz w:val="20"/>
          <w:szCs w:val="20"/>
          <w:color w:val="auto"/>
        </w:rPr>
        <w:t>Our use of federal and state NOLs and research credits could be further limited if we experience one or more ownership changes subsequent to December 31, 2024. If a change in ownership occurs, NOLs and tax credit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w:t>
      </w:r>
    </w:p>
    <w:p>
      <w:pPr>
        <w:spacing w:after="0" w:line="84" w:lineRule="exact"/>
        <w:rPr>
          <w:sz w:val="20"/>
          <w:szCs w:val="20"/>
          <w:color w:val="auto"/>
        </w:rPr>
      </w:pPr>
    </w:p>
    <w:p>
      <w:pPr>
        <w:ind w:right="680" w:firstLine="630"/>
        <w:spacing w:after="0" w:line="281" w:lineRule="auto"/>
        <w:rPr>
          <w:sz w:val="20"/>
          <w:szCs w:val="20"/>
          <w:color w:val="auto"/>
        </w:rPr>
      </w:pPr>
      <w:r>
        <w:rPr>
          <w:rFonts w:ascii="Times New Roman" w:cs="Times New Roman" w:eastAsia="Times New Roman" w:hAnsi="Times New Roman"/>
          <w:sz w:val="20"/>
          <w:szCs w:val="20"/>
          <w:color w:val="auto"/>
        </w:rPr>
        <w:t>The following is a reconciliation of the expected statutory federal income tax provision to our actual income tax provision:</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Expected income tax benefit at federal statutory tax rate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(30,498)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(34,361)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(27,026)</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Permanent items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compensation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Research credits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(3,319)</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Change in the valuation allowance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36,148</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35,784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29,385</w:t>
            </w:r>
          </w:p>
        </w:tc>
      </w:tr>
      <w:tr>
        <w:trPr>
          <w:trHeight w:val="245"/>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-1669415</wp:posOffset>
            </wp:positionV>
            <wp:extent cx="6543675" cy="1689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extLst>
                        <a:ext uri="{28A0092B-C50C-407E-A947-70E740481C1C}"/>
                      </a:extLst>
                    </a:blip>
                    <a:srcRect/>
                    <a:stretch>
                      <a:fillRect/>
                    </a:stretch>
                  </pic:blipFill>
                  <pic:spPr bwMode="auto">
                    <a:xfrm>
                      <a:off x="0" y="0"/>
                      <a:ext cx="6543675" cy="1689100"/>
                    </a:xfrm>
                    <a:prstGeom prst="rect">
                      <a:avLst/>
                    </a:prstGeom>
                    <a:noFill/>
                  </pic:spPr>
                </pic:pic>
              </a:graphicData>
            </a:graphic>
          </wp:anchor>
        </w:drawing>
      </w:r>
    </w:p>
    <w:p>
      <w:pPr>
        <w:spacing w:after="0" w:line="228" w:lineRule="exact"/>
        <w:rPr>
          <w:sz w:val="20"/>
          <w:szCs w:val="20"/>
          <w:color w:val="auto"/>
        </w:rPr>
      </w:pPr>
    </w:p>
    <w:p>
      <w:pPr>
        <w:ind w:right="60" w:firstLine="630"/>
        <w:spacing w:after="0" w:line="256" w:lineRule="auto"/>
        <w:rPr>
          <w:sz w:val="20"/>
          <w:szCs w:val="20"/>
          <w:color w:val="auto"/>
        </w:rPr>
      </w:pPr>
      <w:r>
        <w:rPr>
          <w:rFonts w:ascii="Times New Roman" w:cs="Times New Roman" w:eastAsia="Times New Roman" w:hAnsi="Times New Roman"/>
          <w:sz w:val="20"/>
          <w:szCs w:val="20"/>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As of December 31, 2024 and 2023,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0"/>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year</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3,369</w:t>
            </w: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(Decrease) increase related to prior year tax positions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88"/>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Increase related to current year tax positions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1,899</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1,494</w:t>
            </w:r>
          </w:p>
        </w:tc>
      </w:tr>
      <w:tr>
        <w:trPr>
          <w:trHeight w:val="24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year</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6,911</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5,016</w:t>
            </w:r>
          </w:p>
        </w:tc>
      </w:tr>
      <w:tr>
        <w:trPr>
          <w:trHeight w:val="20"/>
        </w:trPr>
        <w:tc>
          <w:tcPr>
            <w:tcW w:w="7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34150" cy="774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2">
                      <a:extLst>
                        <a:ext uri="{28A0092B-C50C-407E-A947-70E740481C1C}"/>
                      </a:extLst>
                    </a:blip>
                    <a:srcRect/>
                    <a:stretch>
                      <a:fillRect/>
                    </a:stretch>
                  </pic:blipFill>
                  <pic:spPr bwMode="auto">
                    <a:xfrm>
                      <a:off x="0" y="0"/>
                      <a:ext cx="6534150" cy="774700"/>
                    </a:xfrm>
                    <a:prstGeom prst="rect">
                      <a:avLst/>
                    </a:prstGeom>
                    <a:noFill/>
                  </pic:spPr>
                </pic:pic>
              </a:graphicData>
            </a:graphic>
          </wp:anchor>
        </w:drawing>
      </w:r>
    </w:p>
    <w:p>
      <w:pPr>
        <w:spacing w:after="0" w:line="348" w:lineRule="exact"/>
        <w:rPr>
          <w:sz w:val="20"/>
          <w:szCs w:val="20"/>
          <w:color w:val="auto"/>
        </w:rPr>
      </w:pPr>
    </w:p>
    <w:p>
      <w:pPr>
        <w:ind w:right="120" w:firstLine="630"/>
        <w:spacing w:after="0" w:line="266" w:lineRule="auto"/>
        <w:rPr>
          <w:sz w:val="20"/>
          <w:szCs w:val="20"/>
          <w:color w:val="auto"/>
        </w:rPr>
      </w:pPr>
      <w:r>
        <w:rPr>
          <w:rFonts w:ascii="Times New Roman" w:cs="Times New Roman" w:eastAsia="Times New Roman" w:hAnsi="Times New Roman"/>
          <w:sz w:val="20"/>
          <w:szCs w:val="20"/>
          <w:color w:val="auto"/>
        </w:rPr>
        <w:t>If recognized, these amounts would not affect our effective tax rate, since they would be offset by an equal corresponding adjustment in the deferred tax asset valuation allowance. We do not anticipate there will be a significant change in unrecognized tax benefits within the next 12 months.</w:t>
      </w:r>
    </w:p>
    <w:p>
      <w:pPr>
        <w:spacing w:after="0" w:line="75" w:lineRule="exact"/>
        <w:rPr>
          <w:sz w:val="20"/>
          <w:szCs w:val="20"/>
          <w:color w:val="auto"/>
        </w:rPr>
      </w:pPr>
    </w:p>
    <w:p>
      <w:pPr>
        <w:ind w:right="220" w:firstLine="630"/>
        <w:spacing w:after="0" w:line="281" w:lineRule="auto"/>
        <w:rPr>
          <w:sz w:val="20"/>
          <w:szCs w:val="20"/>
          <w:color w:val="auto"/>
        </w:rPr>
      </w:pPr>
      <w:r>
        <w:rPr>
          <w:rFonts w:ascii="Times New Roman" w:cs="Times New Roman" w:eastAsia="Times New Roman" w:hAnsi="Times New Roman"/>
          <w:sz w:val="20"/>
          <w:szCs w:val="20"/>
          <w:color w:val="auto"/>
        </w:rPr>
        <w:t>Our policy is to recognize interest and penalties related to income tax matters in the provision for income taxes. As of December 31, 2024 and 2023, there were no interest or penalties on uncertain tax benefits.</w:t>
      </w:r>
    </w:p>
    <w:p>
      <w:pPr>
        <w:spacing w:after="0" w:line="61" w:lineRule="exact"/>
        <w:rPr>
          <w:sz w:val="20"/>
          <w:szCs w:val="20"/>
          <w:color w:val="auto"/>
        </w:rPr>
      </w:pPr>
    </w:p>
    <w:p>
      <w:pPr>
        <w:ind w:right="340" w:firstLine="630"/>
        <w:spacing w:after="0" w:line="281" w:lineRule="auto"/>
        <w:rPr>
          <w:sz w:val="20"/>
          <w:szCs w:val="20"/>
          <w:color w:val="auto"/>
        </w:rPr>
      </w:pPr>
      <w:r>
        <w:rPr>
          <w:rFonts w:ascii="Times New Roman" w:cs="Times New Roman" w:eastAsia="Times New Roman" w:hAnsi="Times New Roman"/>
          <w:sz w:val="20"/>
          <w:szCs w:val="20"/>
          <w:color w:val="auto"/>
        </w:rPr>
        <w:t>We file income tax returns in the United States, California, various U.S. state jurisdictions and Australia. Due to our losses incurred, we are essentially subject to income tax examination by tax authorities from inception to date.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240"/>
          </w:cols>
          <w:pgMar w:left="1000" w:top="793" w:right="1000" w:bottom="0" w:gutter="0" w:footer="0" w:header="0"/>
          <w:type w:val="continuous"/>
        </w:sectPr>
      </w:pPr>
    </w:p>
    <w:bookmarkStart w:id="97" w:name="page98"/>
    <w:bookmarkEnd w:id="97"/>
    <w:p>
      <w:pPr>
        <w:ind w:left="310" w:hanging="310"/>
        <w:spacing w:after="0"/>
        <w:tabs>
          <w:tab w:leader="none" w:pos="31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w:t>
      </w:r>
    </w:p>
    <w:p>
      <w:pPr>
        <w:spacing w:after="0" w:line="128" w:lineRule="exact"/>
        <w:rPr>
          <w:rFonts w:ascii="Times New Roman" w:cs="Times New Roman" w:eastAsia="Times New Roman" w:hAnsi="Times New Roman"/>
          <w:sz w:val="20"/>
          <w:szCs w:val="20"/>
          <w:b w:val="1"/>
          <w:bCs w:val="1"/>
          <w:color w:val="auto"/>
        </w:rPr>
      </w:pPr>
    </w:p>
    <w:p>
      <w:pPr>
        <w:ind w:left="31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Exclusive License Agreement</w:t>
      </w:r>
    </w:p>
    <w:p>
      <w:pPr>
        <w:spacing w:after="0" w:line="259" w:lineRule="exact"/>
        <w:rPr>
          <w:sz w:val="20"/>
          <w:szCs w:val="20"/>
          <w:color w:val="auto"/>
        </w:rPr>
      </w:pPr>
    </w:p>
    <w:p>
      <w:pPr>
        <w:ind w:left="10" w:right="260" w:firstLine="630"/>
        <w:spacing w:after="0" w:line="258" w:lineRule="auto"/>
        <w:rPr>
          <w:sz w:val="20"/>
          <w:szCs w:val="20"/>
          <w:color w:val="auto"/>
        </w:rPr>
      </w:pPr>
      <w:r>
        <w:rPr>
          <w:rFonts w:ascii="Times New Roman" w:cs="Times New Roman" w:eastAsia="Times New Roman" w:hAnsi="Times New Roman"/>
          <w:sz w:val="20"/>
          <w:szCs w:val="20"/>
          <w:color w:val="auto"/>
        </w:rPr>
        <w:t>On January 31, 2025, we entered into an Exclusive License Agreement (the “License Agreement”) with Vanda Pharmaceuticals Inc.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spacing w:after="0" w:line="204" w:lineRule="exact"/>
        <w:rPr>
          <w:sz w:val="20"/>
          <w:szCs w:val="20"/>
          <w:color w:val="auto"/>
        </w:rPr>
      </w:pPr>
    </w:p>
    <w:p>
      <w:pPr>
        <w:ind w:left="10" w:firstLine="720"/>
        <w:spacing w:after="0" w:line="266" w:lineRule="auto"/>
        <w:rPr>
          <w:sz w:val="20"/>
          <w:szCs w:val="20"/>
          <w:color w:val="auto"/>
        </w:rPr>
      </w:pPr>
      <w:r>
        <w:rPr>
          <w:rFonts w:ascii="Times New Roman" w:cs="Times New Roman" w:eastAsia="Times New Roman" w:hAnsi="Times New Roman"/>
          <w:sz w:val="20"/>
          <w:szCs w:val="20"/>
          <w:color w:val="auto"/>
        </w:rPr>
        <w:t>Pursuant to the terms of the License Agreement, we received an upfront payment of $10.0 million and a $5.0 million payment for existing drug supply. Anaptys is also eligible to receive up to $35.0 million for future regulatory approval and sales milestones in addition to a 10% royalty on net sales.</w:t>
      </w:r>
    </w:p>
    <w:p>
      <w:pPr>
        <w:sectPr>
          <w:pgSz w:w="12240" w:h="15840" w:orient="portrait"/>
          <w:cols w:equalWidth="0" w:num="1">
            <w:col w:w="10250"/>
          </w:cols>
          <w:pgMar w:left="99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250"/>
          </w:cols>
          <w:pgMar w:left="990" w:top="786" w:right="100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37"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As of December 31, 2024, our management, with the participation of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disclosures. Based on this evaluation, our principal executive officer and principal financial officer concluded that, as of December 31, 2024, the design and operation of our disclosure controls and procedures were effective at a reasonable assurance level.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37" w:lineRule="exact"/>
        <w:rPr>
          <w:sz w:val="20"/>
          <w:szCs w:val="20"/>
          <w:color w:val="auto"/>
        </w:rPr>
      </w:pPr>
    </w:p>
    <w:p>
      <w:pPr>
        <w:ind w:right="260" w:firstLine="630"/>
        <w:spacing w:after="0" w:line="25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of the Exchange Act. Management assessed the effectiveness of our internal control over financial reporting as of December 31, 2024. In making this assessment, management used the criteria set forth by the Committee of Sponsoring Organizations of the Treadway Commission (COSO) in Internal Control—Integrated Framework issued in 2013. Based upon the assessments, management has concluded that as of December 31, 2024 our internal control over financial reporting was effective to provide reasonable assurance regarding the reliability of financial reporting and the preparation of financial statements in accordance with GAAP.</w:t>
      </w:r>
    </w:p>
    <w:p>
      <w:pPr>
        <w:spacing w:after="0" w:line="90" w:lineRule="exact"/>
        <w:rPr>
          <w:sz w:val="20"/>
          <w:szCs w:val="20"/>
          <w:color w:val="auto"/>
        </w:rPr>
      </w:pPr>
    </w:p>
    <w:p>
      <w:pPr>
        <w:ind w:right="200" w:firstLine="630"/>
        <w:spacing w:after="0" w:line="260"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on internal control over financial reporting issued by our independent registered accounting firm. Our auditors will not be required to formally opine on the effectiveness of our internal control over financial reporting pursuant to Section 404(b) of the Sarbanes-Oxley Act of 2002 until we are no longer a smaller reporting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37" w:lineRule="exact"/>
        <w:rPr>
          <w:sz w:val="20"/>
          <w:szCs w:val="20"/>
          <w:color w:val="auto"/>
        </w:rPr>
      </w:pPr>
    </w:p>
    <w:p>
      <w:pPr>
        <w:ind w:right="120" w:firstLine="630"/>
        <w:spacing w:after="0" w:line="266"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identified in connection with the evaluation required by Rule 13a-15(d) and 15d-15(d) of the Exchange Act that occurred during the quarter ended December 31, 2024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on Effectiveness of Controls</w:t>
      </w:r>
    </w:p>
    <w:p>
      <w:pPr>
        <w:spacing w:after="0" w:line="137" w:lineRule="exact"/>
        <w:rPr>
          <w:sz w:val="20"/>
          <w:szCs w:val="20"/>
          <w:color w:val="auto"/>
        </w:rPr>
      </w:pPr>
    </w:p>
    <w:p>
      <w:pPr>
        <w:jc w:val="both"/>
        <w:ind w:firstLine="630"/>
        <w:spacing w:after="0" w:line="286" w:lineRule="auto"/>
        <w:rPr>
          <w:sz w:val="20"/>
          <w:szCs w:val="20"/>
          <w:color w:val="auto"/>
        </w:rPr>
      </w:pPr>
      <w:r>
        <w:rPr>
          <w:rFonts w:ascii="Times New Roman" w:cs="Times New Roman" w:eastAsia="Times New Roman" w:hAnsi="Times New Roman"/>
          <w:sz w:val="19"/>
          <w:szCs w:val="19"/>
          <w:color w:val="auto"/>
        </w:rPr>
        <w:t>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37" w:lineRule="exact"/>
        <w:rPr>
          <w:sz w:val="20"/>
          <w:szCs w:val="20"/>
          <w:color w:val="auto"/>
        </w:rPr>
      </w:pPr>
    </w:p>
    <w:p>
      <w:pPr>
        <w:ind w:right="260" w:firstLine="630"/>
        <w:spacing w:after="0" w:line="266" w:lineRule="auto"/>
        <w:rPr>
          <w:sz w:val="20"/>
          <w:szCs w:val="20"/>
          <w:color w:val="auto"/>
        </w:rPr>
      </w:pPr>
      <w:r>
        <w:rPr>
          <w:rFonts w:ascii="Times New Roman" w:cs="Times New Roman" w:eastAsia="Times New Roman" w:hAnsi="Times New Roman"/>
          <w:sz w:val="20"/>
          <w:szCs w:val="20"/>
          <w:color w:val="auto"/>
        </w:rPr>
        <w:t>During the quarter ended December 31, 2024, none of the Company’s directors or officers adopted or terminated any “Rule 10b5-1 trading arrangements” or any “non-Rule 10b5-1 trading arrangement,” as each term is defined in Item 408 of Regulation S-K.</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240"/>
          </w:cols>
          <w:pgMar w:left="1000" w:top="786" w:right="100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37"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We have adopted an Insider Trading Policy governing the purchase, sale, and other dispositions of our securities that applies to all of our personnel, including directors, officers, employees, and other covered persons. The Insider Trading Policy also provides that the Company will not transact in its own securities unless in compliance with U.S. federal and state securities laws. We believe that our Insider Trading Policy is reasonably designed to promote compliance with insider trading laws, rules and regulations, and listing standards applicable to the Company. A copy of the Insider Trading Policy is filed as Exhibit 19.1 to this Annual Report.</w:t>
      </w:r>
    </w:p>
    <w:p>
      <w:pPr>
        <w:spacing w:after="0" w:line="88" w:lineRule="exact"/>
        <w:rPr>
          <w:sz w:val="20"/>
          <w:szCs w:val="20"/>
          <w:color w:val="auto"/>
        </w:rPr>
      </w:pPr>
    </w:p>
    <w:p>
      <w:pPr>
        <w:ind w:right="40" w:firstLine="630"/>
        <w:spacing w:after="0" w:line="258" w:lineRule="auto"/>
        <w:rPr>
          <w:sz w:val="20"/>
          <w:szCs w:val="20"/>
          <w:color w:val="auto"/>
        </w:rPr>
      </w:pPr>
      <w:r>
        <w:rPr>
          <w:rFonts w:ascii="Times New Roman" w:cs="Times New Roman" w:eastAsia="Times New Roman" w:hAnsi="Times New Roman"/>
          <w:sz w:val="20"/>
          <w:szCs w:val="20"/>
          <w:color w:val="auto"/>
        </w:rPr>
        <w:t>The remaining information required by this Item is incorporated herein by reference to the sections titled “Information about our Executive Officers,” “Election of Class II Directors,” “Corporate Governance Standards and Director Independence”, “Insider Trading Policy” and “Security Ownership of Certain Beneficial Owners and Management” in our Definitive Proxy Statement with respect to our 2025 Annual Meeting of Stockholders to be filed with the SEC within 120 days after the end of the fiscal year covered by this Annual Report on Form 10-K.</w:t>
      </w:r>
    </w:p>
    <w:p>
      <w:pPr>
        <w:spacing w:after="0" w:line="84"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With regard to the information required by this item regarding compliance with Section 16(a) of the Exchange Act, we will provide disclosure of delinquent Section 16(a) reports, if any, in our Proxy Statement related to the 2025 Annual Meeting of Stockholders, and such disclosure, if any,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37" w:lineRule="exact"/>
        <w:rPr>
          <w:sz w:val="20"/>
          <w:szCs w:val="20"/>
          <w:color w:val="auto"/>
        </w:rPr>
      </w:pPr>
    </w:p>
    <w:p>
      <w:pPr>
        <w:ind w:right="220" w:firstLine="630"/>
        <w:spacing w:after="0" w:line="260" w:lineRule="auto"/>
        <w:rPr>
          <w:sz w:val="20"/>
          <w:szCs w:val="20"/>
          <w:color w:val="auto"/>
        </w:rPr>
      </w:pPr>
      <w:r>
        <w:rPr>
          <w:rFonts w:ascii="Times New Roman" w:cs="Times New Roman" w:eastAsia="Times New Roman" w:hAnsi="Times New Roman"/>
          <w:sz w:val="20"/>
          <w:szCs w:val="20"/>
          <w:color w:val="auto"/>
        </w:rPr>
        <w:t>Information required by this Item is incorporated herein by reference to the section titled “Executive Compensation,” “Election of Class II Directors,” and “Corporate Governance Standards and Director Independence” in our Definitive Proxy Statement with respect to our 2025 Annual Meeting of Stockholders to be filed with the SEC within 120 days after the end of the fiscal year covered by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37" w:lineRule="exact"/>
        <w:rPr>
          <w:sz w:val="20"/>
          <w:szCs w:val="20"/>
          <w:color w:val="auto"/>
        </w:rPr>
      </w:pPr>
    </w:p>
    <w:p>
      <w:pPr>
        <w:ind w:right="120" w:firstLine="630"/>
        <w:spacing w:after="0" w:line="260" w:lineRule="auto"/>
        <w:rPr>
          <w:sz w:val="20"/>
          <w:szCs w:val="20"/>
          <w:color w:val="auto"/>
        </w:rPr>
      </w:pPr>
      <w:r>
        <w:rPr>
          <w:rFonts w:ascii="Times New Roman" w:cs="Times New Roman" w:eastAsia="Times New Roman" w:hAnsi="Times New Roman"/>
          <w:sz w:val="20"/>
          <w:szCs w:val="20"/>
          <w:color w:val="auto"/>
        </w:rPr>
        <w:t>Information required by this Item is incorporated herein by reference to the section titled “Security Ownership of Certain Beneficial Owners and Management” and “Equity Compensation Plan Information” in our Definitive Proxy Statement with respect to our 2025 Annual Meeting of Stockholders to be filed with the SEC within 120 days after the end of the fiscal year covered by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37" w:lineRule="exact"/>
        <w:rPr>
          <w:sz w:val="20"/>
          <w:szCs w:val="20"/>
          <w:color w:val="auto"/>
        </w:rPr>
      </w:pPr>
    </w:p>
    <w:p>
      <w:pPr>
        <w:ind w:right="220" w:firstLine="630"/>
        <w:spacing w:after="0" w:line="260" w:lineRule="auto"/>
        <w:rPr>
          <w:sz w:val="20"/>
          <w:szCs w:val="20"/>
          <w:color w:val="auto"/>
        </w:rPr>
      </w:pPr>
      <w:r>
        <w:rPr>
          <w:rFonts w:ascii="Times New Roman" w:cs="Times New Roman" w:eastAsia="Times New Roman" w:hAnsi="Times New Roman"/>
          <w:sz w:val="20"/>
          <w:szCs w:val="20"/>
          <w:color w:val="auto"/>
        </w:rPr>
        <w:t>Information required by this Item is incorporated herein by reference to the section titled “Certain Relationships and Related Party Transactions” and “Corporate Governance Standards and Director Independence” in our Definitive Proxy Statement with respect to our 2025 Annual Meeting of Stockholders to be filed with the SEC within 120 days after the end of the fiscal year covered by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Our independent registered public accounting firm is KPMG LLP, San Diego, CA, Auditor Firm ID: 185.</w:t>
      </w:r>
    </w:p>
    <w:p>
      <w:pPr>
        <w:spacing w:after="0" w:line="130" w:lineRule="exact"/>
        <w:rPr>
          <w:sz w:val="20"/>
          <w:szCs w:val="20"/>
          <w:color w:val="auto"/>
        </w:rPr>
      </w:pPr>
    </w:p>
    <w:p>
      <w:pPr>
        <w:ind w:right="200" w:firstLine="630"/>
        <w:spacing w:after="0" w:line="260" w:lineRule="auto"/>
        <w:rPr>
          <w:sz w:val="20"/>
          <w:szCs w:val="20"/>
          <w:color w:val="auto"/>
        </w:rPr>
      </w:pPr>
      <w:r>
        <w:rPr>
          <w:rFonts w:ascii="Times New Roman" w:cs="Times New Roman" w:eastAsia="Times New Roman" w:hAnsi="Times New Roman"/>
          <w:sz w:val="20"/>
          <w:szCs w:val="20"/>
          <w:color w:val="auto"/>
        </w:rPr>
        <w:t>Information required by this Item is incorporated herein by reference to the section titled “Ratification of Independent Registered Public Accounting Firm” in our Definitive Proxy Statement with respect to our 2025 Annual Meeting of Stockholders to be filed with the SEC within 120 days after the end of the fiscal year covered by this Annual Report on Form 10-K.</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240"/>
          </w:cols>
          <w:pgMar w:left="1000" w:top="786" w:right="1000" w:bottom="0" w:gutter="0" w:footer="0" w:header="0"/>
          <w:type w:val="continuous"/>
        </w:sectPr>
      </w:pPr>
    </w:p>
    <w:bookmarkStart w:id="100" w:name="page101"/>
    <w:bookmarkEnd w:id="100"/>
    <w:p>
      <w:pPr>
        <w:ind w:left="473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Exhibits, Consolidated Financial Statement Schedules</w:t>
      </w:r>
    </w:p>
    <w:p>
      <w:pPr>
        <w:spacing w:after="0" w:line="137" w:lineRule="exact"/>
        <w:rPr>
          <w:sz w:val="20"/>
          <w:szCs w:val="20"/>
          <w:color w:val="auto"/>
        </w:rPr>
      </w:pPr>
    </w:p>
    <w:p>
      <w:pPr>
        <w:ind w:left="270" w:hanging="270"/>
        <w:spacing w:after="0"/>
        <w:tabs>
          <w:tab w:leader="none" w:pos="27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report:</w:t>
      </w:r>
    </w:p>
    <w:p>
      <w:pPr>
        <w:spacing w:after="0" w:line="130" w:lineRule="exact"/>
        <w:rPr>
          <w:rFonts w:ascii="Times New Roman" w:cs="Times New Roman" w:eastAsia="Times New Roman" w:hAnsi="Times New Roman"/>
          <w:sz w:val="20"/>
          <w:szCs w:val="20"/>
          <w:color w:val="auto"/>
        </w:rPr>
      </w:pPr>
    </w:p>
    <w:p>
      <w:pPr>
        <w:ind w:left="830" w:hanging="200"/>
        <w:spacing w:after="0"/>
        <w:tabs>
          <w:tab w:leader="none" w:pos="83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w:t>
      </w:r>
    </w:p>
    <w:p>
      <w:pPr>
        <w:spacing w:after="0" w:line="130" w:lineRule="exact"/>
        <w:rPr>
          <w:sz w:val="20"/>
          <w:szCs w:val="20"/>
          <w:color w:val="auto"/>
        </w:rPr>
      </w:pPr>
    </w:p>
    <w:p>
      <w:pPr>
        <w:ind w:left="1270"/>
        <w:spacing w:after="0"/>
        <w:rPr>
          <w:sz w:val="20"/>
          <w:szCs w:val="20"/>
          <w:color w:val="auto"/>
        </w:rPr>
      </w:pPr>
      <w:r>
        <w:rPr>
          <w:rFonts w:ascii="Times New Roman" w:cs="Times New Roman" w:eastAsia="Times New Roman" w:hAnsi="Times New Roman"/>
          <w:sz w:val="20"/>
          <w:szCs w:val="20"/>
          <w:color w:val="auto"/>
        </w:rPr>
        <w:t>See Index to Consolidated Financial Statements under Part II, Item 8 herein.</w:t>
      </w:r>
    </w:p>
    <w:p>
      <w:pPr>
        <w:spacing w:after="0" w:line="250"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20"/>
          <w:szCs w:val="20"/>
          <w:color w:val="auto"/>
        </w:rPr>
        <w:t>2. Consolidated Financial Statement Schedules</w:t>
      </w:r>
    </w:p>
    <w:p>
      <w:pPr>
        <w:spacing w:after="0" w:line="130" w:lineRule="exact"/>
        <w:rPr>
          <w:sz w:val="20"/>
          <w:szCs w:val="20"/>
          <w:color w:val="auto"/>
        </w:rPr>
      </w:pPr>
    </w:p>
    <w:p>
      <w:pPr>
        <w:ind w:left="10" w:right="60" w:firstLine="1260"/>
        <w:spacing w:after="0" w:line="281" w:lineRule="auto"/>
        <w:rPr>
          <w:sz w:val="20"/>
          <w:szCs w:val="20"/>
          <w:color w:val="auto"/>
        </w:rPr>
      </w:pPr>
      <w:r>
        <w:rPr>
          <w:rFonts w:ascii="Times New Roman" w:cs="Times New Roman" w:eastAsia="Times New Roman" w:hAnsi="Times New Roman"/>
          <w:sz w:val="20"/>
          <w:szCs w:val="20"/>
          <w:color w:val="auto"/>
        </w:rPr>
        <w:t>No consolidated financial statement schedules are provided because the information called for is not required or is shown either in the consolidated financial statements or notes thereto.</w:t>
      </w:r>
    </w:p>
    <w:p>
      <w:pPr>
        <w:spacing w:after="0" w:line="181"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20"/>
          <w:szCs w:val="20"/>
          <w:color w:val="auto"/>
        </w:rPr>
        <w:t>3. Exhibits</w:t>
      </w:r>
    </w:p>
    <w:p>
      <w:pPr>
        <w:spacing w:after="0" w:line="6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192" w:lineRule="exact"/>
        <w:rPr>
          <w:sz w:val="20"/>
          <w:szCs w:val="20"/>
          <w:color w:val="auto"/>
        </w:rPr>
      </w:pPr>
    </w:p>
    <w:p>
      <w:pPr>
        <w:ind w:left="629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3133725</wp:posOffset>
                </wp:positionH>
                <wp:positionV relativeFrom="paragraph">
                  <wp:posOffset>36195</wp:posOffset>
                </wp:positionV>
                <wp:extent cx="284797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79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75pt,2.85pt" to="471pt,2.85pt" o:allowincell="f" strokecolor="#000000" strokeweight="1pt"/>
            </w:pict>
          </mc:Fallback>
        </mc:AlternateContent>
      </w:r>
    </w:p>
    <w:p>
      <w:pPr>
        <w:sectPr>
          <w:pgSz w:w="12240" w:h="15840" w:orient="portrait"/>
          <w:cols w:equalWidth="0" w:num="1">
            <w:col w:w="10270"/>
          </w:cols>
          <w:pgMar w:left="990" w:top="786" w:right="980" w:bottom="0" w:gutter="0" w:footer="0" w:header="0"/>
        </w:sectPr>
      </w:pPr>
    </w:p>
    <w:p>
      <w:pPr>
        <w:spacing w:after="0" w:line="87" w:lineRule="exact"/>
        <w:rPr>
          <w:sz w:val="20"/>
          <w:szCs w:val="20"/>
          <w:color w:val="auto"/>
        </w:rPr>
      </w:pPr>
    </w:p>
    <w:p>
      <w:pPr>
        <w:ind w:left="210"/>
        <w:spacing w:after="0"/>
        <w:rPr>
          <w:sz w:val="20"/>
          <w:szCs w:val="20"/>
          <w:color w:val="auto"/>
        </w:rPr>
      </w:pPr>
      <w:r>
        <w:rPr>
          <w:rFonts w:ascii="Times New Roman" w:cs="Times New Roman" w:eastAsia="Times New Roman" w:hAnsi="Times New Roman"/>
          <w:sz w:val="16"/>
          <w:szCs w:val="16"/>
          <w:b w:val="1"/>
          <w:bCs w:val="1"/>
          <w:color w:val="auto"/>
        </w:rPr>
        <w:t>Exhibit</w:t>
      </w:r>
    </w:p>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6000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47.25pt,1.1pt" o:allowincell="f" strokecolor="#000000" strokeweight="1pt"/>
            </w:pict>
          </mc:Fallback>
        </mc:AlternateContent>
      </w:r>
    </w:p>
    <w:p>
      <w:pPr>
        <w:ind w:left="50"/>
        <w:spacing w:after="0"/>
        <w:rPr>
          <w:sz w:val="20"/>
          <w:szCs w:val="20"/>
          <w:color w:val="auto"/>
        </w:rPr>
      </w:pPr>
      <w:r>
        <w:rPr>
          <w:rFonts w:ascii="Times New Roman" w:cs="Times New Roman" w:eastAsia="Times New Roman" w:hAnsi="Times New Roman"/>
          <w:sz w:val="20"/>
          <w:szCs w:val="20"/>
          <w:color w:val="auto"/>
        </w:rPr>
        <w:t>3.1</w:t>
      </w:r>
    </w:p>
    <w:p>
      <w:pPr>
        <w:spacing w:after="0" w:line="26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3.2</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4.1</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Description of Document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26670</wp:posOffset>
                </wp:positionV>
                <wp:extent cx="24384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8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2.1pt" to="189.5pt,2.1pt" o:allowincell="f" strokecolor="#000000" strokeweight="1pt"/>
            </w:pict>
          </mc:Fallback>
        </mc:AlternateContent>
      </w:r>
    </w:p>
    <w:p>
      <w:pPr>
        <w:spacing w:after="0" w:line="2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9"/>
          <w:szCs w:val="19"/>
          <w:u w:val="single" w:color="auto"/>
          <w:color w:val="0000FF"/>
        </w:rPr>
        <w:t>Amended and Restated Certificate of Incorporation, as currently in effect.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Restated Bylaws, as currently in effect.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Form of Common Stock Certificate.</w:t>
      </w:r>
    </w:p>
    <w:p>
      <w:pPr>
        <w:spacing w:after="0" w:line="3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u w:val="single" w:color="auto"/>
          <w:color w:val="0000FF"/>
        </w:rPr>
        <w:t>Description of the Registrant’s Securities Registered Pursuant to Section 12 of the Securities Exchange Act of 1934</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 w:type="dxa"/>
            <w:vAlign w:val="bottom"/>
          </w:tcPr>
          <w:p>
            <w:pPr>
              <w:spacing w:after="0"/>
              <w:rPr>
                <w:sz w:val="16"/>
                <w:szCs w:val="16"/>
                <w:color w:val="auto"/>
              </w:rPr>
            </w:pP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80" w:type="dxa"/>
            <w:vAlign w:val="bottom"/>
          </w:tcPr>
          <w:p>
            <w:pPr>
              <w:spacing w:after="0"/>
              <w:rPr>
                <w:sz w:val="16"/>
                <w:szCs w:val="16"/>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14"/>
        </w:trPr>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60"/>
        </w:trPr>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10.26</w:t>
            </w:r>
          </w:p>
        </w:tc>
        <w:tc>
          <w:tcPr>
            <w:tcW w:w="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August 7, 2023</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6"/>
        </w:trPr>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3.1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10, 2023</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333-206849</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4.1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23, 2015</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4.3</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2, 2020</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4" w:lineRule="exact"/>
        <w:rPr>
          <w:sz w:val="20"/>
          <w:szCs w:val="20"/>
          <w:color w:val="auto"/>
        </w:rPr>
      </w:pPr>
    </w:p>
    <w:p>
      <w:pPr>
        <w:sectPr>
          <w:pgSz w:w="12240" w:h="15840" w:orient="portrait"/>
          <w:cols w:equalWidth="0" w:num="3">
            <w:col w:w="750" w:space="320"/>
            <w:col w:w="3300" w:space="560"/>
            <w:col w:w="5340"/>
          </w:cols>
          <w:pgMar w:left="990" w:top="786" w:right="980" w:bottom="0" w:gutter="0" w:footer="0" w:header="0"/>
          <w:type w:val="continuous"/>
        </w:sectPr>
      </w:pPr>
    </w:p>
    <w:tbl>
      <w:tblPr>
        <w:tblLayout w:type="fixed"/>
        <w:tblInd w:w="50" w:type="dxa"/>
        <w:tblCellMar>
          <w:top w:w="0" w:type="dxa"/>
          <w:left w:w="0" w:type="dxa"/>
          <w:bottom w:w="0" w:type="dxa"/>
          <w:right w:w="0" w:type="dxa"/>
        </w:tblCellMar>
      </w:tblPr>
      <w:tr>
        <w:trPr>
          <w:trHeight w:val="242"/>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2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Form of Indemnity Agreement.</w:t>
            </w:r>
          </w:p>
        </w:tc>
        <w:tc>
          <w:tcPr>
            <w:tcW w:w="122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37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rPr>
              <w:t>Amended and Restated 2006 Equity Incentive</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980" w:type="dxa"/>
            <w:vAlign w:val="bottom"/>
            <w:tcBorders>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9"/>
              </w:rPr>
              <w:t>Plan and forms of award agreements.</w:t>
            </w:r>
          </w:p>
        </w:tc>
        <w:tc>
          <w:tcPr>
            <w:tcW w:w="76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37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rPr>
              <w:t>Amended and Restated 2017 Equity Incentive</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740" w:type="dxa"/>
            <w:vAlign w:val="bottom"/>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Plan.</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10.4*</w:t>
            </w: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020" w:type="dxa"/>
            <w:vAlign w:val="bottom"/>
            <w:vMerge w:val="continue"/>
          </w:tcPr>
          <w:p>
            <w:pPr>
              <w:spacing w:after="0"/>
              <w:rPr>
                <w:sz w:val="24"/>
                <w:szCs w:val="24"/>
                <w:color w:val="auto"/>
              </w:rPr>
            </w:pPr>
          </w:p>
        </w:tc>
        <w:tc>
          <w:tcPr>
            <w:tcW w:w="374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2017 Employee Stock Purchase Plan, and</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9"/>
              </w:rPr>
              <w:t>forms of award agreements.</w:t>
            </w:r>
          </w:p>
        </w:tc>
        <w:tc>
          <w:tcPr>
            <w:tcW w:w="116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374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Collaboration and Exclusive License</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000" w:type="dxa"/>
            <w:vAlign w:val="bottom"/>
            <w:tcBorders>
              <w:top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w w:val="97"/>
              </w:rPr>
              <w:t>Agreement, dated March 10, 2014, by</w:t>
            </w:r>
          </w:p>
        </w:tc>
        <w:tc>
          <w:tcPr>
            <w:tcW w:w="60" w:type="dxa"/>
            <w:vAlign w:val="bottom"/>
          </w:tcPr>
          <w:p>
            <w:pPr>
              <w:spacing w:after="0"/>
              <w:rPr>
                <w:sz w:val="15"/>
                <w:szCs w:val="15"/>
                <w:color w:val="auto"/>
              </w:rPr>
            </w:pPr>
          </w:p>
        </w:tc>
        <w:tc>
          <w:tcPr>
            <w:tcW w:w="680" w:type="dxa"/>
            <w:vAlign w:val="bottom"/>
            <w:gridSpan w:val="15"/>
          </w:tcPr>
          <w:p>
            <w:pPr>
              <w:ind w:left="40"/>
              <w:spacing w:after="0" w:line="180" w:lineRule="exact"/>
              <w:rPr>
                <w:sz w:val="20"/>
                <w:szCs w:val="20"/>
                <w:color w:val="auto"/>
              </w:rPr>
            </w:pPr>
            <w:r>
              <w:rPr>
                <w:rFonts w:ascii="Times New Roman" w:cs="Times New Roman" w:eastAsia="Times New Roman" w:hAnsi="Times New Roman"/>
                <w:sz w:val="20"/>
                <w:szCs w:val="20"/>
                <w:color w:val="0000FF"/>
              </w:rPr>
              <w:t>and</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440" w:type="dxa"/>
            <w:vAlign w:val="bottom"/>
            <w:tcBorders>
              <w:top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rPr>
              <w:t>among the Registrant, TESARO, Inc. and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80" w:type="dxa"/>
            <w:vAlign w:val="bottom"/>
            <w:tcBorders>
              <w:top w:val="single" w:sz="8" w:color="0000FF"/>
              <w:bottom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w w:val="98"/>
              </w:rPr>
              <w:t>TESARO Development, Ltd., as amended.</w:t>
            </w: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234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w w:val="99"/>
              </w:rPr>
              <w:t>Wateridge Lease Agreement.</w:t>
            </w:r>
          </w:p>
        </w:tc>
        <w:tc>
          <w:tcPr>
            <w:tcW w:w="1400" w:type="dxa"/>
            <w:vAlign w:val="bottom"/>
            <w:gridSpan w:val="21"/>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020" w:type="dxa"/>
            <w:vAlign w:val="bottom"/>
          </w:tcPr>
          <w:p>
            <w:pPr>
              <w:spacing w:after="0"/>
              <w:rPr>
                <w:sz w:val="2"/>
                <w:szCs w:val="2"/>
                <w:color w:val="auto"/>
              </w:rPr>
            </w:pPr>
          </w:p>
        </w:tc>
        <w:tc>
          <w:tcPr>
            <w:tcW w:w="2340" w:type="dxa"/>
            <w:vAlign w:val="bottom"/>
            <w:tcBorders>
              <w:bottom w:val="single" w:sz="8" w:color="0000FF"/>
            </w:tcBorders>
            <w:gridSpan w:val="4"/>
            <w:vMerge w:val="continue"/>
          </w:tcPr>
          <w:p>
            <w:pPr>
              <w:spacing w:after="0"/>
              <w:rPr>
                <w:sz w:val="2"/>
                <w:szCs w:val="2"/>
                <w:color w:val="auto"/>
              </w:rPr>
            </w:pPr>
          </w:p>
        </w:tc>
        <w:tc>
          <w:tcPr>
            <w:tcW w:w="1400" w:type="dxa"/>
            <w:vAlign w:val="bottom"/>
            <w:gridSpan w:val="21"/>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2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Amended and Restated Employment</w:t>
            </w:r>
          </w:p>
        </w:tc>
        <w:tc>
          <w:tcPr>
            <w:tcW w:w="7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740" w:type="dxa"/>
            <w:vAlign w:val="bottom"/>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Agreement, effective May 8, 2023, by and</w:t>
            </w:r>
          </w:p>
        </w:tc>
        <w:tc>
          <w:tcPr>
            <w:tcW w:w="0" w:type="dxa"/>
            <w:vAlign w:val="bottom"/>
          </w:tcPr>
          <w:p>
            <w:pPr>
              <w:spacing w:after="0"/>
              <w:rPr>
                <w:sz w:val="1"/>
                <w:szCs w:val="1"/>
                <w:color w:val="auto"/>
              </w:rPr>
            </w:pPr>
          </w:p>
        </w:tc>
      </w:tr>
      <w:tr>
        <w:trPr>
          <w:trHeight w:val="18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10.8*</w:t>
            </w:r>
          </w:p>
        </w:tc>
        <w:tc>
          <w:tcPr>
            <w:tcW w:w="3360" w:type="dxa"/>
            <w:vAlign w:val="bottom"/>
            <w:tcBorders>
              <w:top w:val="single" w:sz="8" w:color="0000FF"/>
              <w:bottom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w w:val="99"/>
              </w:rPr>
              <w:t>between the Registrant and Eric Loumeau</w:t>
            </w:r>
          </w:p>
        </w:tc>
        <w:tc>
          <w:tcPr>
            <w:tcW w:w="100" w:type="dxa"/>
            <w:vAlign w:val="bottom"/>
            <w:tcBorders>
              <w:top w:val="single" w:sz="8" w:color="0000FF"/>
            </w:tcBorders>
            <w:gridSpan w:val="5"/>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1020" w:type="dxa"/>
            <w:vAlign w:val="bottom"/>
            <w:vMerge w:val="continue"/>
          </w:tcPr>
          <w:p>
            <w:pPr>
              <w:spacing w:after="0"/>
              <w:rPr>
                <w:sz w:val="24"/>
                <w:szCs w:val="24"/>
                <w:color w:val="auto"/>
              </w:rPr>
            </w:pPr>
          </w:p>
        </w:tc>
        <w:tc>
          <w:tcPr>
            <w:tcW w:w="374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Amended and Restated Employment</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980" w:type="dxa"/>
            <w:vAlign w:val="bottom"/>
            <w:tcBorders>
              <w:top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9"/>
              </w:rPr>
              <w:t>Agreement, effective April 25, 2022,</w:t>
            </w:r>
          </w:p>
        </w:tc>
        <w:tc>
          <w:tcPr>
            <w:tcW w:w="760" w:type="dxa"/>
            <w:vAlign w:val="bottom"/>
            <w:gridSpan w:val="17"/>
          </w:tcPr>
          <w:p>
            <w:pPr>
              <w:ind w:left="40"/>
              <w:spacing w:after="0" w:line="180" w:lineRule="exact"/>
              <w:rPr>
                <w:sz w:val="20"/>
                <w:szCs w:val="20"/>
                <w:color w:val="auto"/>
              </w:rPr>
            </w:pPr>
            <w:r>
              <w:rPr>
                <w:rFonts w:ascii="Times New Roman" w:cs="Times New Roman" w:eastAsia="Times New Roman" w:hAnsi="Times New Roman"/>
                <w:sz w:val="20"/>
                <w:szCs w:val="20"/>
                <w:color w:val="0000FF"/>
              </w:rPr>
              <w:t>by and</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60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between Registrant and Paul Lizzul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35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Amendment No. 3 to the Collaboration and</w:t>
            </w: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10.10++</w:t>
            </w:r>
          </w:p>
        </w:tc>
        <w:tc>
          <w:tcPr>
            <w:tcW w:w="2400" w:type="dxa"/>
            <w:vAlign w:val="bottom"/>
            <w:tcBorders>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9"/>
              </w:rPr>
              <w:t>Exclusive License Agreement</w:t>
            </w:r>
          </w:p>
        </w:tc>
        <w:tc>
          <w:tcPr>
            <w:tcW w:w="1120" w:type="dxa"/>
            <w:vAlign w:val="bottom"/>
            <w:gridSpan w:val="15"/>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20" w:type="dxa"/>
            <w:vAlign w:val="bottom"/>
            <w:vMerge w:val="continue"/>
          </w:tcPr>
          <w:p>
            <w:pPr>
              <w:spacing w:after="0"/>
              <w:rPr>
                <w:sz w:val="18"/>
                <w:szCs w:val="18"/>
                <w:color w:val="auto"/>
              </w:rPr>
            </w:pPr>
          </w:p>
        </w:tc>
        <w:tc>
          <w:tcPr>
            <w:tcW w:w="3420" w:type="dxa"/>
            <w:vAlign w:val="bottom"/>
            <w:tcBorders>
              <w:bottom w:val="single" w:sz="8" w:color="0000FF"/>
            </w:tcBorders>
            <w:gridSpan w:val="17"/>
          </w:tcPr>
          <w:p>
            <w:pPr>
              <w:spacing w:after="0" w:line="207" w:lineRule="exact"/>
              <w:rPr>
                <w:sz w:val="20"/>
                <w:szCs w:val="20"/>
                <w:color w:val="auto"/>
              </w:rPr>
            </w:pPr>
            <w:r>
              <w:rPr>
                <w:rFonts w:ascii="Times New Roman" w:cs="Times New Roman" w:eastAsia="Times New Roman" w:hAnsi="Times New Roman"/>
                <w:sz w:val="20"/>
                <w:szCs w:val="20"/>
                <w:color w:val="0000FF"/>
              </w:rPr>
              <w:t>Confidential Settlement and Modification</w:t>
            </w:r>
          </w:p>
        </w:tc>
        <w:tc>
          <w:tcPr>
            <w:tcW w:w="3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10.11</w:t>
            </w:r>
          </w:p>
        </w:tc>
        <w:tc>
          <w:tcPr>
            <w:tcW w:w="3740" w:type="dxa"/>
            <w:vAlign w:val="bottom"/>
            <w:gridSpan w:val="25"/>
          </w:tcPr>
          <w:p>
            <w:pPr>
              <w:spacing w:after="0" w:line="210" w:lineRule="exact"/>
              <w:rPr>
                <w:sz w:val="20"/>
                <w:szCs w:val="20"/>
                <w:color w:val="auto"/>
              </w:rPr>
            </w:pPr>
            <w:r>
              <w:rPr>
                <w:rFonts w:ascii="Times New Roman" w:cs="Times New Roman" w:eastAsia="Times New Roman" w:hAnsi="Times New Roman"/>
                <w:sz w:val="20"/>
                <w:szCs w:val="20"/>
                <w:color w:val="0000FF"/>
              </w:rPr>
              <w:t>Agreement dated as of October 23, 2020</w:t>
            </w:r>
          </w:p>
        </w:tc>
        <w:tc>
          <w:tcPr>
            <w:tcW w:w="0" w:type="dxa"/>
            <w:vAlign w:val="bottom"/>
          </w:tcPr>
          <w:p>
            <w:pPr>
              <w:spacing w:after="0"/>
              <w:rPr>
                <w:sz w:val="1"/>
                <w:szCs w:val="1"/>
                <w:color w:val="auto"/>
              </w:rPr>
            </w:pPr>
          </w:p>
        </w:tc>
      </w:tr>
      <w:tr>
        <w:trPr>
          <w:trHeight w:val="255"/>
        </w:trPr>
        <w:tc>
          <w:tcPr>
            <w:tcW w:w="1020" w:type="dxa"/>
            <w:vAlign w:val="bottom"/>
            <w:vMerge w:val="continue"/>
          </w:tcPr>
          <w:p>
            <w:pPr>
              <w:spacing w:after="0"/>
              <w:rPr>
                <w:sz w:val="22"/>
                <w:szCs w:val="22"/>
                <w:color w:val="auto"/>
              </w:rPr>
            </w:pPr>
          </w:p>
        </w:tc>
        <w:tc>
          <w:tcPr>
            <w:tcW w:w="32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First Amendment to Lease Agreement</w:t>
            </w:r>
          </w:p>
        </w:tc>
        <w:tc>
          <w:tcPr>
            <w:tcW w:w="50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96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374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Royalty Purchase Agreement, dated October</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640" w:type="dxa"/>
            <w:vAlign w:val="bottom"/>
            <w:tcBorders>
              <w:top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25, 2021, by and between the Registrant and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10.13</w:t>
            </w:r>
          </w:p>
        </w:tc>
        <w:tc>
          <w:tcPr>
            <w:tcW w:w="320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w w:val="99"/>
              </w:rPr>
              <w:t>Sagard Healthcare Royalty Partners, LP</w:t>
            </w:r>
          </w:p>
        </w:tc>
        <w:tc>
          <w:tcPr>
            <w:tcW w:w="420" w:type="dxa"/>
            <w:vAlign w:val="bottom"/>
            <w:tcBorders>
              <w:top w:val="single" w:sz="8" w:color="0000FF"/>
            </w:tcBorders>
            <w:gridSpan w:val="11"/>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020" w:type="dxa"/>
            <w:vAlign w:val="bottom"/>
            <w:vMerge w:val="continue"/>
          </w:tcPr>
          <w:p>
            <w:pPr>
              <w:spacing w:after="0"/>
              <w:rPr>
                <w:sz w:val="20"/>
                <w:szCs w:val="20"/>
                <w:color w:val="auto"/>
              </w:rPr>
            </w:pPr>
          </w:p>
        </w:tc>
        <w:tc>
          <w:tcPr>
            <w:tcW w:w="374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Amendment No. 4 to Tesaro AnaptysBio</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40" w:type="dxa"/>
            <w:vAlign w:val="bottom"/>
            <w:tcBorders>
              <w:top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rPr>
              <w:t>Collaboration</w:t>
            </w:r>
          </w:p>
        </w:tc>
        <w:tc>
          <w:tcPr>
            <w:tcW w:w="320" w:type="dxa"/>
            <w:vAlign w:val="bottom"/>
            <w:gridSpan w:val="11"/>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10.14*</w:t>
            </w:r>
          </w:p>
        </w:tc>
        <w:tc>
          <w:tcPr>
            <w:tcW w:w="1100" w:type="dxa"/>
            <w:vAlign w:val="bottom"/>
            <w:gridSpan w:val="2"/>
            <w:shd w:val="clear" w:color="auto" w:fill="0000FF"/>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continue"/>
          </w:tcPr>
          <w:p>
            <w:pPr>
              <w:spacing w:after="0"/>
              <w:rPr>
                <w:sz w:val="21"/>
                <w:szCs w:val="21"/>
                <w:color w:val="auto"/>
              </w:rPr>
            </w:pPr>
          </w:p>
        </w:tc>
        <w:tc>
          <w:tcPr>
            <w:tcW w:w="374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Amended and Restated Employment</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980" w:type="dxa"/>
            <w:vAlign w:val="bottom"/>
            <w:tcBorders>
              <w:top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8"/>
              </w:rPr>
              <w:t>Agreement, effective August 4, 2023,</w:t>
            </w:r>
          </w:p>
        </w:tc>
        <w:tc>
          <w:tcPr>
            <w:tcW w:w="760" w:type="dxa"/>
            <w:vAlign w:val="bottom"/>
            <w:gridSpan w:val="17"/>
          </w:tcPr>
          <w:p>
            <w:pPr>
              <w:ind w:left="80"/>
              <w:spacing w:after="0" w:line="180" w:lineRule="exact"/>
              <w:rPr>
                <w:sz w:val="20"/>
                <w:szCs w:val="20"/>
                <w:color w:val="auto"/>
              </w:rPr>
            </w:pPr>
            <w:r>
              <w:rPr>
                <w:rFonts w:ascii="Times New Roman" w:cs="Times New Roman" w:eastAsia="Times New Roman" w:hAnsi="Times New Roman"/>
                <w:sz w:val="20"/>
                <w:szCs w:val="20"/>
                <w:color w:val="0000FF"/>
              </w:rPr>
              <w:t>by and</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20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w w:val="99"/>
              </w:rPr>
              <w:t>between the Registrant and Daniel Faga</w:t>
            </w:r>
          </w:p>
        </w:tc>
        <w:tc>
          <w:tcPr>
            <w:tcW w:w="460" w:type="dxa"/>
            <w:vAlign w:val="bottom"/>
            <w:tcBorders>
              <w:top w:val="single" w:sz="8" w:color="0000FF"/>
            </w:tcBorders>
            <w:gridSpan w:val="1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333-206849</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66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September 9, 2015</w:t>
            </w:r>
          </w:p>
        </w:tc>
      </w:tr>
      <w:tr>
        <w:trPr>
          <w:trHeight w:val="315"/>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333-206849</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January 17, 2017</w:t>
            </w:r>
          </w:p>
        </w:tc>
      </w:tr>
      <w:tr>
        <w:trPr>
          <w:trHeight w:val="555"/>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June 12, 2024</w:t>
            </w:r>
          </w:p>
        </w:tc>
      </w:tr>
      <w:tr>
        <w:trPr>
          <w:trHeight w:val="555"/>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333-206849</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January 17, 2017</w:t>
            </w:r>
          </w:p>
        </w:tc>
      </w:tr>
      <w:tr>
        <w:trPr>
          <w:trHeight w:val="555"/>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333-206849</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10.10</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May 10, 2016</w:t>
            </w:r>
          </w:p>
        </w:tc>
      </w:tr>
      <w:tr>
        <w:trPr>
          <w:trHeight w:val="900"/>
        </w:trPr>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10.16</w:t>
            </w:r>
          </w:p>
        </w:tc>
        <w:tc>
          <w:tcPr>
            <w:tcW w:w="166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May 6, 2020</w:t>
            </w:r>
          </w:p>
        </w:tc>
      </w:tr>
      <w:tr>
        <w:trPr>
          <w:trHeight w:val="405"/>
        </w:trPr>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10.25</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May 11, 2023</w:t>
            </w:r>
          </w:p>
        </w:tc>
      </w:tr>
      <w:tr>
        <w:trPr>
          <w:trHeight w:val="645"/>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8"/>
              </w:rPr>
              <w:t>April 29, 2022</w:t>
            </w:r>
          </w:p>
        </w:tc>
      </w:tr>
      <w:tr>
        <w:trPr>
          <w:trHeight w:val="795"/>
        </w:trPr>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10.16</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February 25, 2021</w:t>
            </w:r>
          </w:p>
        </w:tc>
      </w:tr>
      <w:tr>
        <w:trPr>
          <w:trHeight w:val="405"/>
        </w:trPr>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10.18</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February 25, 2021</w:t>
            </w:r>
          </w:p>
        </w:tc>
      </w:tr>
      <w:tr>
        <w:trPr>
          <w:trHeight w:val="480"/>
        </w:trPr>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10.19</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August 9, 2021</w:t>
            </w:r>
          </w:p>
        </w:tc>
      </w:tr>
      <w:tr>
        <w:trPr>
          <w:trHeight w:val="300"/>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December 1, 2021</w:t>
            </w:r>
          </w:p>
        </w:tc>
      </w:tr>
      <w:tr>
        <w:trPr>
          <w:trHeight w:val="645"/>
        </w:trPr>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10.19</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8"/>
              </w:rPr>
              <w:t>March 7, 2022</w:t>
            </w:r>
          </w:p>
        </w:tc>
      </w:tr>
      <w:tr>
        <w:trPr>
          <w:trHeight w:val="465"/>
        </w:trPr>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10.27</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November 2, 2023</w:t>
            </w:r>
          </w:p>
        </w:tc>
      </w:tr>
    </w:tbl>
    <w:p>
      <w:pPr>
        <w:spacing w:after="0" w:line="572" w:lineRule="exact"/>
        <w:rPr>
          <w:sz w:val="20"/>
          <w:szCs w:val="20"/>
          <w:color w:val="auto"/>
        </w:rPr>
      </w:pPr>
    </w:p>
    <w:p>
      <w:pPr>
        <w:sectPr>
          <w:pgSz w:w="12240" w:h="15840" w:orient="portrait"/>
          <w:cols w:equalWidth="0" w:num="2">
            <w:col w:w="4810" w:space="220"/>
            <w:col w:w="5240"/>
          </w:cols>
          <w:pgMar w:left="990" w:top="786" w:right="980" w:bottom="0" w:gutter="0" w:footer="0" w:header="0"/>
          <w:type w:val="continuous"/>
        </w:sectPr>
      </w:pPr>
    </w:p>
    <w:p>
      <w:pPr>
        <w:spacing w:after="0" w:line="3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270"/>
          </w:cols>
          <w:pgMar w:left="990" w:top="786" w:right="980"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11"/>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0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40" w:type="dxa"/>
            <w:vAlign w:val="bottom"/>
          </w:tcPr>
          <w:p>
            <w:pPr>
              <w:spacing w:after="0"/>
              <w:rPr>
                <w:sz w:val="16"/>
                <w:szCs w:val="16"/>
                <w:color w:val="auto"/>
              </w:rPr>
            </w:pPr>
          </w:p>
        </w:tc>
        <w:tc>
          <w:tcPr>
            <w:tcW w:w="3240" w:type="dxa"/>
            <w:vAlign w:val="bottom"/>
            <w:gridSpan w:val="11"/>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8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 No.</w:t>
            </w:r>
          </w:p>
        </w:tc>
        <w:tc>
          <w:tcPr>
            <w:tcW w:w="8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14"/>
        </w:trPr>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40" w:type="dxa"/>
            <w:vAlign w:val="bottom"/>
          </w:tcPr>
          <w:p>
            <w:pPr>
              <w:spacing w:after="0"/>
              <w:rPr>
                <w:sz w:val="18"/>
                <w:szCs w:val="18"/>
                <w:color w:val="auto"/>
              </w:rPr>
            </w:pPr>
          </w:p>
        </w:tc>
        <w:tc>
          <w:tcPr>
            <w:tcW w:w="3240" w:type="dxa"/>
            <w:vAlign w:val="bottom"/>
            <w:gridSpan w:val="11"/>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08"/>
        </w:trPr>
        <w:tc>
          <w:tcPr>
            <w:tcW w:w="940" w:type="dxa"/>
            <w:vAlign w:val="bottom"/>
            <w:tcBorders>
              <w:top w:val="single" w:sz="8" w:color="auto"/>
            </w:tcBorders>
          </w:tcPr>
          <w:p>
            <w:pPr>
              <w:ind w:left="40"/>
              <w:spacing w:after="0" w:line="208" w:lineRule="exact"/>
              <w:rPr>
                <w:sz w:val="20"/>
                <w:szCs w:val="20"/>
                <w:color w:val="auto"/>
              </w:rPr>
            </w:pPr>
            <w:r>
              <w:rPr>
                <w:rFonts w:ascii="Times New Roman" w:cs="Times New Roman" w:eastAsia="Times New Roman" w:hAnsi="Times New Roman"/>
                <w:sz w:val="20"/>
                <w:szCs w:val="20"/>
                <w:color w:val="auto"/>
              </w:rPr>
              <w:t>10.15‡++</w:t>
            </w: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980" w:type="dxa"/>
            <w:vAlign w:val="bottom"/>
            <w:tcBorders>
              <w:top w:val="single" w:sz="8" w:color="auto"/>
              <w:bottom w:val="single" w:sz="8" w:color="0000FF"/>
            </w:tcBorders>
            <w:gridSpan w:val="3"/>
          </w:tcPr>
          <w:p>
            <w:pPr>
              <w:spacing w:after="0" w:line="208" w:lineRule="exact"/>
              <w:rPr>
                <w:sz w:val="20"/>
                <w:szCs w:val="20"/>
                <w:color w:val="auto"/>
              </w:rPr>
            </w:pPr>
            <w:r>
              <w:rPr>
                <w:rFonts w:ascii="Times New Roman" w:cs="Times New Roman" w:eastAsia="Times New Roman" w:hAnsi="Times New Roman"/>
                <w:sz w:val="20"/>
                <w:szCs w:val="20"/>
                <w:color w:val="0000FF"/>
              </w:rPr>
              <w:t>Purchase and Sale Agreement, dated</w:t>
            </w:r>
          </w:p>
        </w:tc>
        <w:tc>
          <w:tcPr>
            <w:tcW w:w="600" w:type="dxa"/>
            <w:vAlign w:val="bottom"/>
            <w:tcBorders>
              <w:top w:val="single" w:sz="8" w:color="auto"/>
            </w:tcBorders>
            <w:gridSpan w:val="9"/>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tcPr>
          <w:p>
            <w:pPr>
              <w:ind w:left="100"/>
              <w:spacing w:after="0" w:line="208" w:lineRule="exact"/>
              <w:rPr>
                <w:sz w:val="20"/>
                <w:szCs w:val="20"/>
                <w:color w:val="auto"/>
              </w:rPr>
            </w:pPr>
            <w:r>
              <w:rPr>
                <w:rFonts w:ascii="Times New Roman" w:cs="Times New Roman" w:eastAsia="Times New Roman" w:hAnsi="Times New Roman"/>
                <w:sz w:val="20"/>
                <w:szCs w:val="20"/>
                <w:color w:val="auto"/>
              </w:rPr>
              <w:t>10-Q</w:t>
            </w:r>
          </w:p>
        </w:tc>
        <w:tc>
          <w:tcPr>
            <w:tcW w:w="80" w:type="dxa"/>
            <w:vAlign w:val="bottom"/>
          </w:tcPr>
          <w:p>
            <w:pPr>
              <w:spacing w:after="0"/>
              <w:rPr>
                <w:sz w:val="18"/>
                <w:szCs w:val="18"/>
                <w:color w:val="auto"/>
              </w:rPr>
            </w:pPr>
          </w:p>
        </w:tc>
        <w:tc>
          <w:tcPr>
            <w:tcW w:w="1240" w:type="dxa"/>
            <w:vAlign w:val="bottom"/>
            <w:tcBorders>
              <w:top w:val="single" w:sz="8" w:color="auto"/>
            </w:tcBorders>
          </w:tcPr>
          <w:p>
            <w:pPr>
              <w:jc w:val="center"/>
              <w:spacing w:after="0" w:line="208" w:lineRule="exact"/>
              <w:rPr>
                <w:sz w:val="20"/>
                <w:szCs w:val="20"/>
                <w:color w:val="auto"/>
              </w:rPr>
            </w:pPr>
            <w:r>
              <w:rPr>
                <w:rFonts w:ascii="Times New Roman" w:cs="Times New Roman" w:eastAsia="Times New Roman" w:hAnsi="Times New Roman"/>
                <w:sz w:val="20"/>
                <w:szCs w:val="20"/>
                <w:color w:val="auto"/>
              </w:rPr>
              <w:t>001-37985</w:t>
            </w:r>
          </w:p>
        </w:tc>
        <w:tc>
          <w:tcPr>
            <w:tcW w:w="80" w:type="dxa"/>
            <w:vAlign w:val="bottom"/>
          </w:tcPr>
          <w:p>
            <w:pPr>
              <w:spacing w:after="0"/>
              <w:rPr>
                <w:sz w:val="18"/>
                <w:szCs w:val="18"/>
                <w:color w:val="auto"/>
              </w:rPr>
            </w:pPr>
          </w:p>
        </w:tc>
        <w:tc>
          <w:tcPr>
            <w:tcW w:w="720" w:type="dxa"/>
            <w:vAlign w:val="bottom"/>
            <w:tcBorders>
              <w:top w:val="single" w:sz="8" w:color="auto"/>
            </w:tcBorders>
          </w:tcPr>
          <w:p>
            <w:pPr>
              <w:jc w:val="center"/>
              <w:spacing w:after="0" w:line="208" w:lineRule="exact"/>
              <w:rPr>
                <w:sz w:val="20"/>
                <w:szCs w:val="20"/>
                <w:color w:val="auto"/>
              </w:rPr>
            </w:pPr>
            <w:r>
              <w:rPr>
                <w:rFonts w:ascii="Times New Roman" w:cs="Times New Roman" w:eastAsia="Times New Roman" w:hAnsi="Times New Roman"/>
                <w:sz w:val="20"/>
                <w:szCs w:val="20"/>
                <w:color w:val="auto"/>
                <w:w w:val="97"/>
              </w:rPr>
              <w:t>10.23</w:t>
            </w:r>
          </w:p>
        </w:tc>
        <w:tc>
          <w:tcPr>
            <w:tcW w:w="80" w:type="dxa"/>
            <w:vAlign w:val="bottom"/>
          </w:tcPr>
          <w:p>
            <w:pPr>
              <w:spacing w:after="0"/>
              <w:rPr>
                <w:sz w:val="18"/>
                <w:szCs w:val="18"/>
                <w:color w:val="auto"/>
              </w:rPr>
            </w:pPr>
          </w:p>
        </w:tc>
        <w:tc>
          <w:tcPr>
            <w:tcW w:w="1700" w:type="dxa"/>
            <w:vAlign w:val="bottom"/>
            <w:tcBorders>
              <w:top w:val="single" w:sz="8" w:color="auto"/>
            </w:tcBorders>
          </w:tcPr>
          <w:p>
            <w:pPr>
              <w:jc w:val="center"/>
              <w:spacing w:after="0" w:line="208" w:lineRule="exact"/>
              <w:rPr>
                <w:sz w:val="20"/>
                <w:szCs w:val="20"/>
                <w:color w:val="auto"/>
              </w:rPr>
            </w:pPr>
            <w:r>
              <w:rPr>
                <w:rFonts w:ascii="Times New Roman" w:cs="Times New Roman" w:eastAsia="Times New Roman" w:hAnsi="Times New Roman"/>
                <w:sz w:val="20"/>
                <w:szCs w:val="20"/>
                <w:color w:val="auto"/>
                <w:w w:val="99"/>
              </w:rPr>
              <w:t>November 8, 2022</w:t>
            </w:r>
          </w:p>
        </w:tc>
        <w:tc>
          <w:tcPr>
            <w:tcW w:w="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0" w:type="dxa"/>
            <w:vAlign w:val="bottom"/>
            <w:tcBorders>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rPr>
              <w:t>September 9, 2022, by and between the</w:t>
            </w:r>
          </w:p>
        </w:tc>
        <w:tc>
          <w:tcPr>
            <w:tcW w:w="380" w:type="dxa"/>
            <w:vAlign w:val="bottom"/>
            <w:gridSpan w:val="8"/>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80" w:type="dxa"/>
            <w:vAlign w:val="bottom"/>
            <w:tcBorders>
              <w:bottom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Registrant and DRI Healthcare Acquisitions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5"/>
              </w:rPr>
              <w:t>L.P.</w:t>
            </w:r>
          </w:p>
        </w:tc>
        <w:tc>
          <w:tcPr>
            <w:tcW w:w="3240" w:type="dxa"/>
            <w:vAlign w:val="bottom"/>
            <w:gridSpan w:val="11"/>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1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10.16‡++</w:t>
            </w:r>
          </w:p>
        </w:tc>
        <w:tc>
          <w:tcPr>
            <w:tcW w:w="358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License Agreement, dated November 24,</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10-K</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7"/>
              </w:rPr>
              <w:t>10.18</w:t>
            </w:r>
          </w:p>
        </w:tc>
        <w:tc>
          <w:tcPr>
            <w:tcW w:w="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11, 2024</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60" w:type="dxa"/>
            <w:vAlign w:val="bottom"/>
            <w:tcBorders>
              <w:top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rPr>
              <w:t>2023, by and between the Registrant 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20" w:type="dxa"/>
            <w:vAlign w:val="bottom"/>
            <w:tcBorders>
              <w:top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rPr>
              <w:t>Centessa Pharmaceuticals (UK) Limited</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10.17‡++</w:t>
            </w:r>
          </w:p>
        </w:tc>
        <w:tc>
          <w:tcPr>
            <w:tcW w:w="1100" w:type="dxa"/>
            <w:vAlign w:val="bottom"/>
            <w:gridSpan w:val="2"/>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10-K</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80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20"/>
                <w:szCs w:val="20"/>
                <w:color w:val="auto"/>
                <w:w w:val="97"/>
              </w:rPr>
              <w:t>10.19</w:t>
            </w:r>
          </w:p>
        </w:tc>
        <w:tc>
          <w:tcPr>
            <w:tcW w:w="80" w:type="dxa"/>
            <w:vAlign w:val="bottom"/>
          </w:tcPr>
          <w:p>
            <w:pPr>
              <w:spacing w:after="0" w:line="20" w:lineRule="exact"/>
              <w:rPr>
                <w:sz w:val="1"/>
                <w:szCs w:val="1"/>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11, 2024</w:t>
            </w: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gridSpan w:val="3"/>
            <w:vMerge w:val="continue"/>
          </w:tcPr>
          <w:p>
            <w:pPr>
              <w:spacing w:after="0"/>
              <w:rPr>
                <w:sz w:val="21"/>
                <w:szCs w:val="21"/>
                <w:color w:val="auto"/>
              </w:rPr>
            </w:pPr>
          </w:p>
        </w:tc>
        <w:tc>
          <w:tcPr>
            <w:tcW w:w="358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Amendment No. 5 to Tesaro AnaptysBio</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Borders>
              <w:top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Collaboration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10.18‡</w:t>
            </w:r>
          </w:p>
        </w:tc>
        <w:tc>
          <w:tcPr>
            <w:tcW w:w="1100" w:type="dxa"/>
            <w:vAlign w:val="bottom"/>
            <w:gridSpan w:val="2"/>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10-Q</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80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20"/>
                <w:szCs w:val="20"/>
                <w:color w:val="auto"/>
                <w:w w:val="97"/>
              </w:rPr>
              <w:t>10.28</w:t>
            </w:r>
          </w:p>
        </w:tc>
        <w:tc>
          <w:tcPr>
            <w:tcW w:w="80" w:type="dxa"/>
            <w:vAlign w:val="bottom"/>
          </w:tcPr>
          <w:p>
            <w:pPr>
              <w:spacing w:after="0" w:line="20" w:lineRule="exact"/>
              <w:rPr>
                <w:sz w:val="1"/>
                <w:szCs w:val="1"/>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May 9, 2024</w:t>
            </w: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60" w:type="dxa"/>
            <w:vAlign w:val="bottom"/>
            <w:gridSpan w:val="3"/>
            <w:vMerge w:val="continue"/>
          </w:tcPr>
          <w:p>
            <w:pPr>
              <w:spacing w:after="0"/>
              <w:rPr>
                <w:sz w:val="22"/>
                <w:szCs w:val="22"/>
                <w:color w:val="auto"/>
              </w:rPr>
            </w:pPr>
          </w:p>
        </w:tc>
        <w:tc>
          <w:tcPr>
            <w:tcW w:w="358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Amendment No. 1 to License Agreement,</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0" w:type="dxa"/>
            <w:vAlign w:val="bottom"/>
            <w:tcBorders>
              <w:top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dated April 9, 2024, by and between the</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60" w:type="dxa"/>
            <w:vAlign w:val="bottom"/>
            <w:tcBorders>
              <w:top w:val="single" w:sz="8" w:color="0000FF"/>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w w:val="98"/>
              </w:rPr>
              <w:t>Registrant and Centessa Pharmaceuticals</w:t>
            </w:r>
          </w:p>
        </w:tc>
        <w:tc>
          <w:tcPr>
            <w:tcW w:w="80" w:type="dxa"/>
            <w:vAlign w:val="bottom"/>
            <w:tcBorders>
              <w:bottom w:val="single" w:sz="8" w:color="0000FF"/>
            </w:tcBorders>
            <w:gridSpan w:val="2"/>
          </w:tcPr>
          <w:p>
            <w:pPr>
              <w:spacing w:after="0"/>
              <w:rPr>
                <w:sz w:val="15"/>
                <w:szCs w:val="15"/>
                <w:color w:val="auto"/>
              </w:rPr>
            </w:pPr>
          </w:p>
        </w:tc>
        <w:tc>
          <w:tcPr>
            <w:tcW w:w="240" w:type="dxa"/>
            <w:vAlign w:val="bottom"/>
            <w:gridSpan w:val="4"/>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(UK) Limited</w:t>
            </w:r>
          </w:p>
        </w:tc>
        <w:tc>
          <w:tcPr>
            <w:tcW w:w="240" w:type="dxa"/>
            <w:vAlign w:val="bottom"/>
            <w:gridSpan w:val="4"/>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ectPr>
          <w:pgSz w:w="12240" w:h="15840" w:orient="portrait"/>
          <w:cols w:equalWidth="0" w:num="1">
            <w:col w:w="10260"/>
          </w:cols>
          <w:pgMar w:left="1000" w:top="868" w:right="980" w:bottom="0" w:gutter="0" w:footer="0" w:header="0"/>
        </w:sectPr>
      </w:pPr>
    </w:p>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376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Agreement and Amendment No. 1 to the</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10.29</w:t>
            </w:r>
          </w:p>
        </w:tc>
        <w:tc>
          <w:tcPr>
            <w:tcW w:w="164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August 5, 2024</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20" w:type="dxa"/>
            <w:vAlign w:val="bottom"/>
            <w:tcBorders>
              <w:top w:val="single" w:sz="8" w:color="0000FF"/>
              <w:bottom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Royalty Purchase Agreement, dated May</w:t>
            </w:r>
          </w:p>
        </w:tc>
        <w:tc>
          <w:tcPr>
            <w:tcW w:w="220" w:type="dxa"/>
            <w:vAlign w:val="bottom"/>
            <w:tcBorders>
              <w:bottom w:val="single" w:sz="8" w:color="0000FF"/>
            </w:tcBorders>
            <w:gridSpan w:val="3"/>
          </w:tcPr>
          <w:p>
            <w:pPr>
              <w:jc w:val="right"/>
              <w:ind w:right="40"/>
              <w:spacing w:after="0" w:line="180" w:lineRule="exact"/>
              <w:rPr>
                <w:sz w:val="20"/>
                <w:szCs w:val="20"/>
                <w:color w:val="auto"/>
              </w:rPr>
            </w:pPr>
            <w:r>
              <w:rPr>
                <w:rFonts w:ascii="Times New Roman" w:cs="Times New Roman" w:eastAsia="Times New Roman" w:hAnsi="Times New Roman"/>
                <w:sz w:val="20"/>
                <w:szCs w:val="20"/>
                <w:color w:val="0000FF"/>
              </w:rPr>
              <w:t>8,</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260" w:type="dxa"/>
            <w:vAlign w:val="bottom"/>
            <w:tcBorders>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2024 by and between the Registrant and</w:t>
            </w:r>
          </w:p>
        </w:tc>
        <w:tc>
          <w:tcPr>
            <w:tcW w:w="30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760" w:type="dxa"/>
            <w:vAlign w:val="bottom"/>
            <w:tcBorders>
              <w:bottom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Sagard Healthcare Partners Funding Borrower</w:t>
            </w: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840" w:type="dxa"/>
            <w:vAlign w:val="bottom"/>
            <w:tcBorders>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SPE 2, LP</w:t>
            </w:r>
          </w:p>
        </w:tc>
        <w:tc>
          <w:tcPr>
            <w:tcW w:w="2920" w:type="dxa"/>
            <w:vAlign w:val="bottom"/>
            <w:gridSpan w:val="18"/>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376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Sales Agreement, dated November 5, 2024,</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S-3</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333-283001</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1.2</w:t>
            </w:r>
          </w:p>
        </w:tc>
        <w:tc>
          <w:tcPr>
            <w:tcW w:w="164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November 5, 2024</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540" w:type="dxa"/>
            <w:vAlign w:val="bottom"/>
            <w:tcBorders>
              <w:top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by and between the Registrant and TD</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120" w:type="dxa"/>
            <w:vAlign w:val="bottom"/>
            <w:tcBorders>
              <w:top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Securities (USA) LLC</w:t>
            </w: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10.21*</w:t>
            </w:r>
          </w:p>
        </w:tc>
        <w:tc>
          <w:tcPr>
            <w:tcW w:w="15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20" w:type="dxa"/>
            <w:vAlign w:val="bottom"/>
            <w:vMerge w:val="continue"/>
          </w:tcPr>
          <w:p>
            <w:pPr>
              <w:spacing w:after="0"/>
              <w:rPr>
                <w:sz w:val="22"/>
                <w:szCs w:val="22"/>
                <w:color w:val="auto"/>
              </w:rPr>
            </w:pPr>
          </w:p>
        </w:tc>
        <w:tc>
          <w:tcPr>
            <w:tcW w:w="376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Amended and Restated Employment</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980" w:type="dxa"/>
            <w:vAlign w:val="bottom"/>
            <w:tcBorders>
              <w:top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w w:val="99"/>
              </w:rPr>
              <w:t>Agreement, effective April 25, 2022,</w:t>
            </w:r>
          </w:p>
        </w:tc>
        <w:tc>
          <w:tcPr>
            <w:tcW w:w="780" w:type="dxa"/>
            <w:vAlign w:val="bottom"/>
            <w:gridSpan w:val="12"/>
          </w:tcPr>
          <w:p>
            <w:pPr>
              <w:ind w:left="40"/>
              <w:spacing w:after="0" w:line="180" w:lineRule="exact"/>
              <w:rPr>
                <w:sz w:val="20"/>
                <w:szCs w:val="20"/>
                <w:color w:val="auto"/>
              </w:rPr>
            </w:pPr>
            <w:r>
              <w:rPr>
                <w:rFonts w:ascii="Times New Roman" w:cs="Times New Roman" w:eastAsia="Times New Roman" w:hAnsi="Times New Roman"/>
                <w:sz w:val="20"/>
                <w:szCs w:val="20"/>
                <w:color w:val="0000FF"/>
              </w:rPr>
              <w:t>by and</w:t>
            </w: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440" w:type="dxa"/>
            <w:vAlign w:val="bottom"/>
            <w:tcBorders>
              <w:top w:val="single" w:sz="8" w:color="0000FF"/>
              <w:bottom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w w:val="99"/>
              </w:rPr>
              <w:t>between the Registrant and Dennis Mulroy</w:t>
            </w:r>
          </w:p>
        </w:tc>
        <w:tc>
          <w:tcPr>
            <w:tcW w:w="160" w:type="dxa"/>
            <w:vAlign w:val="bottom"/>
            <w:tcBorders>
              <w:top w:val="single" w:sz="8" w:color="0000FF"/>
            </w:tcBorders>
            <w:gridSpan w:val="4"/>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376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Insider Trading Policy</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21.1</w:t>
            </w:r>
          </w:p>
        </w:tc>
        <w:tc>
          <w:tcPr>
            <w:tcW w:w="15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20" w:type="dxa"/>
            <w:vAlign w:val="bottom"/>
            <w:vMerge w:val="continue"/>
          </w:tcPr>
          <w:p>
            <w:pPr>
              <w:spacing w:after="0"/>
              <w:rPr>
                <w:sz w:val="23"/>
                <w:szCs w:val="23"/>
                <w:color w:val="auto"/>
              </w:rPr>
            </w:pPr>
          </w:p>
        </w:tc>
        <w:tc>
          <w:tcPr>
            <w:tcW w:w="2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Subsidiaries of the Registrant.</w:t>
            </w:r>
          </w:p>
        </w:tc>
        <w:tc>
          <w:tcPr>
            <w:tcW w:w="1340" w:type="dxa"/>
            <w:vAlign w:val="bottom"/>
            <w:gridSpan w:val="14"/>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376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Consent of KPMG LLP, an independent</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w w:val="99"/>
              </w:rPr>
              <w:t>registered public accounting firm.</w:t>
            </w:r>
          </w:p>
        </w:tc>
        <w:tc>
          <w:tcPr>
            <w:tcW w:w="560" w:type="dxa"/>
            <w:vAlign w:val="bottom"/>
            <w:tcBorders>
              <w:top w:val="single" w:sz="8" w:color="0000FF"/>
            </w:tcBorders>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240" w:type="dxa"/>
            <w:vAlign w:val="bottom"/>
            <w:gridSpan w:val="4"/>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Power of Attorney</w:t>
            </w:r>
          </w:p>
        </w:tc>
        <w:tc>
          <w:tcPr>
            <w:tcW w:w="2260" w:type="dxa"/>
            <w:vAlign w:val="bottom"/>
            <w:gridSpan w:val="17"/>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376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58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pursuant to Rule 13a-14(a)/15d-14(a), as</w:t>
            </w: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40" w:type="dxa"/>
            <w:vAlign w:val="bottom"/>
            <w:tcBorders>
              <w:top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302 of the</w:t>
            </w:r>
          </w:p>
        </w:tc>
        <w:tc>
          <w:tcPr>
            <w:tcW w:w="420" w:type="dxa"/>
            <w:vAlign w:val="bottom"/>
            <w:gridSpan w:val="6"/>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140" w:type="dxa"/>
            <w:vAlign w:val="bottom"/>
            <w:tcBorders>
              <w:top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rPr>
              <w:t>Sarbanes-Oxley Act of 2002</w:t>
            </w:r>
            <w:r>
              <w:rPr>
                <w:rFonts w:ascii="Times New Roman" w:cs="Times New Roman" w:eastAsia="Times New Roman" w:hAnsi="Times New Roman"/>
                <w:sz w:val="20"/>
                <w:szCs w:val="20"/>
                <w:color w:val="000000"/>
              </w:rPr>
              <w:t>.</w:t>
            </w:r>
          </w:p>
        </w:tc>
        <w:tc>
          <w:tcPr>
            <w:tcW w:w="620" w:type="dxa"/>
            <w:vAlign w:val="bottom"/>
            <w:gridSpan w:val="10"/>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681" w:lineRule="exact"/>
        <w:rPr>
          <w:sz w:val="20"/>
          <w:szCs w:val="20"/>
          <w:color w:val="auto"/>
        </w:rPr>
      </w:pPr>
    </w:p>
    <w:p>
      <w:pPr>
        <w:sectPr>
          <w:pgSz w:w="12240" w:h="15840" w:orient="portrait"/>
          <w:cols w:equalWidth="0" w:num="2">
            <w:col w:w="9300" w:space="500"/>
            <w:col w:w="460"/>
          </w:cols>
          <w:pgMar w:left="1000" w:top="868" w:right="980" w:bottom="0" w:gutter="0" w:footer="0" w:header="0"/>
          <w:type w:val="continuous"/>
        </w:sectPr>
      </w:pPr>
    </w:p>
    <w:tbl>
      <w:tblPr>
        <w:tblLayout w:type="fixed"/>
        <w:tblInd w:w="40" w:type="dxa"/>
        <w:tblCellMar>
          <w:top w:w="0" w:type="dxa"/>
          <w:left w:w="0" w:type="dxa"/>
          <w:bottom w:w="0" w:type="dxa"/>
          <w:right w:w="0" w:type="dxa"/>
        </w:tblCellMar>
      </w:tblPr>
      <w:tr>
        <w:trPr>
          <w:trHeight w:val="23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382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Certification of Principal Financial Officer,</w:t>
            </w:r>
          </w:p>
        </w:tc>
        <w:tc>
          <w:tcPr>
            <w:tcW w:w="2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520" w:type="dxa"/>
            <w:vAlign w:val="bottom"/>
            <w:tcBorders>
              <w:top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rPr>
              <w:t>pursuant to Rule 13a-14(a)/15d-14(a), as</w:t>
            </w:r>
          </w:p>
        </w:tc>
        <w:tc>
          <w:tcPr>
            <w:tcW w:w="3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20" w:type="dxa"/>
            <w:vAlign w:val="bottom"/>
            <w:tcBorders>
              <w:top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302 of the</w:t>
            </w:r>
          </w:p>
        </w:tc>
        <w:tc>
          <w:tcPr>
            <w:tcW w:w="500" w:type="dxa"/>
            <w:vAlign w:val="bottom"/>
            <w:gridSpan w:val="2"/>
          </w:tcPr>
          <w:p>
            <w:pPr>
              <w:spacing w:after="0"/>
              <w:rPr>
                <w:sz w:val="15"/>
                <w:szCs w:val="15"/>
                <w:color w:val="auto"/>
              </w:rPr>
            </w:pPr>
          </w:p>
        </w:tc>
        <w:tc>
          <w:tcPr>
            <w:tcW w:w="2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140" w:type="dxa"/>
            <w:vAlign w:val="bottom"/>
            <w:tcBorders>
              <w:top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rPr>
              <w:t>Sarbanes-Oxley Act of 2002</w:t>
            </w:r>
            <w:r>
              <w:rPr>
                <w:rFonts w:ascii="Times New Roman" w:cs="Times New Roman" w:eastAsia="Times New Roman" w:hAnsi="Times New Roman"/>
                <w:sz w:val="20"/>
                <w:szCs w:val="20"/>
                <w:color w:val="000000"/>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spacing w:after="0"/>
              <w:rPr>
                <w:sz w:val="15"/>
                <w:szCs w:val="15"/>
                <w:color w:val="auto"/>
              </w:rPr>
            </w:pPr>
          </w:p>
        </w:tc>
        <w:tc>
          <w:tcPr>
            <w:tcW w:w="2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32.1**</w:t>
            </w:r>
          </w:p>
        </w:tc>
        <w:tc>
          <w:tcPr>
            <w:tcW w:w="2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vMerge w:val="restart"/>
          </w:tcPr>
          <w:p>
            <w:pPr>
              <w:ind w:left="20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line="20" w:lineRule="exact"/>
              <w:rPr>
                <w:sz w:val="1"/>
                <w:szCs w:val="1"/>
                <w:color w:val="auto"/>
              </w:rPr>
            </w:pPr>
          </w:p>
        </w:tc>
      </w:tr>
      <w:tr>
        <w:trPr>
          <w:trHeight w:val="280"/>
        </w:trPr>
        <w:tc>
          <w:tcPr>
            <w:tcW w:w="1020" w:type="dxa"/>
            <w:vAlign w:val="bottom"/>
            <w:vMerge w:val="continue"/>
          </w:tcPr>
          <w:p>
            <w:pPr>
              <w:spacing w:after="0"/>
              <w:rPr>
                <w:sz w:val="24"/>
                <w:szCs w:val="24"/>
                <w:color w:val="auto"/>
              </w:rPr>
            </w:pPr>
          </w:p>
        </w:tc>
        <w:tc>
          <w:tcPr>
            <w:tcW w:w="382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w:t>
            </w:r>
          </w:p>
        </w:tc>
        <w:tc>
          <w:tcPr>
            <w:tcW w:w="2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00" w:type="dxa"/>
            <w:vAlign w:val="bottom"/>
            <w:tcBorders>
              <w:top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rPr>
              <w:t>pursuant to 18 U.S.C. Section 1350, as</w:t>
            </w:r>
          </w:p>
        </w:tc>
        <w:tc>
          <w:tcPr>
            <w:tcW w:w="520" w:type="dxa"/>
            <w:vAlign w:val="bottom"/>
            <w:gridSpan w:val="3"/>
          </w:tcPr>
          <w:p>
            <w:pPr>
              <w:spacing w:after="0"/>
              <w:rPr>
                <w:sz w:val="15"/>
                <w:szCs w:val="15"/>
                <w:color w:val="auto"/>
              </w:rPr>
            </w:pPr>
          </w:p>
        </w:tc>
        <w:tc>
          <w:tcPr>
            <w:tcW w:w="2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160" w:type="dxa"/>
            <w:vAlign w:val="bottom"/>
            <w:tcBorders>
              <w:top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906 of the</w:t>
            </w:r>
          </w:p>
        </w:tc>
        <w:tc>
          <w:tcPr>
            <w:tcW w:w="80" w:type="dxa"/>
            <w:vAlign w:val="bottom"/>
          </w:tcPr>
          <w:p>
            <w:pPr>
              <w:spacing w:after="0"/>
              <w:rPr>
                <w:sz w:val="15"/>
                <w:szCs w:val="15"/>
                <w:color w:val="auto"/>
              </w:rPr>
            </w:pPr>
          </w:p>
        </w:tc>
        <w:tc>
          <w:tcPr>
            <w:tcW w:w="580" w:type="dxa"/>
            <w:vAlign w:val="bottom"/>
            <w:gridSpan w:val="4"/>
          </w:tcPr>
          <w:p>
            <w:pPr>
              <w:spacing w:after="0"/>
              <w:rPr>
                <w:sz w:val="15"/>
                <w:szCs w:val="15"/>
                <w:color w:val="auto"/>
              </w:rPr>
            </w:pPr>
          </w:p>
        </w:tc>
        <w:tc>
          <w:tcPr>
            <w:tcW w:w="2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34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Sarbanes-Oxley Act of 2002.</w:t>
            </w:r>
          </w:p>
        </w:tc>
        <w:tc>
          <w:tcPr>
            <w:tcW w:w="800" w:type="dxa"/>
            <w:vAlign w:val="bottom"/>
            <w:tcBorders>
              <w:top w:val="single" w:sz="8" w:color="0000FF"/>
            </w:tcBorders>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580" w:type="dxa"/>
            <w:vAlign w:val="bottom"/>
            <w:gridSpan w:val="4"/>
          </w:tcPr>
          <w:p>
            <w:pPr>
              <w:spacing w:after="0"/>
              <w:rPr>
                <w:sz w:val="15"/>
                <w:szCs w:val="15"/>
                <w:color w:val="auto"/>
              </w:rPr>
            </w:pPr>
          </w:p>
        </w:tc>
        <w:tc>
          <w:tcPr>
            <w:tcW w:w="2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382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w:t>
            </w:r>
          </w:p>
        </w:tc>
        <w:tc>
          <w:tcPr>
            <w:tcW w:w="2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240" w:type="dxa"/>
            <w:vAlign w:val="bottom"/>
            <w:tcBorders>
              <w:top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rPr>
              <w:t>pursuant to 18 U.S.C. Section 1350, as</w:t>
            </w:r>
          </w:p>
        </w:tc>
        <w:tc>
          <w:tcPr>
            <w:tcW w:w="580" w:type="dxa"/>
            <w:vAlign w:val="bottom"/>
            <w:gridSpan w:val="4"/>
          </w:tcPr>
          <w:p>
            <w:pPr>
              <w:spacing w:after="0"/>
              <w:rPr>
                <w:sz w:val="15"/>
                <w:szCs w:val="15"/>
                <w:color w:val="auto"/>
              </w:rPr>
            </w:pPr>
          </w:p>
        </w:tc>
        <w:tc>
          <w:tcPr>
            <w:tcW w:w="2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160" w:type="dxa"/>
            <w:vAlign w:val="bottom"/>
            <w:tcBorders>
              <w:top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906 of the</w:t>
            </w:r>
          </w:p>
        </w:tc>
        <w:tc>
          <w:tcPr>
            <w:tcW w:w="660" w:type="dxa"/>
            <w:vAlign w:val="bottom"/>
            <w:gridSpan w:val="5"/>
          </w:tcPr>
          <w:p>
            <w:pPr>
              <w:spacing w:after="0"/>
              <w:rPr>
                <w:sz w:val="15"/>
                <w:szCs w:val="15"/>
                <w:color w:val="auto"/>
              </w:rPr>
            </w:pPr>
          </w:p>
        </w:tc>
        <w:tc>
          <w:tcPr>
            <w:tcW w:w="2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140" w:type="dxa"/>
            <w:vAlign w:val="bottom"/>
            <w:tcBorders>
              <w:top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rPr>
              <w:t>Sarbanes-Oxley Act of 2002</w:t>
            </w:r>
            <w:r>
              <w:rPr>
                <w:rFonts w:ascii="Times New Roman" w:cs="Times New Roman" w:eastAsia="Times New Roman" w:hAnsi="Times New Roman"/>
                <w:sz w:val="20"/>
                <w:szCs w:val="20"/>
                <w:color w:val="000000"/>
              </w:rPr>
              <w:t>.</w:t>
            </w:r>
          </w:p>
        </w:tc>
        <w:tc>
          <w:tcPr>
            <w:tcW w:w="680" w:type="dxa"/>
            <w:vAlign w:val="bottom"/>
            <w:gridSpan w:val="6"/>
          </w:tcPr>
          <w:p>
            <w:pPr>
              <w:spacing w:after="0"/>
              <w:rPr>
                <w:sz w:val="15"/>
                <w:szCs w:val="15"/>
                <w:color w:val="auto"/>
              </w:rPr>
            </w:pPr>
          </w:p>
        </w:tc>
        <w:tc>
          <w:tcPr>
            <w:tcW w:w="2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20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10-K   001-37985</w:t>
            </w:r>
          </w:p>
        </w:tc>
        <w:tc>
          <w:tcPr>
            <w:tcW w:w="80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97</w:t>
            </w:r>
          </w:p>
        </w:tc>
        <w:tc>
          <w:tcPr>
            <w:tcW w:w="21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March 11, 2024</w:t>
            </w:r>
          </w:p>
        </w:tc>
        <w:tc>
          <w:tcPr>
            <w:tcW w:w="0" w:type="dxa"/>
            <w:vAlign w:val="bottom"/>
          </w:tcPr>
          <w:p>
            <w:pPr>
              <w:spacing w:after="0" w:line="20" w:lineRule="exact"/>
              <w:rPr>
                <w:sz w:val="1"/>
                <w:szCs w:val="1"/>
                <w:color w:val="auto"/>
              </w:rPr>
            </w:pPr>
          </w:p>
        </w:tc>
      </w:tr>
      <w:tr>
        <w:trPr>
          <w:trHeight w:val="273"/>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97</w:t>
            </w:r>
          </w:p>
        </w:tc>
        <w:tc>
          <w:tcPr>
            <w:tcW w:w="382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Compensation Recovery Policy</w:t>
            </w:r>
            <w:r>
              <w:rPr>
                <w:rFonts w:ascii="Times New Roman" w:cs="Times New Roman" w:eastAsia="Times New Roman" w:hAnsi="Times New Roman"/>
                <w:sz w:val="20"/>
                <w:szCs w:val="20"/>
                <w:color w:val="000000"/>
              </w:rPr>
              <w:t>.</w:t>
            </w:r>
          </w:p>
        </w:tc>
        <w:tc>
          <w:tcPr>
            <w:tcW w:w="208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21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3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Report Instance Document - The instance</w:t>
            </w:r>
          </w:p>
        </w:tc>
        <w:tc>
          <w:tcPr>
            <w:tcW w:w="20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820" w:type="dxa"/>
            <w:vAlign w:val="bottom"/>
            <w:gridSpan w:val="10"/>
          </w:tcPr>
          <w:p>
            <w:pPr>
              <w:spacing w:after="0" w:line="180" w:lineRule="exact"/>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2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3820" w:type="dxa"/>
            <w:vAlign w:val="bottom"/>
            <w:gridSpan w:val="10"/>
          </w:tcPr>
          <w:p>
            <w:pPr>
              <w:spacing w:after="0" w:line="180" w:lineRule="exact"/>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2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20" w:type="dxa"/>
            <w:vAlign w:val="bottom"/>
            <w:vMerge w:val="continue"/>
          </w:tcPr>
          <w:p>
            <w:pPr>
              <w:spacing w:after="0"/>
              <w:rPr>
                <w:sz w:val="20"/>
                <w:szCs w:val="20"/>
                <w:color w:val="auto"/>
              </w:rPr>
            </w:pPr>
          </w:p>
        </w:tc>
        <w:tc>
          <w:tcPr>
            <w:tcW w:w="3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2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101.SCH</w:t>
            </w:r>
          </w:p>
        </w:tc>
        <w:tc>
          <w:tcPr>
            <w:tcW w:w="3820" w:type="dxa"/>
            <w:vAlign w:val="bottom"/>
            <w:gridSpan w:val="10"/>
          </w:tcPr>
          <w:p>
            <w:pPr>
              <w:spacing w:after="0" w:line="186" w:lineRule="exact"/>
              <w:rPr>
                <w:sz w:val="20"/>
                <w:szCs w:val="20"/>
                <w:color w:val="auto"/>
              </w:rPr>
            </w:pPr>
            <w:r>
              <w:rPr>
                <w:rFonts w:ascii="Times New Roman" w:cs="Times New Roman" w:eastAsia="Times New Roman" w:hAnsi="Times New Roman"/>
                <w:sz w:val="18"/>
                <w:szCs w:val="18"/>
                <w:color w:val="auto"/>
              </w:rPr>
              <w:t>Inline XBRL Taxonomy Extension Schema</w:t>
            </w:r>
          </w:p>
        </w:tc>
        <w:tc>
          <w:tcPr>
            <w:tcW w:w="2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20" w:type="dxa"/>
            <w:vAlign w:val="bottom"/>
            <w:vMerge w:val="continue"/>
          </w:tcPr>
          <w:p>
            <w:pPr>
              <w:spacing w:after="0"/>
              <w:rPr>
                <w:sz w:val="20"/>
                <w:szCs w:val="20"/>
                <w:color w:val="auto"/>
              </w:rPr>
            </w:pPr>
          </w:p>
        </w:tc>
        <w:tc>
          <w:tcPr>
            <w:tcW w:w="3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2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101.CAL</w:t>
            </w:r>
          </w:p>
        </w:tc>
        <w:tc>
          <w:tcPr>
            <w:tcW w:w="3820" w:type="dxa"/>
            <w:vAlign w:val="bottom"/>
            <w:gridSpan w:val="10"/>
          </w:tcPr>
          <w:p>
            <w:pPr>
              <w:spacing w:after="0" w:line="186" w:lineRule="exact"/>
              <w:rPr>
                <w:sz w:val="20"/>
                <w:szCs w:val="20"/>
                <w:color w:val="auto"/>
              </w:rPr>
            </w:pPr>
            <w:r>
              <w:rPr>
                <w:rFonts w:ascii="Times New Roman" w:cs="Times New Roman" w:eastAsia="Times New Roman" w:hAnsi="Times New Roman"/>
                <w:sz w:val="18"/>
                <w:szCs w:val="18"/>
                <w:color w:val="auto"/>
              </w:rPr>
              <w:t>Inline XBRL Taxonomy Calculation Linkbase</w:t>
            </w:r>
          </w:p>
        </w:tc>
        <w:tc>
          <w:tcPr>
            <w:tcW w:w="2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20" w:type="dxa"/>
            <w:vAlign w:val="bottom"/>
            <w:vMerge w:val="continue"/>
          </w:tcPr>
          <w:p>
            <w:pPr>
              <w:spacing w:after="0"/>
              <w:rPr>
                <w:sz w:val="20"/>
                <w:szCs w:val="20"/>
                <w:color w:val="auto"/>
              </w:rPr>
            </w:pPr>
          </w:p>
        </w:tc>
        <w:tc>
          <w:tcPr>
            <w:tcW w:w="3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2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2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2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86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260"/>
          </w:cols>
          <w:pgMar w:left="1000" w:top="868" w:right="980" w:bottom="0" w:gutter="0" w:footer="0" w:header="0"/>
          <w:type w:val="continuous"/>
        </w:sectPr>
      </w:pPr>
    </w:p>
    <w:bookmarkStart w:id="102" w:name="page103"/>
    <w:bookmarkEnd w:id="102"/>
    <w:tbl>
      <w:tblPr>
        <w:tblLayout w:type="fixed"/>
        <w:tblInd w:w="10" w:type="dxa"/>
        <w:tblCellMar>
          <w:top w:w="0" w:type="dxa"/>
          <w:left w:w="0" w:type="dxa"/>
          <w:bottom w:w="0" w:type="dxa"/>
          <w:right w:w="0" w:type="dxa"/>
        </w:tblCellMar>
      </w:tblPr>
      <w:tr>
        <w:trPr>
          <w:trHeight w:val="211"/>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6"/>
                <w:szCs w:val="16"/>
                <w:color w:val="auto"/>
              </w:rPr>
            </w:pPr>
          </w:p>
        </w:tc>
        <w:tc>
          <w:tcPr>
            <w:tcW w:w="39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80" w:type="dxa"/>
            <w:vAlign w:val="bottom"/>
          </w:tcPr>
          <w:p>
            <w:pPr>
              <w:spacing w:after="0"/>
              <w:rPr>
                <w:sz w:val="16"/>
                <w:szCs w:val="16"/>
                <w:color w:val="auto"/>
              </w:rPr>
            </w:pP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80" w:type="dxa"/>
            <w:vAlign w:val="bottom"/>
          </w:tcPr>
          <w:p>
            <w:pPr>
              <w:spacing w:after="0"/>
              <w:rPr>
                <w:sz w:val="16"/>
                <w:szCs w:val="16"/>
                <w:color w:val="auto"/>
              </w:rPr>
            </w:pPr>
          </w:p>
        </w:tc>
        <w:tc>
          <w:tcPr>
            <w:tcW w:w="13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0" w:type="dxa"/>
            <w:vAlign w:val="bottom"/>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14"/>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8"/>
                <w:szCs w:val="18"/>
                <w:color w:val="auto"/>
              </w:rPr>
            </w:pPr>
          </w:p>
        </w:tc>
        <w:tc>
          <w:tcPr>
            <w:tcW w:w="39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200" w:type="dxa"/>
            <w:vAlign w:val="bottom"/>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72"/>
        </w:trPr>
        <w:tc>
          <w:tcPr>
            <w:tcW w:w="9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80" w:type="dxa"/>
            <w:vAlign w:val="bottom"/>
          </w:tcPr>
          <w:p>
            <w:pPr>
              <w:spacing w:after="0"/>
              <w:rPr>
                <w:sz w:val="14"/>
                <w:szCs w:val="14"/>
                <w:color w:val="auto"/>
              </w:rPr>
            </w:pPr>
          </w:p>
        </w:tc>
        <w:tc>
          <w:tcPr>
            <w:tcW w:w="3840" w:type="dxa"/>
            <w:vAlign w:val="bottom"/>
            <w:tcBorders>
              <w:top w:val="single" w:sz="8" w:color="auto"/>
            </w:tcBorders>
          </w:tcPr>
          <w:p>
            <w:pPr>
              <w:ind w:left="40"/>
              <w:spacing w:after="0" w:line="172"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070"/>
        <w:spacing w:after="0"/>
        <w:rPr>
          <w:sz w:val="20"/>
          <w:szCs w:val="20"/>
          <w:color w:val="auto"/>
        </w:rPr>
      </w:pPr>
      <w:r>
        <w:rPr>
          <w:rFonts w:ascii="Times New Roman" w:cs="Times New Roman" w:eastAsia="Times New Roman" w:hAnsi="Times New Roman"/>
          <w:sz w:val="20"/>
          <w:szCs w:val="20"/>
          <w:color w:val="auto"/>
        </w:rPr>
        <w:t>Cover Page Interactive Data File (formatted as</w:t>
      </w:r>
    </w:p>
    <w:p>
      <w:pPr>
        <w:ind w:left="1070" w:hanging="1017"/>
        <w:spacing w:after="0"/>
        <w:tabs>
          <w:tab w:leader="none" w:pos="107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inline XBRL and contained in Exhibit 101)</w:t>
      </w:r>
    </w:p>
    <w:p>
      <w:pPr>
        <w:spacing w:after="0" w:line="299" w:lineRule="exact"/>
        <w:rPr>
          <w:rFonts w:ascii="Times New Roman" w:cs="Times New Roman" w:eastAsia="Times New Roman" w:hAnsi="Times New Roman"/>
          <w:sz w:val="18"/>
          <w:szCs w:val="18"/>
          <w:color w:val="auto"/>
        </w:rPr>
      </w:pPr>
    </w:p>
    <w:p>
      <w:pPr>
        <w:ind w:left="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Executive compensation plan or agreement.</w:t>
      </w:r>
    </w:p>
    <w:p>
      <w:pPr>
        <w:spacing w:after="0" w:line="30" w:lineRule="exact"/>
        <w:rPr>
          <w:rFonts w:ascii="Times New Roman" w:cs="Times New Roman" w:eastAsia="Times New Roman" w:hAnsi="Times New Roman"/>
          <w:sz w:val="18"/>
          <w:szCs w:val="18"/>
          <w:color w:val="auto"/>
        </w:rPr>
      </w:pPr>
    </w:p>
    <w:p>
      <w:pPr>
        <w:ind w:left="730" w:right="40" w:hanging="730"/>
        <w:spacing w:after="0" w:line="250" w:lineRule="auto"/>
        <w:tabs>
          <w:tab w:leader="none" w:pos="73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730" w:right="320" w:hanging="730"/>
        <w:spacing w:after="0" w:line="250" w:lineRule="auto"/>
        <w:tabs>
          <w:tab w:leader="none" w:pos="73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Registrant has omitted and filed separately with the SEC portions of the exhibit pursuant to a confidential treatment request under Rule 406 promulgated under the Securities Act.</w:t>
      </w:r>
    </w:p>
    <w:p>
      <w:pPr>
        <w:spacing w:after="0" w:line="1" w:lineRule="exact"/>
        <w:rPr>
          <w:sz w:val="20"/>
          <w:szCs w:val="20"/>
          <w:color w:val="auto"/>
        </w:rPr>
      </w:pPr>
    </w:p>
    <w:p>
      <w:pPr>
        <w:ind w:left="730" w:right="400" w:hanging="730"/>
        <w:spacing w:after="0" w:line="250" w:lineRule="auto"/>
        <w:tabs>
          <w:tab w:leader="none" w:pos="73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portions of this exhibit have been omitted by means of marking such portions with asterisks because the Registrant has determined that the information is not material and is the type that the Registrant treats as private or confidential.</w:t>
      </w:r>
    </w:p>
    <w:p>
      <w:pPr>
        <w:spacing w:after="0" w:line="1" w:lineRule="exact"/>
        <w:rPr>
          <w:sz w:val="20"/>
          <w:szCs w:val="20"/>
          <w:color w:val="auto"/>
        </w:rPr>
      </w:pPr>
    </w:p>
    <w:p>
      <w:pPr>
        <w:ind w:left="730" w:right="540" w:hanging="730"/>
        <w:spacing w:after="0" w:line="244" w:lineRule="auto"/>
        <w:tabs>
          <w:tab w:leader="none" w:pos="73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and schedules to this agreement have been omitted pursuant to the rules of the SEC. The Registrant will submit copies of such exhibits and schedules to the SEC upon request.</w:t>
      </w:r>
    </w:p>
    <w:p>
      <w:pPr>
        <w:sectPr>
          <w:pgSz w:w="12240" w:h="15840" w:orient="portrait"/>
          <w:cols w:equalWidth="0" w:num="1">
            <w:col w:w="10270"/>
          </w:cols>
          <w:pgMar w:left="990" w:top="8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270"/>
          </w:cols>
          <w:pgMar w:left="990" w:top="868" w:right="98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ectPr>
          <w:pgSz w:w="12240" w:h="15840" w:orient="portrait"/>
          <w:cols w:equalWidth="0" w:num="1">
            <w:col w:w="9800"/>
          </w:cols>
          <w:pgMar w:left="1000" w:top="786" w:right="1440" w:bottom="0" w:gutter="0" w:footer="0" w:header="0"/>
        </w:sectPr>
      </w:pP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None.</w:t>
      </w:r>
    </w:p>
    <w:p>
      <w:pPr>
        <w:sectPr>
          <w:pgSz w:w="12240" w:h="15840" w:orient="portrait"/>
          <w:cols w:equalWidth="0" w:num="1">
            <w:col w:w="9800"/>
          </w:cols>
          <w:pgMar w:left="1000" w:top="78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800"/>
          </w:cols>
          <w:pgMar w:left="1000" w:top="786" w:right="1440" w:bottom="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4"/>
          <w:szCs w:val="24"/>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27, 2025</w:t>
      </w:r>
    </w:p>
    <w:p>
      <w:pPr>
        <w:spacing w:after="0" w:line="15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7" w:lineRule="exact"/>
        <w:rPr>
          <w:sz w:val="20"/>
          <w:szCs w:val="20"/>
          <w:color w:val="auto"/>
        </w:rPr>
      </w:pPr>
    </w:p>
    <w:p>
      <w:pPr>
        <w:ind w:left="5760"/>
        <w:spacing w:after="0"/>
        <w:tabs>
          <w:tab w:leader="none" w:pos="6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Daniel Faga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3937000</wp:posOffset>
                </wp:positionH>
                <wp:positionV relativeFrom="paragraph">
                  <wp:posOffset>40640</wp:posOffset>
                </wp:positionV>
                <wp:extent cx="25527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52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0pt,3.2pt" to="511pt,3.2pt" o:allowincell="f" strokecolor="#000000" strokeweight="1pt"/>
            </w:pict>
          </mc:Fallback>
        </mc:AlternateContent>
      </w:r>
    </w:p>
    <w:p>
      <w:pPr>
        <w:spacing w:after="0" w:line="3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0"/>
          <w:szCs w:val="20"/>
          <w:color w:val="auto"/>
        </w:rPr>
        <w:t>Daniel Faga</w:t>
      </w:r>
    </w:p>
    <w:p>
      <w:pPr>
        <w:spacing w:after="0" w:line="13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b w:val="1"/>
          <w:bCs w:val="1"/>
          <w:i w:val="1"/>
          <w:iCs w:val="1"/>
          <w:color w:val="auto"/>
        </w:rPr>
        <w:t>President and Chief Executive Officer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Each person whose individual signature appears below hereby authorizes and appoints Daniel Faga and Eric Loumeau,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1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8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8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6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Daniel Faga</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President, Chief Executive Officer and Director</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Daniel Faga</w:t>
            </w:r>
          </w:p>
        </w:tc>
        <w:tc>
          <w:tcPr>
            <w:tcW w:w="28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Executive Officer)</w:t>
            </w:r>
          </w:p>
        </w:tc>
        <w:tc>
          <w:tcPr>
            <w:tcW w:w="28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52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Dennis Mulroy</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Dennis Mulroy</w:t>
            </w:r>
          </w:p>
        </w:tc>
        <w:tc>
          <w:tcPr>
            <w:tcW w:w="28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Accounting and Financial Officer)</w:t>
            </w:r>
          </w:p>
        </w:tc>
        <w:tc>
          <w:tcPr>
            <w:tcW w:w="28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52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Dennis Fenton</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26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Dennis Fenton, Ph.D.</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9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Rita Jain</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Rita Jain, M.D</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8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Magda Marquet</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Magda Marquet, Ph.D.</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8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Oleg Nodelman</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Oleg Nodelman</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8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/s/John Orwin</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John Orwin</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8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Hollings Renton</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26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Hollings Renton</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9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John Schmid</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26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John Schmid</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9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 Anthony Ware</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 Anthony Ware, M.D.</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sectPr>
      <w:pgSz w:w="12240" w:h="15840" w:orient="portrait"/>
      <w:cols w:equalWidth="0" w:num="1">
        <w:col w:w="10240"/>
      </w:cols>
      <w:pgMar w:left="1000" w:top="786" w:right="100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lowerRoman"/>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3"/>
    </w:lvl>
  </w:abstractNum>
  <w:abstractNum w:abstractNumId="31">
    <w:nsid w:val="1D4ED43B"/>
    <w:multiLevelType w:val="hybridMultilevel"/>
    <w:lvl w:ilvl="0">
      <w:lvlJc w:val="left"/>
      <w:lvlText w:val="•"/>
      <w:numFmt w:val="bullet"/>
      <w:start w:val="1"/>
    </w:lvl>
    <w:lvl w:ilvl="1">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2"/>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4"/>
    </w:lvl>
  </w:abstractNum>
  <w:abstractNum w:abstractNumId="37">
    <w:nsid w:val="542289EC"/>
    <w:multiLevelType w:val="hybridMultilevel"/>
    <w:lvl w:ilvl="0">
      <w:lvlJc w:val="left"/>
      <w:lvlText w:val="(%1)"/>
      <w:numFmt w:val="decimal"/>
      <w:start w:val="3"/>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4"/>
    </w:lvl>
  </w:abstractNum>
  <w:abstractNum w:abstractNumId="43">
    <w:nsid w:val="579478FE"/>
    <w:multiLevelType w:val="hybridMultilevel"/>
    <w:lvl w:ilvl="0">
      <w:lvlJc w:val="left"/>
      <w:lvlText w:val="%1."/>
      <w:numFmt w:val="decimal"/>
      <w:start w:val="7"/>
    </w:lvl>
  </w:abstractNum>
  <w:abstractNum w:abstractNumId="44">
    <w:nsid w:val="749ABB43"/>
    <w:multiLevelType w:val="hybridMultilevel"/>
    <w:lvl w:ilvl="0">
      <w:lvlJc w:val="left"/>
      <w:lvlText w:val="%1."/>
      <w:numFmt w:val="decimal"/>
      <w:start w:val="8"/>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0"/>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3"/>
    </w:lvl>
  </w:abstractNum>
  <w:abstractNum w:abstractNumId="49">
    <w:nsid w:val="12E685FB"/>
    <w:multiLevelType w:val="hybridMultilevel"/>
    <w:lvl w:ilvl="0">
      <w:lvlJc w:val="left"/>
      <w:lvlText w:val="(%1)"/>
      <w:numFmt w:val="lowerLetter"/>
      <w:start w:val="1"/>
    </w:lvl>
    <w:lvl w:ilvl="1">
      <w:lvlJc w:val="left"/>
      <w:lvlText w:val="%2."/>
      <w:numFmt w:val="decimal"/>
      <w:start w:val="1"/>
    </w:lvl>
  </w:abstractNum>
  <w:abstractNum w:abstractNumId="50">
    <w:nsid w:val="70C6A529"/>
    <w:multiLevelType w:val="hybridMultilevel"/>
    <w:lvl w:ilvl="0">
      <w:lvlJc w:val="left"/>
      <w:lvlText w:val="*"/>
      <w:numFmt w:val="bullet"/>
      <w:start w:val="1"/>
    </w:lvl>
    <w:lvl w:ilvl="1">
      <w:lvlJc w:val="left"/>
      <w:lvlText w:val="%2"/>
      <w:numFmt w:val="decimal"/>
      <w:start w:val="104"/>
    </w:lvl>
  </w:abstractNum>
  <w:abstractNum w:abstractNumId="51">
    <w:nsid w:val="520EEDD1"/>
    <w:multiLevelType w:val="hybridMultilevel"/>
    <w:lvl w:ilvl="0">
      <w:lvlJc w:val="left"/>
      <w:lvlText w:val="**"/>
      <w:numFmt w:val="bullet"/>
      <w:start w:val="1"/>
    </w:lvl>
    <w:lvl w:ilvl="1">
      <w:lvlJc w:val="left"/>
      <w:lvlText w:val="%2"/>
      <w:numFmt w:val="decimal"/>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2025-05-04T02:08:54Z</dcterms:created>
  <dcterms:modified xsi:type="dcterms:W3CDTF">2025-05-04T02:08:54Z</dcterms:modified>
</cp:coreProperties>
</file>