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24"/>
        <w:gridCol w:w="109"/>
        <w:gridCol w:w="109"/>
        <w:gridCol w:w="2659"/>
        <w:gridCol w:w="2659"/>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w:t>
      </w:r>
      <w:r>
        <w:rPr>
          <w:rFonts w:ascii="Times New Roman;serif" w:hAnsi="Times New Roman;serif"/>
          <w:b/>
          <w:color w:val="000000"/>
          <w:sz w:val="20"/>
        </w:rPr>
        <w:t>to </w:t>
      </w:r>
      <w:r>
        <w:rPr>
          <w:color w:val="000000"/>
          <w:u w:val="single"/>
        </w:rPr>
        <w:t>                     </w:t>
      </w:r>
      <w:r>
        <w:rPr>
          <w:rFonts w:ascii="Times New Roman;serif" w:hAnsi="Times New Roman;serif"/>
          <w:b/>
          <w:color w:val="000000"/>
          <w:sz w:val="2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001-37985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6"/>
        </w:rPr>
        <w:t>ANAPTYSBIO, INC.</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20-3828755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10770 Wateridge Circle, Suite 210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Diego, CA 92121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and 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(858) 362-6295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4" w:type="dxa"/>
        <w:jc w:val="center"/>
        <w:tblInd w:w="0" w:type="dxa"/>
        <w:tblLayout w:type="fixed"/>
        <w:tblCellMar>
          <w:top w:w="28" w:type="dxa"/>
          <w:left w:w="28" w:type="dxa"/>
          <w:bottom w:w="28" w:type="dxa"/>
          <w:right w:w="28" w:type="dxa"/>
        </w:tblCellMar>
      </w:tblPr>
      <w:tblGrid>
        <w:gridCol w:w="1043"/>
        <w:gridCol w:w="913"/>
        <w:gridCol w:w="924"/>
        <w:gridCol w:w="539"/>
        <w:gridCol w:w="539"/>
        <w:gridCol w:w="541"/>
        <w:gridCol w:w="1085"/>
        <w:gridCol w:w="1085"/>
        <w:gridCol w:w="153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0"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October 30, 2025, there were 27,688,470 shares of the Registrant’s Common Stock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AnaptysBio, Inc.</w:t>
      </w:r>
    </w:p>
    <w:p>
      <w:pPr>
        <w:pStyle w:val="TextBody"/>
        <w:bidi w:val="0"/>
        <w:spacing w:lineRule="auto" w:line="288" w:before="0" w:after="0"/>
        <w:jc w:val="center"/>
        <w:rPr/>
      </w:pPr>
      <w:r>
        <w:rPr>
          <w:rFonts w:ascii="Times New Roman;serif" w:hAnsi="Times New Roman;serif"/>
          <w:b/>
          <w:color w:val="000000"/>
          <w:sz w:val="24"/>
        </w:rPr>
        <w:t>Table of Contents</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9"/>
        <w:gridCol w:w="210"/>
        <w:gridCol w:w="210"/>
        <w:gridCol w:w="2816"/>
        <w:gridCol w:w="2816"/>
        <w:gridCol w:w="2820"/>
        <w:gridCol w:w="319"/>
        <w:gridCol w:w="319"/>
        <w:gridCol w:w="45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13">
              <w:r>
                <w:rPr>
                  <w:rStyle w:val="InternetLink"/>
                  <w:rFonts w:ascii="Times New Roman;serif" w:hAnsi="Times New Roman;serif"/>
                  <w:b w:val="false"/>
                  <w:strike w:val="false"/>
                  <w:dstrike w:val="false"/>
                  <w:color w:val="0000FF"/>
                  <w:sz w:val="20"/>
                  <w:u w:val="none"/>
                  <w:effect w:val="none"/>
                </w:rPr>
                <w:t>Item 1.</w:t>
              </w:r>
            </w:hyperlink>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3">
              <w:r>
                <w:rPr>
                  <w:rStyle w:val="InternetLink"/>
                  <w:rFonts w:ascii="Times New Roman;serif" w:hAnsi="Times New Roman;serif"/>
                  <w:b w:val="false"/>
                  <w:color w:val="0000FF"/>
                  <w:sz w:val="20"/>
                  <w:u w:val="single"/>
                </w:rPr>
                <w:t>Consolidated Financial Statements (unaudited)</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3">
              <w:r>
                <w:rPr>
                  <w:rStyle w:val="InternetLink"/>
                  <w:rFonts w:ascii="Times New Roman;serif" w:hAnsi="Times New Roman;serif"/>
                  <w:b w:val="false"/>
                  <w:strike w:val="false"/>
                  <w:dstrike w:val="false"/>
                  <w:color w:val="0000FF"/>
                  <w:sz w:val="20"/>
                  <w:u w:val="none"/>
                  <w:effect w:val="none"/>
                </w:rPr>
                <w:t>1</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6">
              <w:r>
                <w:rPr>
                  <w:rStyle w:val="InternetLink"/>
                  <w:rFonts w:ascii="Times New Roman;serif" w:hAnsi="Times New Roman;serif"/>
                  <w:b w:val="false"/>
                  <w:color w:val="000080"/>
                  <w:sz w:val="20"/>
                  <w:u w:val="single"/>
                </w:rPr>
                <w:t xml:space="preserve">Consolidated Balance Sheets as of </w:t>
              </w:r>
            </w:hyperlink>
            <w:hyperlink w:anchor="i7ba5e407e7914f46ba0163413b520fea_16">
              <w:r>
                <w:rPr>
                  <w:rStyle w:val="InternetLink"/>
                  <w:rFonts w:ascii="Times New Roman;serif" w:hAnsi="Times New Roman;serif"/>
                  <w:b w:val="false"/>
                  <w:color w:val="000080"/>
                  <w:sz w:val="20"/>
                  <w:u w:val="single"/>
                </w:rPr>
                <w:t>September</w:t>
              </w:r>
            </w:hyperlink>
            <w:hyperlink w:anchor="i7ba5e407e7914f46ba0163413b520fea_16">
              <w:r>
                <w:rPr>
                  <w:rStyle w:val="InternetLink"/>
                  <w:rFonts w:ascii="Times New Roman;serif" w:hAnsi="Times New Roman;serif"/>
                  <w:b w:val="false"/>
                  <w:color w:val="000080"/>
                  <w:sz w:val="20"/>
                  <w:u w:val="single"/>
                </w:rPr>
                <w:t xml:space="preserve"> 3</w:t>
              </w:r>
            </w:hyperlink>
            <w:hyperlink w:anchor="i7ba5e407e7914f46ba0163413b520fea_16">
              <w:r>
                <w:rPr>
                  <w:rStyle w:val="InternetLink"/>
                  <w:rFonts w:ascii="Times New Roman;serif" w:hAnsi="Times New Roman;serif"/>
                  <w:b w:val="false"/>
                  <w:color w:val="000080"/>
                  <w:sz w:val="20"/>
                  <w:u w:val="single"/>
                </w:rPr>
                <w:t>0</w:t>
              </w:r>
            </w:hyperlink>
            <w:hyperlink w:anchor="i7ba5e407e7914f46ba0163413b520fea_16">
              <w:r>
                <w:rPr>
                  <w:rStyle w:val="InternetLink"/>
                  <w:rFonts w:ascii="Times New Roman;serif" w:hAnsi="Times New Roman;serif"/>
                  <w:b w:val="false"/>
                  <w:color w:val="000080"/>
                  <w:sz w:val="20"/>
                  <w:u w:val="single"/>
                </w:rPr>
                <w:t>, 2025 and December 31, 2024</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6">
              <w:r>
                <w:rPr>
                  <w:rStyle w:val="InternetLink"/>
                  <w:rFonts w:ascii="Times New Roman;serif" w:hAnsi="Times New Roman;serif"/>
                  <w:b w:val="false"/>
                  <w:strike w:val="false"/>
                  <w:dstrike w:val="false"/>
                  <w:color w:val="0000FF"/>
                  <w:sz w:val="20"/>
                  <w:u w:val="none"/>
                  <w:effect w:val="none"/>
                </w:rPr>
                <w:t>1</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9">
              <w:r>
                <w:rPr>
                  <w:rStyle w:val="InternetLink"/>
                  <w:rFonts w:ascii="Times New Roman;serif" w:hAnsi="Times New Roman;serif"/>
                  <w:b w:val="false"/>
                  <w:color w:val="000080"/>
                  <w:sz w:val="20"/>
                  <w:u w:val="single"/>
                </w:rPr>
                <w:t xml:space="preserve">Consolidated Statements of Operations and Comprehensive </w:t>
              </w:r>
            </w:hyperlink>
            <w:hyperlink w:anchor="i7ba5e407e7914f46ba0163413b520fea_19">
              <w:r>
                <w:rPr>
                  <w:rStyle w:val="InternetLink"/>
                  <w:rFonts w:ascii="Times New Roman;serif" w:hAnsi="Times New Roman;serif"/>
                  <w:b w:val="false"/>
                  <w:color w:val="000080"/>
                  <w:sz w:val="20"/>
                  <w:u w:val="single"/>
                </w:rPr>
                <w:t>Income (</w:t>
              </w:r>
            </w:hyperlink>
            <w:hyperlink w:anchor="i7ba5e407e7914f46ba0163413b520fea_19">
              <w:r>
                <w:rPr>
                  <w:rStyle w:val="InternetLink"/>
                  <w:rFonts w:ascii="Times New Roman;serif" w:hAnsi="Times New Roman;serif"/>
                  <w:b w:val="false"/>
                  <w:color w:val="000080"/>
                  <w:sz w:val="20"/>
                  <w:u w:val="single"/>
                </w:rPr>
                <w:t>Loss</w:t>
              </w:r>
            </w:hyperlink>
            <w:hyperlink w:anchor="i7ba5e407e7914f46ba0163413b520fea_19">
              <w:r>
                <w:rPr>
                  <w:rStyle w:val="InternetLink"/>
                  <w:rFonts w:ascii="Times New Roman;serif" w:hAnsi="Times New Roman;serif"/>
                  <w:b w:val="false"/>
                  <w:color w:val="000080"/>
                  <w:sz w:val="20"/>
                  <w:u w:val="single"/>
                </w:rPr>
                <w:t>)</w:t>
              </w:r>
            </w:hyperlink>
            <w:hyperlink w:anchor="i7ba5e407e7914f46ba0163413b520fea_19">
              <w:r>
                <w:rPr>
                  <w:rStyle w:val="InternetLink"/>
                  <w:rFonts w:ascii="Times New Roman;serif" w:hAnsi="Times New Roman;serif"/>
                  <w:b w:val="false"/>
                  <w:color w:val="000080"/>
                  <w:sz w:val="20"/>
                  <w:u w:val="single"/>
                </w:rPr>
                <w:t xml:space="preserve"> for the Three and </w:t>
              </w:r>
            </w:hyperlink>
            <w:hyperlink w:anchor="i7ba5e407e7914f46ba0163413b520fea_19">
              <w:r>
                <w:rPr>
                  <w:rStyle w:val="InternetLink"/>
                  <w:rFonts w:ascii="Times New Roman;serif" w:hAnsi="Times New Roman;serif"/>
                  <w:b w:val="false"/>
                  <w:color w:val="000080"/>
                  <w:sz w:val="20"/>
                  <w:u w:val="single"/>
                </w:rPr>
                <w:t>Nine</w:t>
              </w:r>
            </w:hyperlink>
            <w:hyperlink w:anchor="i7ba5e407e7914f46ba0163413b520fea_19">
              <w:r>
                <w:rPr>
                  <w:rStyle w:val="InternetLink"/>
                  <w:rFonts w:ascii="Times New Roman;serif" w:hAnsi="Times New Roman;serif"/>
                  <w:b w:val="false"/>
                  <w:color w:val="000080"/>
                  <w:sz w:val="20"/>
                  <w:u w:val="single"/>
                </w:rPr>
                <w:t xml:space="preserve"> Months Ended </w:t>
              </w:r>
            </w:hyperlink>
            <w:hyperlink w:anchor="i7ba5e407e7914f46ba0163413b520fea_19">
              <w:r>
                <w:rPr>
                  <w:rStyle w:val="InternetLink"/>
                  <w:rFonts w:ascii="Times New Roman;serif" w:hAnsi="Times New Roman;serif"/>
                  <w:b w:val="false"/>
                  <w:color w:val="000080"/>
                  <w:sz w:val="20"/>
                  <w:u w:val="single"/>
                </w:rPr>
                <w:t>September</w:t>
              </w:r>
            </w:hyperlink>
            <w:hyperlink w:anchor="i7ba5e407e7914f46ba0163413b520fea_19">
              <w:r>
                <w:rPr>
                  <w:rStyle w:val="InternetLink"/>
                  <w:rFonts w:ascii="Times New Roman;serif" w:hAnsi="Times New Roman;serif"/>
                  <w:b w:val="false"/>
                  <w:color w:val="000080"/>
                  <w:sz w:val="20"/>
                  <w:u w:val="single"/>
                </w:rPr>
                <w:t xml:space="preserve"> 3</w:t>
              </w:r>
            </w:hyperlink>
            <w:hyperlink w:anchor="i7ba5e407e7914f46ba0163413b520fea_19">
              <w:r>
                <w:rPr>
                  <w:rStyle w:val="InternetLink"/>
                  <w:rFonts w:ascii="Times New Roman;serif" w:hAnsi="Times New Roman;serif"/>
                  <w:b w:val="false"/>
                  <w:color w:val="000080"/>
                  <w:sz w:val="20"/>
                  <w:u w:val="single"/>
                </w:rPr>
                <w:t>0</w:t>
              </w:r>
            </w:hyperlink>
            <w:hyperlink w:anchor="i7ba5e407e7914f46ba0163413b520fea_19">
              <w:r>
                <w:rPr>
                  <w:rStyle w:val="InternetLink"/>
                  <w:rFonts w:ascii="Times New Roman;serif" w:hAnsi="Times New Roman;serif"/>
                  <w:b w:val="false"/>
                  <w:color w:val="000080"/>
                  <w:sz w:val="20"/>
                  <w:u w:val="single"/>
                </w:rPr>
                <w:t>, 2025 and 2024</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9">
              <w:r>
                <w:rPr>
                  <w:rStyle w:val="InternetLink"/>
                  <w:rFonts w:ascii="Times New Roman;serif" w:hAnsi="Times New Roman;serif"/>
                  <w:b w:val="false"/>
                  <w:strike w:val="false"/>
                  <w:dstrike w:val="false"/>
                  <w:color w:val="0000FF"/>
                  <w:sz w:val="20"/>
                  <w:u w:val="none"/>
                  <w:effect w:val="none"/>
                </w:rPr>
                <w:t>2</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22">
              <w:r>
                <w:rPr>
                  <w:rStyle w:val="InternetLink"/>
                  <w:rFonts w:ascii="Times New Roman;serif" w:hAnsi="Times New Roman;serif"/>
                  <w:b w:val="false"/>
                  <w:color w:val="000080"/>
                  <w:sz w:val="20"/>
                  <w:u w:val="single"/>
                </w:rPr>
                <w:t>Consolidated Statements of Stockholders’ Equity</w:t>
              </w:r>
            </w:hyperlink>
            <w:hyperlink w:anchor="i7ba5e407e7914f46ba0163413b520fea_22">
              <w:r>
                <w:rPr>
                  <w:rStyle w:val="InternetLink"/>
                  <w:rFonts w:ascii="Times New Roman;serif" w:hAnsi="Times New Roman;serif"/>
                  <w:b w:val="false"/>
                  <w:color w:val="000080"/>
                  <w:sz w:val="20"/>
                  <w:u w:val="single"/>
                </w:rPr>
                <w:t xml:space="preserve"> (Deficit)</w:t>
              </w:r>
            </w:hyperlink>
            <w:hyperlink w:anchor="i7ba5e407e7914f46ba0163413b520fea_22">
              <w:r>
                <w:rPr>
                  <w:rStyle w:val="InternetLink"/>
                  <w:rFonts w:ascii="Times New Roman;serif" w:hAnsi="Times New Roman;serif"/>
                  <w:b w:val="false"/>
                  <w:color w:val="000080"/>
                  <w:sz w:val="20"/>
                  <w:u w:val="single"/>
                </w:rPr>
                <w:t xml:space="preserve"> for the Three and </w:t>
              </w:r>
            </w:hyperlink>
            <w:hyperlink w:anchor="i7ba5e407e7914f46ba0163413b520fea_22">
              <w:r>
                <w:rPr>
                  <w:rStyle w:val="InternetLink"/>
                  <w:rFonts w:ascii="Times New Roman;serif" w:hAnsi="Times New Roman;serif"/>
                  <w:b w:val="false"/>
                  <w:color w:val="000080"/>
                  <w:sz w:val="20"/>
                  <w:u w:val="single"/>
                </w:rPr>
                <w:t>Nine</w:t>
              </w:r>
            </w:hyperlink>
            <w:hyperlink w:anchor="i7ba5e407e7914f46ba0163413b520fea_22">
              <w:r>
                <w:rPr>
                  <w:rStyle w:val="InternetLink"/>
                  <w:rFonts w:ascii="Times New Roman;serif" w:hAnsi="Times New Roman;serif"/>
                  <w:b w:val="false"/>
                  <w:color w:val="000080"/>
                  <w:sz w:val="20"/>
                  <w:u w:val="single"/>
                </w:rPr>
                <w:t xml:space="preserve"> Months Ended </w:t>
              </w:r>
            </w:hyperlink>
            <w:hyperlink w:anchor="i7ba5e407e7914f46ba0163413b520fea_22">
              <w:r>
                <w:rPr>
                  <w:rStyle w:val="InternetLink"/>
                  <w:rFonts w:ascii="Times New Roman;serif" w:hAnsi="Times New Roman;serif"/>
                  <w:b w:val="false"/>
                  <w:color w:val="000080"/>
                  <w:sz w:val="20"/>
                  <w:u w:val="single"/>
                </w:rPr>
                <w:t>September</w:t>
              </w:r>
            </w:hyperlink>
            <w:hyperlink w:anchor="i7ba5e407e7914f46ba0163413b520fea_22">
              <w:r>
                <w:rPr>
                  <w:rStyle w:val="InternetLink"/>
                  <w:rFonts w:ascii="Times New Roman;serif" w:hAnsi="Times New Roman;serif"/>
                  <w:b w:val="false"/>
                  <w:color w:val="000080"/>
                  <w:sz w:val="20"/>
                  <w:u w:val="single"/>
                </w:rPr>
                <w:t xml:space="preserve"> 3</w:t>
              </w:r>
            </w:hyperlink>
            <w:hyperlink w:anchor="i7ba5e407e7914f46ba0163413b520fea_22">
              <w:r>
                <w:rPr>
                  <w:rStyle w:val="InternetLink"/>
                  <w:rFonts w:ascii="Times New Roman;serif" w:hAnsi="Times New Roman;serif"/>
                  <w:b w:val="false"/>
                  <w:color w:val="000080"/>
                  <w:sz w:val="20"/>
                  <w:u w:val="single"/>
                </w:rPr>
                <w:t>0</w:t>
              </w:r>
            </w:hyperlink>
            <w:hyperlink w:anchor="i7ba5e407e7914f46ba0163413b520fea_22">
              <w:r>
                <w:rPr>
                  <w:rStyle w:val="InternetLink"/>
                  <w:rFonts w:ascii="Times New Roman;serif" w:hAnsi="Times New Roman;serif"/>
                  <w:b w:val="false"/>
                  <w:color w:val="000080"/>
                  <w:sz w:val="20"/>
                  <w:u w:val="single"/>
                </w:rPr>
                <w:t>, 2025</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22">
              <w:r>
                <w:rPr>
                  <w:rStyle w:val="InternetLink"/>
                  <w:rFonts w:ascii="Times New Roman;serif" w:hAnsi="Times New Roman;serif"/>
                  <w:b w:val="false"/>
                  <w:strike w:val="false"/>
                  <w:dstrike w:val="false"/>
                  <w:color w:val="0000FF"/>
                  <w:sz w:val="20"/>
                  <w:u w:val="none"/>
                  <w:effect w:val="none"/>
                </w:rPr>
                <w:t>3</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25">
              <w:r>
                <w:rPr>
                  <w:rStyle w:val="InternetLink"/>
                  <w:rFonts w:ascii="Times New Roman;serif" w:hAnsi="Times New Roman;serif"/>
                  <w:b w:val="false"/>
                  <w:color w:val="000080"/>
                  <w:sz w:val="20"/>
                  <w:u w:val="single"/>
                </w:rPr>
                <w:t>Consolidated Statements of Stockholders’ Equity</w:t>
              </w:r>
            </w:hyperlink>
            <w:hyperlink w:anchor="i7ba5e407e7914f46ba0163413b520fea_25">
              <w:r>
                <w:rPr>
                  <w:rStyle w:val="InternetLink"/>
                  <w:rFonts w:ascii="Times New Roman;serif" w:hAnsi="Times New Roman;serif"/>
                  <w:b w:val="false"/>
                  <w:color w:val="000080"/>
                  <w:sz w:val="20"/>
                  <w:u w:val="single"/>
                </w:rPr>
                <w:t xml:space="preserve"> </w:t>
              </w:r>
            </w:hyperlink>
            <w:hyperlink w:anchor="i7ba5e407e7914f46ba0163413b520fea_25">
              <w:r>
                <w:rPr>
                  <w:rStyle w:val="InternetLink"/>
                  <w:rFonts w:ascii="Times New Roman;serif" w:hAnsi="Times New Roman;serif"/>
                  <w:b w:val="false"/>
                  <w:color w:val="000080"/>
                  <w:sz w:val="20"/>
                  <w:u w:val="single"/>
                </w:rPr>
                <w:t xml:space="preserve">for the Three and </w:t>
              </w:r>
            </w:hyperlink>
            <w:hyperlink w:anchor="i7ba5e407e7914f46ba0163413b520fea_25">
              <w:r>
                <w:rPr>
                  <w:rStyle w:val="InternetLink"/>
                  <w:rFonts w:ascii="Times New Roman;serif" w:hAnsi="Times New Roman;serif"/>
                  <w:b w:val="false"/>
                  <w:color w:val="000080"/>
                  <w:sz w:val="20"/>
                  <w:u w:val="single"/>
                </w:rPr>
                <w:t>Nine</w:t>
              </w:r>
            </w:hyperlink>
            <w:hyperlink w:anchor="i7ba5e407e7914f46ba0163413b520fea_25">
              <w:r>
                <w:rPr>
                  <w:rStyle w:val="InternetLink"/>
                  <w:rFonts w:ascii="Times New Roman;serif" w:hAnsi="Times New Roman;serif"/>
                  <w:b w:val="false"/>
                  <w:color w:val="000080"/>
                  <w:sz w:val="20"/>
                  <w:u w:val="single"/>
                </w:rPr>
                <w:t xml:space="preserve"> Months Ended </w:t>
              </w:r>
            </w:hyperlink>
            <w:hyperlink w:anchor="i7ba5e407e7914f46ba0163413b520fea_25">
              <w:r>
                <w:rPr>
                  <w:rStyle w:val="InternetLink"/>
                  <w:rFonts w:ascii="Times New Roman;serif" w:hAnsi="Times New Roman;serif"/>
                  <w:b w:val="false"/>
                  <w:color w:val="000080"/>
                  <w:sz w:val="20"/>
                  <w:u w:val="single"/>
                </w:rPr>
                <w:t>September</w:t>
              </w:r>
            </w:hyperlink>
            <w:hyperlink w:anchor="i7ba5e407e7914f46ba0163413b520fea_25">
              <w:r>
                <w:rPr>
                  <w:rStyle w:val="InternetLink"/>
                  <w:rFonts w:ascii="Times New Roman;serif" w:hAnsi="Times New Roman;serif"/>
                  <w:b w:val="false"/>
                  <w:color w:val="000080"/>
                  <w:sz w:val="20"/>
                  <w:u w:val="single"/>
                </w:rPr>
                <w:t xml:space="preserve"> 30, 2024</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25">
              <w:r>
                <w:rPr>
                  <w:rStyle w:val="InternetLink"/>
                  <w:rFonts w:ascii="Times New Roman;serif" w:hAnsi="Times New Roman;serif"/>
                  <w:b w:val="false"/>
                  <w:strike w:val="false"/>
                  <w:dstrike w:val="false"/>
                  <w:color w:val="0000FF"/>
                  <w:sz w:val="20"/>
                  <w:u w:val="none"/>
                  <w:effect w:val="none"/>
                </w:rPr>
                <w:t>4</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28">
              <w:r>
                <w:rPr>
                  <w:rStyle w:val="InternetLink"/>
                  <w:rFonts w:ascii="Times New Roman;serif" w:hAnsi="Times New Roman;serif"/>
                  <w:b w:val="false"/>
                  <w:color w:val="000080"/>
                  <w:sz w:val="20"/>
                  <w:u w:val="single"/>
                </w:rPr>
                <w:t xml:space="preserve">Consolidated Statements of Cash Flows for the </w:t>
              </w:r>
            </w:hyperlink>
            <w:hyperlink w:anchor="i7ba5e407e7914f46ba0163413b520fea_28">
              <w:r>
                <w:rPr>
                  <w:rStyle w:val="InternetLink"/>
                  <w:rFonts w:ascii="Times New Roman;serif" w:hAnsi="Times New Roman;serif"/>
                  <w:b w:val="false"/>
                  <w:color w:val="000080"/>
                  <w:sz w:val="20"/>
                  <w:u w:val="single"/>
                </w:rPr>
                <w:t>Nine</w:t>
              </w:r>
            </w:hyperlink>
            <w:hyperlink w:anchor="i7ba5e407e7914f46ba0163413b520fea_28">
              <w:r>
                <w:rPr>
                  <w:rStyle w:val="InternetLink"/>
                  <w:rFonts w:ascii="Times New Roman;serif" w:hAnsi="Times New Roman;serif"/>
                  <w:b w:val="false"/>
                  <w:color w:val="000080"/>
                  <w:sz w:val="20"/>
                  <w:u w:val="single"/>
                </w:rPr>
                <w:t xml:space="preserve"> Months Ended </w:t>
              </w:r>
            </w:hyperlink>
            <w:hyperlink w:anchor="i7ba5e407e7914f46ba0163413b520fea_28">
              <w:r>
                <w:rPr>
                  <w:rStyle w:val="InternetLink"/>
                  <w:rFonts w:ascii="Times New Roman;serif" w:hAnsi="Times New Roman;serif"/>
                  <w:b w:val="false"/>
                  <w:color w:val="000080"/>
                  <w:sz w:val="20"/>
                  <w:u w:val="single"/>
                </w:rPr>
                <w:t>September</w:t>
              </w:r>
            </w:hyperlink>
            <w:hyperlink w:anchor="i7ba5e407e7914f46ba0163413b520fea_28">
              <w:r>
                <w:rPr>
                  <w:rStyle w:val="InternetLink"/>
                  <w:rFonts w:ascii="Times New Roman;serif" w:hAnsi="Times New Roman;serif"/>
                  <w:b w:val="false"/>
                  <w:color w:val="000080"/>
                  <w:sz w:val="20"/>
                  <w:u w:val="single"/>
                </w:rPr>
                <w:t xml:space="preserve"> 30, 2025 and 2024</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28">
              <w:r>
                <w:rPr>
                  <w:rStyle w:val="InternetLink"/>
                  <w:rFonts w:ascii="Times New Roman;serif" w:hAnsi="Times New Roman;serif"/>
                  <w:b w:val="false"/>
                  <w:strike w:val="false"/>
                  <w:dstrike w:val="false"/>
                  <w:color w:val="0000FF"/>
                  <w:sz w:val="20"/>
                  <w:u w:val="none"/>
                  <w:effect w:val="none"/>
                </w:rPr>
                <w:t>5</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31">
              <w:r>
                <w:rPr>
                  <w:rStyle w:val="InternetLink"/>
                  <w:rFonts w:ascii="Times New Roman;serif" w:hAnsi="Times New Roman;serif"/>
                  <w:b w:val="false"/>
                  <w:color w:val="0000FF"/>
                  <w:sz w:val="20"/>
                  <w:u w:val="single"/>
                </w:rPr>
                <w:t>Notes to the Unaudited Consolidated Financial Statements</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31">
              <w:r>
                <w:rPr>
                  <w:rStyle w:val="InternetLink"/>
                  <w:rFonts w:ascii="Times New Roman;serif" w:hAnsi="Times New Roman;serif"/>
                  <w:b w:val="false"/>
                  <w:strike w:val="false"/>
                  <w:dstrike w:val="false"/>
                  <w:color w:val="0000FF"/>
                  <w:sz w:val="20"/>
                  <w:u w:val="none"/>
                  <w:effect w:val="none"/>
                </w:rPr>
                <w:t>6</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70">
              <w:r>
                <w:rPr>
                  <w:rStyle w:val="InternetLink"/>
                  <w:rFonts w:ascii="Times New Roman;serif" w:hAnsi="Times New Roman;serif"/>
                  <w:b w:val="false"/>
                  <w:strike w:val="false"/>
                  <w:dstrike w:val="false"/>
                  <w:color w:val="0000FF"/>
                  <w:sz w:val="20"/>
                  <w:u w:val="none"/>
                  <w:effect w:val="none"/>
                </w:rPr>
                <w:t>Item 2.</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70">
              <w:r>
                <w:rPr>
                  <w:rStyle w:val="InternetLink"/>
                  <w:rFonts w:ascii="Times New Roman;serif" w:hAnsi="Times New Roman;serif"/>
                  <w:b w:val="false"/>
                  <w:strike w:val="false"/>
                  <w:dstrike w:val="false"/>
                  <w:color w:val="0000FF"/>
                  <w:sz w:val="20"/>
                  <w:u w:val="none"/>
                  <w:effect w:val="none"/>
                </w:rPr>
                <w:t>25</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73">
              <w:r>
                <w:rPr>
                  <w:rStyle w:val="InternetLink"/>
                  <w:rFonts w:ascii="Times New Roman;serif" w:hAnsi="Times New Roman;serif"/>
                  <w:b w:val="false"/>
                  <w:strike w:val="false"/>
                  <w:dstrike w:val="false"/>
                  <w:color w:val="0000FF"/>
                  <w:sz w:val="20"/>
                  <w:u w:val="none"/>
                  <w:effect w:val="none"/>
                </w:rPr>
                <w:t>Item 3.</w:t>
              </w:r>
            </w:hyperlink>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73">
              <w:r>
                <w:rPr>
                  <w:rStyle w:val="InternetLink"/>
                  <w:rFonts w:ascii="Times New Roman;serif" w:hAnsi="Times New Roman;serif"/>
                  <w:b w:val="false"/>
                  <w:color w:val="0000FF"/>
                  <w:sz w:val="20"/>
                  <w:u w:val="single"/>
                </w:rPr>
                <w:t>Quantitative and Qualitative Disclosures About Market Risk</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73">
              <w:r>
                <w:rPr>
                  <w:rStyle w:val="InternetLink"/>
                  <w:rFonts w:ascii="Times New Roman;serif" w:hAnsi="Times New Roman;serif"/>
                  <w:b w:val="false"/>
                  <w:strike w:val="false"/>
                  <w:dstrike w:val="false"/>
                  <w:color w:val="0000FF"/>
                  <w:sz w:val="20"/>
                  <w:u w:val="none"/>
                  <w:effect w:val="none"/>
                </w:rPr>
                <w:t>35</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76">
              <w:r>
                <w:rPr>
                  <w:rStyle w:val="InternetLink"/>
                  <w:rFonts w:ascii="Times New Roman;serif" w:hAnsi="Times New Roman;serif"/>
                  <w:b w:val="false"/>
                  <w:strike w:val="false"/>
                  <w:dstrike w:val="false"/>
                  <w:color w:val="0000FF"/>
                  <w:sz w:val="20"/>
                  <w:u w:val="none"/>
                  <w:effect w:val="none"/>
                </w:rPr>
                <w:t>Item 4.</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76">
              <w:r>
                <w:rPr>
                  <w:rStyle w:val="InternetLink"/>
                  <w:rFonts w:ascii="Times New Roman;serif" w:hAnsi="Times New Roman;serif"/>
                  <w:b w:val="false"/>
                  <w:color w:val="0000FF"/>
                  <w:sz w:val="20"/>
                  <w:u w:val="single"/>
                </w:rPr>
                <w:t>Controls and Procedures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76">
              <w:r>
                <w:rPr>
                  <w:rStyle w:val="InternetLink"/>
                  <w:rFonts w:ascii="Times New Roman;serif" w:hAnsi="Times New Roman;serif"/>
                  <w:b w:val="false"/>
                  <w:strike w:val="false"/>
                  <w:dstrike w:val="false"/>
                  <w:color w:val="0000FF"/>
                  <w:sz w:val="20"/>
                  <w:u w:val="none"/>
                  <w:effect w:val="none"/>
                </w:rPr>
                <w:t>35</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82">
              <w:r>
                <w:rPr>
                  <w:rStyle w:val="InternetLink"/>
                  <w:rFonts w:ascii="Times New Roman;serif" w:hAnsi="Times New Roman;serif"/>
                  <w:b w:val="false"/>
                  <w:strike w:val="false"/>
                  <w:dstrike w:val="false"/>
                  <w:color w:val="0000FF"/>
                  <w:sz w:val="20"/>
                  <w:u w:val="none"/>
                  <w:effect w:val="none"/>
                </w:rPr>
                <w:t>Item 1.</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82">
              <w:r>
                <w:rPr>
                  <w:rStyle w:val="InternetLink"/>
                  <w:rFonts w:ascii="Times New Roman;serif" w:hAnsi="Times New Roman;serif"/>
                  <w:b w:val="false"/>
                  <w:color w:val="0000FF"/>
                  <w:sz w:val="20"/>
                  <w:u w:val="single"/>
                </w:rPr>
                <w:t>Legal Proceedings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82">
              <w:r>
                <w:rPr>
                  <w:rStyle w:val="InternetLink"/>
                  <w:rFonts w:ascii="Times New Roman;serif" w:hAnsi="Times New Roman;serif"/>
                  <w:b w:val="false"/>
                  <w:strike w:val="false"/>
                  <w:dstrike w:val="false"/>
                  <w:color w:val="0000FF"/>
                  <w:sz w:val="20"/>
                  <w:u w:val="none"/>
                  <w:effect w:val="none"/>
                </w:rPr>
                <w:t>36</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85">
              <w:r>
                <w:rPr>
                  <w:rStyle w:val="InternetLink"/>
                  <w:rFonts w:ascii="Times New Roman;serif" w:hAnsi="Times New Roman;serif"/>
                  <w:b w:val="false"/>
                  <w:strike w:val="false"/>
                  <w:dstrike w:val="false"/>
                  <w:color w:val="0000FF"/>
                  <w:sz w:val="20"/>
                  <w:u w:val="none"/>
                  <w:effect w:val="none"/>
                </w:rPr>
                <w:t>Item 1A.</w:t>
              </w:r>
            </w:hyperlink>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85">
              <w:r>
                <w:rPr>
                  <w:rStyle w:val="InternetLink"/>
                  <w:rFonts w:ascii="Times New Roman;serif" w:hAnsi="Times New Roman;serif"/>
                  <w:b w:val="false"/>
                  <w:color w:val="0000FF"/>
                  <w:sz w:val="20"/>
                  <w:u w:val="single"/>
                </w:rPr>
                <w:t>Risk Factors</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85">
              <w:r>
                <w:rPr>
                  <w:rStyle w:val="InternetLink"/>
                  <w:rFonts w:ascii="Times New Roman;serif" w:hAnsi="Times New Roman;serif"/>
                  <w:b w:val="false"/>
                  <w:strike w:val="false"/>
                  <w:dstrike w:val="false"/>
                  <w:color w:val="0000FF"/>
                  <w:sz w:val="20"/>
                  <w:u w:val="none"/>
                  <w:effect w:val="none"/>
                </w:rPr>
                <w:t>36</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88">
              <w:r>
                <w:rPr>
                  <w:rStyle w:val="InternetLink"/>
                  <w:rFonts w:ascii="Times New Roman;serif" w:hAnsi="Times New Roman;serif"/>
                  <w:b w:val="false"/>
                  <w:strike w:val="false"/>
                  <w:dstrike w:val="false"/>
                  <w:color w:val="0000FF"/>
                  <w:sz w:val="20"/>
                  <w:u w:val="none"/>
                  <w:effect w:val="none"/>
                </w:rPr>
                <w:t>Item 2.</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88">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88">
              <w:r>
                <w:rPr>
                  <w:rStyle w:val="InternetLink"/>
                  <w:rFonts w:ascii="Times New Roman;serif" w:hAnsi="Times New Roman;serif"/>
                  <w:b w:val="false"/>
                  <w:strike w:val="false"/>
                  <w:dstrike w:val="false"/>
                  <w:color w:val="0000FF"/>
                  <w:sz w:val="20"/>
                  <w:u w:val="none"/>
                  <w:effect w:val="none"/>
                </w:rPr>
                <w:t>71</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91">
              <w:r>
                <w:rPr>
                  <w:rStyle w:val="InternetLink"/>
                  <w:rFonts w:ascii="Times New Roman;serif" w:hAnsi="Times New Roman;serif"/>
                  <w:b w:val="false"/>
                  <w:strike w:val="false"/>
                  <w:dstrike w:val="false"/>
                  <w:color w:val="0000FF"/>
                  <w:sz w:val="20"/>
                  <w:u w:val="none"/>
                  <w:effect w:val="none"/>
                </w:rPr>
                <w:t>Item 3.</w:t>
              </w:r>
            </w:hyperlink>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91">
              <w:r>
                <w:rPr>
                  <w:rStyle w:val="InternetLink"/>
                  <w:rFonts w:ascii="Times New Roman;serif" w:hAnsi="Times New Roman;serif"/>
                  <w:b w:val="false"/>
                  <w:color w:val="0000FF"/>
                  <w:sz w:val="20"/>
                  <w:u w:val="single"/>
                </w:rPr>
                <w:t>Defaults Upon Senior Securities</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91">
              <w:r>
                <w:rPr>
                  <w:rStyle w:val="InternetLink"/>
                  <w:rFonts w:ascii="Times New Roman;serif" w:hAnsi="Times New Roman;serif"/>
                  <w:b w:val="false"/>
                  <w:strike w:val="false"/>
                  <w:dstrike w:val="false"/>
                  <w:color w:val="0000FF"/>
                  <w:sz w:val="20"/>
                  <w:u w:val="none"/>
                  <w:effect w:val="none"/>
                </w:rPr>
                <w:t>72</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94">
              <w:r>
                <w:rPr>
                  <w:rStyle w:val="InternetLink"/>
                  <w:rFonts w:ascii="Times New Roman;serif" w:hAnsi="Times New Roman;serif"/>
                  <w:b w:val="false"/>
                  <w:strike w:val="false"/>
                  <w:dstrike w:val="false"/>
                  <w:color w:val="0000FF"/>
                  <w:sz w:val="20"/>
                  <w:u w:val="none"/>
                  <w:effect w:val="none"/>
                </w:rPr>
                <w:t>Item 4.</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94">
              <w:r>
                <w:rPr>
                  <w:rStyle w:val="InternetLink"/>
                  <w:rFonts w:ascii="Times New Roman;serif" w:hAnsi="Times New Roman;serif"/>
                  <w:b w:val="false"/>
                  <w:color w:val="0000FF"/>
                  <w:sz w:val="20"/>
                  <w:u w:val="single"/>
                </w:rPr>
                <w:t>Mine Safety Disclosures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94">
              <w:r>
                <w:rPr>
                  <w:rStyle w:val="InternetLink"/>
                  <w:rFonts w:ascii="Times New Roman;serif" w:hAnsi="Times New Roman;serif"/>
                  <w:b w:val="false"/>
                  <w:strike w:val="false"/>
                  <w:dstrike w:val="false"/>
                  <w:color w:val="0000FF"/>
                  <w:sz w:val="20"/>
                  <w:u w:val="none"/>
                  <w:effect w:val="none"/>
                </w:rPr>
                <w:t>73</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97">
              <w:r>
                <w:rPr>
                  <w:rStyle w:val="InternetLink"/>
                  <w:rFonts w:ascii="Times New Roman;serif" w:hAnsi="Times New Roman;serif"/>
                  <w:b w:val="false"/>
                  <w:strike w:val="false"/>
                  <w:dstrike w:val="false"/>
                  <w:color w:val="0000FF"/>
                  <w:sz w:val="20"/>
                  <w:u w:val="none"/>
                  <w:effect w:val="none"/>
                </w:rPr>
                <w:t>Item 5.</w:t>
              </w:r>
            </w:hyperlink>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97">
              <w:r>
                <w:rPr>
                  <w:rStyle w:val="InternetLink"/>
                  <w:rFonts w:ascii="Times New Roman;serif" w:hAnsi="Times New Roman;serif"/>
                  <w:b w:val="false"/>
                  <w:color w:val="0000FF"/>
                  <w:sz w:val="20"/>
                  <w:u w:val="single"/>
                </w:rPr>
                <w:t>Other Information</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97">
              <w:r>
                <w:rPr>
                  <w:rStyle w:val="InternetLink"/>
                  <w:rFonts w:ascii="Times New Roman;serif" w:hAnsi="Times New Roman;serif"/>
                  <w:b w:val="false"/>
                  <w:strike w:val="false"/>
                  <w:dstrike w:val="false"/>
                  <w:color w:val="0000FF"/>
                  <w:sz w:val="20"/>
                  <w:u w:val="none"/>
                  <w:effect w:val="none"/>
                </w:rPr>
                <w:t>73</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7ba5e407e7914f46ba0163413b520fea_103">
              <w:r>
                <w:rPr>
                  <w:rStyle w:val="InternetLink"/>
                  <w:rFonts w:ascii="Times New Roman;serif" w:hAnsi="Times New Roman;serif"/>
                  <w:b w:val="false"/>
                  <w:strike w:val="false"/>
                  <w:dstrike w:val="false"/>
                  <w:color w:val="0000FF"/>
                  <w:sz w:val="20"/>
                  <w:u w:val="none"/>
                  <w:effect w:val="none"/>
                </w:rPr>
                <w:t>Item 6.</w:t>
              </w:r>
            </w:hyperlink>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03">
              <w:r>
                <w:rPr>
                  <w:rStyle w:val="InternetLink"/>
                  <w:rFonts w:ascii="Times New Roman;serif" w:hAnsi="Times New Roman;serif"/>
                  <w:b w:val="false"/>
                  <w:color w:val="0000FF"/>
                  <w:sz w:val="20"/>
                  <w:u w:val="single"/>
                </w:rPr>
                <w:t>Exhibits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03">
              <w:r>
                <w:rPr>
                  <w:rStyle w:val="InternetLink"/>
                  <w:rFonts w:ascii="Times New Roman;serif" w:hAnsi="Times New Roman;serif"/>
                  <w:b w:val="false"/>
                  <w:strike w:val="false"/>
                  <w:dstrike w:val="false"/>
                  <w:color w:val="0000FF"/>
                  <w:sz w:val="20"/>
                  <w:u w:val="none"/>
                  <w:effect w:val="none"/>
                </w:rPr>
                <w:t>73</w:t>
              </w:r>
            </w:hyperlink>
          </w:p>
        </w:tc>
      </w:tr>
      <w:tr>
        <w:trPr/>
        <w:tc>
          <w:tcPr>
            <w:tcW w:w="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06">
              <w:r>
                <w:rPr>
                  <w:rStyle w:val="InternetLink"/>
                  <w:rFonts w:ascii="Times New Roman;serif" w:hAnsi="Times New Roman;serif"/>
                  <w:b w:val="false"/>
                  <w:color w:val="0000FF"/>
                  <w:sz w:val="20"/>
                  <w:u w:val="single"/>
                </w:rPr>
                <w:t>Exhibit Index</w:t>
              </w:r>
            </w:hyperlink>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06">
              <w:r>
                <w:rPr>
                  <w:rStyle w:val="InternetLink"/>
                  <w:rFonts w:ascii="Times New Roman;serif" w:hAnsi="Times New Roman;serif"/>
                  <w:b w:val="false"/>
                  <w:strike w:val="false"/>
                  <w:dstrike w:val="false"/>
                  <w:color w:val="0000FF"/>
                  <w:sz w:val="20"/>
                  <w:u w:val="none"/>
                  <w:effect w:val="none"/>
                </w:rPr>
                <w:t>73</w:t>
              </w:r>
            </w:hyperlink>
          </w:p>
        </w:tc>
      </w:tr>
      <w:tr>
        <w:trPr/>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7ba5e407e7914f46ba0163413b520fea_109">
              <w:r>
                <w:rPr>
                  <w:rStyle w:val="InternetLink"/>
                  <w:rFonts w:ascii="Times New Roman;serif" w:hAnsi="Times New Roman;serif"/>
                  <w:b w:val="false"/>
                  <w:color w:val="0000FF"/>
                  <w:sz w:val="20"/>
                  <w:u w:val="single"/>
                </w:rPr>
                <w:t>Signatures</w:t>
              </w:r>
            </w:hyperlink>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ba5e407e7914f46ba0163413b520fea_109">
              <w:r>
                <w:rPr>
                  <w:rStyle w:val="InternetLink"/>
                  <w:rFonts w:ascii="Times New Roman;serif" w:hAnsi="Times New Roman;serif"/>
                  <w:b w:val="false"/>
                  <w:strike w:val="false"/>
                  <w:dstrike w:val="false"/>
                  <w:color w:val="0000FF"/>
                  <w:sz w:val="20"/>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49"/>
        <w:gridCol w:w="2257"/>
        <w:gridCol w:w="2242"/>
        <w:gridCol w:w="245"/>
        <w:gridCol w:w="922"/>
        <w:gridCol w:w="136"/>
        <w:gridCol w:w="109"/>
        <w:gridCol w:w="109"/>
        <w:gridCol w:w="109"/>
        <w:gridCol w:w="239"/>
        <w:gridCol w:w="898"/>
        <w:gridCol w:w="190"/>
      </w:tblGrid>
      <w:tr>
        <w:trPr/>
        <w:tc>
          <w:tcPr>
            <w:tcW w:w="274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654"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330,650 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431,876 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353,098 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 (DEFICIT)</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 equity:</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and no shares, issued or outstanding at September 30, 2025 and December 31, 2024, respectively</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500,000 shares authorized, 27,575 shares and 30,473 shares issued and outstanding at September 30, 2025 and December 31, 2024, respectively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gain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(759,327)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353,098 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erif" w:hAnsi="Times New Roman;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69" w:type="dxa"/>
        <w:jc w:val="left"/>
        <w:tblInd w:w="0" w:type="dxa"/>
        <w:tblLayout w:type="fixed"/>
        <w:tblCellMar>
          <w:top w:w="28" w:type="dxa"/>
          <w:left w:w="28" w:type="dxa"/>
          <w:bottom w:w="28" w:type="dxa"/>
          <w:right w:w="28" w:type="dxa"/>
        </w:tblCellMar>
      </w:tblPr>
      <w:tblGrid>
        <w:gridCol w:w="1488"/>
        <w:gridCol w:w="1306"/>
        <w:gridCol w:w="1315"/>
        <w:gridCol w:w="196"/>
        <w:gridCol w:w="646"/>
        <w:gridCol w:w="109"/>
        <w:gridCol w:w="109"/>
        <w:gridCol w:w="109"/>
        <w:gridCol w:w="109"/>
        <w:gridCol w:w="196"/>
        <w:gridCol w:w="721"/>
        <w:gridCol w:w="109"/>
        <w:gridCol w:w="109"/>
        <w:gridCol w:w="109"/>
        <w:gridCol w:w="109"/>
        <w:gridCol w:w="196"/>
        <w:gridCol w:w="736"/>
        <w:gridCol w:w="109"/>
        <w:gridCol w:w="109"/>
        <w:gridCol w:w="109"/>
        <w:gridCol w:w="109"/>
        <w:gridCol w:w="196"/>
        <w:gridCol w:w="81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153,446 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for the sale of future royalties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(18,159)</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securities</w:t>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54"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erif" w:hAnsi="Times New Roman;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Consolidated Statement of Stockholders’ Equity (Deficit)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71"/>
        <w:gridCol w:w="834"/>
        <w:gridCol w:w="841"/>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14"/>
        <w:gridCol w:w="828"/>
        <w:gridCol w:w="253"/>
        <w:gridCol w:w="109"/>
        <w:gridCol w:w="109"/>
        <w:gridCol w:w="109"/>
        <w:gridCol w:w="181"/>
        <w:gridCol w:w="646"/>
        <w:gridCol w:w="109"/>
        <w:gridCol w:w="109"/>
        <w:gridCol w:w="109"/>
        <w:gridCol w:w="109"/>
        <w:gridCol w:w="182"/>
        <w:gridCol w:w="577"/>
        <w:gridCol w:w="160"/>
      </w:tblGrid>
      <w:tr>
        <w:trPr/>
        <w:tc>
          <w:tcPr>
            <w:tcW w:w="137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(Deficit) Equity</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30,473 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829,860 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(759,327)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70,868 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stock</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Comprehensive loss,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30,388 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832,486 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(798,656)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34,021 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27,973 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stock</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54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27,575 </w:t>
            </w:r>
          </w:p>
        </w:tc>
        <w:tc>
          <w:tcPr>
            <w:tcW w:w="1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792,682 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(822,173)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(29,416)</w:t>
            </w:r>
          </w:p>
        </w:tc>
        <w:tc>
          <w:tcPr>
            <w:tcW w:w="1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Consolidated Statement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8"/>
        <w:gridCol w:w="875"/>
        <w:gridCol w:w="882"/>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15"/>
        <w:gridCol w:w="867"/>
        <w:gridCol w:w="252"/>
        <w:gridCol w:w="109"/>
        <w:gridCol w:w="109"/>
        <w:gridCol w:w="109"/>
        <w:gridCol w:w="181"/>
        <w:gridCol w:w="647"/>
        <w:gridCol w:w="109"/>
        <w:gridCol w:w="109"/>
        <w:gridCol w:w="109"/>
        <w:gridCol w:w="109"/>
        <w:gridCol w:w="181"/>
        <w:gridCol w:w="54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Equity</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26,597 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702,969 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(614,096)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88,103 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10,131 </w:t>
            </w:r>
          </w:p>
        </w:tc>
        <w:tc>
          <w:tcPr>
            <w:tcW w:w="158"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47,778 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upon vesting of restricted stock units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7,544 </w:t>
            </w:r>
          </w:p>
        </w:tc>
        <w:tc>
          <w:tcPr>
            <w:tcW w:w="158"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27,434 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$6,516 of transaction costs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2,751 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93,874 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93,877 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54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30,429 </w:t>
            </w:r>
          </w:p>
        </w:tc>
        <w:tc>
          <w:tcPr>
            <w:tcW w:w="1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821,121 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2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(737,543)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84,367 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274" w:type="dxa"/>
        <w:jc w:val="center"/>
        <w:tblInd w:w="0" w:type="dxa"/>
        <w:tblLayout w:type="fixed"/>
        <w:tblCellMar>
          <w:top w:w="28" w:type="dxa"/>
          <w:left w:w="28" w:type="dxa"/>
          <w:bottom w:w="28" w:type="dxa"/>
          <w:right w:w="28" w:type="dxa"/>
        </w:tblCellMar>
      </w:tblPr>
      <w:tblGrid>
        <w:gridCol w:w="2079"/>
        <w:gridCol w:w="1828"/>
        <w:gridCol w:w="1838"/>
        <w:gridCol w:w="196"/>
        <w:gridCol w:w="736"/>
        <w:gridCol w:w="109"/>
        <w:gridCol w:w="109"/>
        <w:gridCol w:w="109"/>
        <w:gridCol w:w="109"/>
        <w:gridCol w:w="196"/>
        <w:gridCol w:w="81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Accretion/amortization of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 – operating</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investments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154,532 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public offerings, net of underwriters’ fees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94,369 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retirements of common stock</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net share settlement of equity awards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 of liability for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offering costs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(89,479)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99,487 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portion of repayment for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accrued for property and equipment</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accrued for repurchases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related to issuance of common stock, upon exercise of stock options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accrued for offering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6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AnaptysBio, Inc. (“we,” “us,” “our,” or the “company”) was incorporated in the state of Delaware in November 2005. We are a clinical-stage biotechnology company focused on delivering innovative immunology therapeutics for autoimmune and inflammatory diseases. Our pipeline includes our lead program, rosnilimab, a selective and potent pathogenic T cell depleter, that completed a Phase 2b trial for the treatment of moderate-to-severe rheumatoid arthritis (“RA”) and is in a Phase 2 trial for the treatment of moderate-to-severe ulcerative colitis (“UC”). Our pipeline also includes ANB033, a CD122 antagonist, in a Phase 1b trial for celiac disease (“CeD”) and ANB101, a BDCA2 modulator, in a Phase 1a trial. Anaptys has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devoted our primary effort to research and development activities. Our financial support has been provided primarily from the sale of our common stock and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Intention to Separate Company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September 2025, we announced that our Board of Directors approved plans to explore separating our business into two independent, publicly traded companies. One company is expected to hold and continue to manage the Jemperli milestones and royalties from GSK and the milestones and royalties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separation, which is expected to be completed by year-end 2026, we intend to launch the biotechnology company with adequate capital to fund operations for at least two years. While the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pursuant to the rules and regulations of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nine months ended September 30, 2025 are not necessarily indicative of the results that may be expected for the year ending December 31, 2025. The financial statements should be read in conjunction with our audited financial statements for the year ended December 31, 2024 included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us and our wholly owned Australian subsidiary, which was deregistered with the Australian Securities &amp; Investments Commission as of September 30, 2025. The deregistration did not have a material impact on our consolidated financial statements.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Income (Loss) Per Common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net loss by the weighted-average number of common shares outstanding during the period. Diluted net income (loss) per share is computed by dividing net income (loss) by the weighted-average number of common equivalent shares outstanding for the period, as well as any dilutive effect from outstanding stock options and awards using the treasury stock method. Computations for basic and diluted net income (loss) per common share are below:</w:t>
      </w:r>
    </w:p>
    <w:tbl>
      <w:tblPr>
        <w:tblW w:w="10169" w:type="dxa"/>
        <w:jc w:val="left"/>
        <w:tblInd w:w="0" w:type="dxa"/>
        <w:tblLayout w:type="fixed"/>
        <w:tblCellMar>
          <w:top w:w="28" w:type="dxa"/>
          <w:left w:w="28" w:type="dxa"/>
          <w:bottom w:w="28" w:type="dxa"/>
          <w:right w:w="28" w:type="dxa"/>
        </w:tblCellMar>
      </w:tblPr>
      <w:tblGrid>
        <w:gridCol w:w="1680"/>
        <w:gridCol w:w="1482"/>
        <w:gridCol w:w="1487"/>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attributed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weighted-average common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per share,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The following table sets forth </w:t>
      </w:r>
      <w:r>
        <w:rPr>
          <w:rFonts w:ascii="Times New Roman;serif" w:hAnsi="Times New Roman;serif"/>
          <w:b w:val="false"/>
          <w:color w:val="000000"/>
          <w:sz w:val="20"/>
        </w:rPr>
        <w:t>the weighted-average o</w:t>
      </w:r>
      <w:r>
        <w:rPr>
          <w:rFonts w:ascii="Times New Roman;serif" w:hAnsi="Times New Roman;serif"/>
          <w:b w:val="false"/>
          <w:color w:val="000000"/>
          <w:sz w:val="20"/>
          <w:shd w:fill="FFFFFF" w:val="clear"/>
        </w:rPr>
        <w:t>utstanding potentially dilutive securities that have been excluded in the calculation of diluted net loss per share because to do so would be anti-dilutive (in common stock equivalent shares):</w:t>
      </w:r>
    </w:p>
    <w:tbl>
      <w:tblPr>
        <w:tblW w:w="7544" w:type="dxa"/>
        <w:jc w:val="left"/>
        <w:tblInd w:w="0" w:type="dxa"/>
        <w:tblLayout w:type="fixed"/>
        <w:tblCellMar>
          <w:top w:w="28" w:type="dxa"/>
          <w:left w:w="28" w:type="dxa"/>
          <w:bottom w:w="28" w:type="dxa"/>
          <w:right w:w="28" w:type="dxa"/>
        </w:tblCellMar>
      </w:tblPr>
      <w:tblGrid>
        <w:gridCol w:w="1074"/>
        <w:gridCol w:w="946"/>
        <w:gridCol w:w="949"/>
        <w:gridCol w:w="308"/>
        <w:gridCol w:w="308"/>
        <w:gridCol w:w="178"/>
        <w:gridCol w:w="178"/>
        <w:gridCol w:w="178"/>
        <w:gridCol w:w="178"/>
        <w:gridCol w:w="308"/>
        <w:gridCol w:w="308"/>
        <w:gridCol w:w="178"/>
        <w:gridCol w:w="109"/>
        <w:gridCol w:w="109"/>
        <w:gridCol w:w="109"/>
        <w:gridCol w:w="308"/>
        <w:gridCol w:w="308"/>
        <w:gridCol w:w="165"/>
        <w:gridCol w:w="165"/>
        <w:gridCol w:w="165"/>
        <w:gridCol w:w="165"/>
        <w:gridCol w:w="308"/>
        <w:gridCol w:w="308"/>
        <w:gridCol w:w="23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2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Accounting Pronouncements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630"/>
        <w:jc w:val="left"/>
        <w:rPr/>
      </w:pPr>
      <w:r>
        <w:rPr>
          <w:rFonts w:ascii="Times New Roman;serif" w:hAnsi="Times New Roman;serif"/>
          <w:b w:val="false"/>
          <w:color w:val="000000"/>
          <w:sz w:val="20"/>
        </w:rPr>
        <w:t>In December 2023, the FASB issued ASU No. 2023-09,</w:t>
      </w:r>
      <w:r>
        <w:rPr>
          <w:color w:val="000000"/>
        </w:rPr>
        <w:t xml:space="preserve"> </w:t>
      </w:r>
      <w:r>
        <w:rPr>
          <w:rFonts w:ascii="Times New Roman;serif" w:hAnsi="Times New Roman;serif"/>
          <w:b w:val="false"/>
          <w:i/>
          <w:color w:val="000000"/>
          <w:sz w:val="20"/>
        </w:rPr>
        <w:t>Income Taxes (Topic 740): Improvements to Income Tax Disclosures Income Taxes</w:t>
      </w:r>
      <w:r>
        <w:rPr>
          <w:rFonts w:ascii="Times New Roman;serif" w:hAnsi="Times New Roman;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pStyle w:val="TextBody"/>
        <w:bidi w:val="0"/>
        <w:spacing w:lineRule="auto" w:line="288" w:before="120" w:after="283"/>
        <w:ind w:left="0" w:right="0" w:firstLine="63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which requires disclosure about the types of costs and expenses included in certain expense captions presented on the income statement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Balance Sheet Accounts and Supplemental Disclosures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 of the following: </w:t>
      </w:r>
    </w:p>
    <w:tbl>
      <w:tblPr>
        <w:tblW w:w="7525" w:type="dxa"/>
        <w:jc w:val="left"/>
        <w:tblInd w:w="0" w:type="dxa"/>
        <w:tblLayout w:type="fixed"/>
        <w:tblCellMar>
          <w:top w:w="28" w:type="dxa"/>
          <w:left w:w="28" w:type="dxa"/>
          <w:bottom w:w="28" w:type="dxa"/>
          <w:right w:w="28" w:type="dxa"/>
        </w:tblCellMar>
      </w:tblPr>
      <w:tblGrid>
        <w:gridCol w:w="1486"/>
        <w:gridCol w:w="1311"/>
        <w:gridCol w:w="1312"/>
        <w:gridCol w:w="348"/>
        <w:gridCol w:w="1017"/>
        <w:gridCol w:w="180"/>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12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 of the following: </w:t>
      </w:r>
    </w:p>
    <w:tbl>
      <w:tblPr>
        <w:tblW w:w="8426" w:type="dxa"/>
        <w:jc w:val="left"/>
        <w:tblInd w:w="0" w:type="dxa"/>
        <w:tblLayout w:type="fixed"/>
        <w:tblCellMar>
          <w:top w:w="28" w:type="dxa"/>
          <w:left w:w="28" w:type="dxa"/>
          <w:bottom w:w="28" w:type="dxa"/>
          <w:right w:w="28" w:type="dxa"/>
        </w:tblCellMar>
      </w:tblPr>
      <w:tblGrid>
        <w:gridCol w:w="1808"/>
        <w:gridCol w:w="1593"/>
        <w:gridCol w:w="1609"/>
        <w:gridCol w:w="313"/>
        <w:gridCol w:w="1070"/>
        <w:gridCol w:w="161"/>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3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 and other expenses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development and manufacturing expenses</w:t>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22,426 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for repurchases of common stock</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33,171 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39,501 </w:t>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Collaborative Research and Development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GSK Collaboration</w:t>
      </w:r>
    </w:p>
    <w:p>
      <w:pPr>
        <w:pStyle w:val="TextBody"/>
        <w:bidi w:val="0"/>
        <w:spacing w:lineRule="auto" w:line="268" w:before="120" w:after="283"/>
        <w:ind w:left="0" w:right="0" w:firstLine="540"/>
        <w:jc w:val="left"/>
        <w:rPr/>
      </w:pPr>
      <w:r>
        <w:rPr>
          <w:rFonts w:ascii="Times New Roman;serif" w:hAnsi="Times New Roman;serif"/>
          <w:b w:val="false"/>
          <w:color w:val="000000"/>
          <w:sz w:val="20"/>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w:t>
      </w:r>
      <w:r>
        <w:rPr>
          <w:color w:val="000000"/>
        </w:rPr>
        <w:t xml:space="preserve"> </w:t>
      </w:r>
      <w:r>
        <w:rPr>
          <w:rFonts w:ascii="Times New Roman;serif" w:hAnsi="Times New Roman;serif"/>
          <w:b w:val="false"/>
          <w:color w:val="000000"/>
          <w:sz w:val="20"/>
        </w:rPr>
        <w:t>(dostarlimab) as a monotherapy, and in combination with additional therapies, for various solid tumor indications.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Jemperli, the remaining development program under the GSK Agreement, we are eligible to receive milestone payments if a European regulatory submission and approval in a second indication is achieved and upon the achievement of specified levels of annual worldwide net sales.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assessed these arrangements in accordance with Accounting Standards Codification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transaction price for the GSK Agreement and its associated amendments includes the upfront payment, research reimbursement revenue and milestones and royalties earned to date, which are allocated in their entirety to the single performance obligation.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recognized $26.3 million and $66.6 million in royalty revenue during the three and nine months ended September 30, 2025, respectively, related to GSK’s net sales of Jemperli</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Zejula during the period, which we estimate based on either GSK’s prior sales experience or actuals. Of the royalty revenue recognized during the three and nine months ended September 30, 2025, $24.9 million and $63.2 million, respectively, is Jemperli non-cash revenue related to the Jemperli Royalty Monetization Agreement (as amended) and $1.4 million and $3.4 million, respectively, is Zejula non-cash revenue related to the Zejula Royalty Monetization Agreement, each of such agreements as described in Note 5. We recognized $15.0 million and $33.2 million, in royalty revenue during the three and nine months ended September 30, 2024, respectively, related to GSK’s net sales of Jemperli and Zejula during the period based on GSK’s prior sales experience or actuals. Of the royalty revenue recognized during the three and nine months ended September 30, 2024, $13.8 million and $30.1 million, respectively,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Jemperli non-cash revenue related to the Jemperli Royalty Monetization Agreement (as amended) and $1.2 million and $3.1 million, respectively, is Zejula non-cash revenue related to the Zejula Royalty Monetization Agreement. GSK reports sales information to us on a one quarter lag and differences between actual and estimated royalty revenues will be adjusted in the following quarter.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One sales milestone for $50.0 million was recognized during the three and nine months ended September 30, 2025 when Jemperli annual sales exceeded $750 million, and one sales milestone for $15.0 million was recognized during the three and nine months ended September 30, 2024 when Jemperli annual sales exceeded $250 million. These sales milestones are Jemperli non-cash revenue related to the Jemperli Royalty Monetization Agreement. No other future regulatory milestones have been included in the transaction price, as all future milestone amounts were subject to the revenue constraint. As part of the constraint evaluation, we considered numerous factors including the fact that the receipt of milestones is outside of our control and contingent upon regulatory filing and approval in a second indication,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Milestones under the GSK Agreement are as follows:</w:t>
      </w:r>
    </w:p>
    <w:tbl>
      <w:tblPr>
        <w:tblW w:w="8506" w:type="dxa"/>
        <w:jc w:val="center"/>
        <w:tblInd w:w="0" w:type="dxa"/>
        <w:tblLayout w:type="fixed"/>
        <w:tblCellMar>
          <w:top w:w="28" w:type="dxa"/>
          <w:left w:w="28" w:type="dxa"/>
          <w:bottom w:w="28" w:type="dxa"/>
          <w:right w:w="28" w:type="dxa"/>
        </w:tblCellMar>
      </w:tblPr>
      <w:tblGrid>
        <w:gridCol w:w="1936"/>
        <w:gridCol w:w="1697"/>
        <w:gridCol w:w="1706"/>
        <w:gridCol w:w="298"/>
        <w:gridCol w:w="298"/>
        <w:gridCol w:w="298"/>
        <w:gridCol w:w="519"/>
        <w:gridCol w:w="519"/>
        <w:gridCol w:w="536"/>
        <w:gridCol w:w="109"/>
        <w:gridCol w:w="109"/>
        <w:gridCol w:w="109"/>
        <w:gridCol w:w="109"/>
        <w:gridCol w:w="109"/>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PD-1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(Jemperli/Dostarlimab)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Milestone Event</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6"/>
              </w:rPr>
              <w:t xml:space="preserve">Initiated </w:t>
            </w:r>
            <w:r>
              <w:rPr>
                <w:rFonts w:ascii="Times New Roman;serif" w:hAnsi="Times New Roman;serif"/>
                <w:b w:val="false"/>
                <w:i/>
                <w:color w:val="000000"/>
                <w:sz w:val="16"/>
              </w:rPr>
              <w:t>in vivo</w:t>
            </w:r>
            <w:r>
              <w:rPr>
                <w:color w:val="000000"/>
              </w:rPr>
              <w:t xml:space="preserve"> </w:t>
            </w:r>
            <w:r>
              <w:rPr>
                <w:rFonts w:ascii="Times New Roman;serif" w:hAnsi="Times New Roman;serif"/>
                <w:b w:val="false"/>
                <w:color w:val="000000"/>
                <w:sz w:val="16"/>
              </w:rPr>
              <w:t xml:space="preserve">toxicology studies using good laboratory practices (GLPs) </w:t>
            </w:r>
          </w:p>
        </w:tc>
        <w:tc>
          <w:tcPr>
            <w:tcW w:w="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$1.0M</w:t>
            </w:r>
          </w:p>
        </w:tc>
        <w:tc>
          <w:tcPr>
            <w:tcW w:w="15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 clearance from the FDA</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2 clinical trial initiation</w:t>
            </w:r>
          </w:p>
        </w:tc>
        <w:tc>
          <w:tcPr>
            <w:tcW w:w="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$3.0M</w:t>
            </w:r>
          </w:p>
        </w:tc>
        <w:tc>
          <w:tcPr>
            <w:tcW w:w="15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3 clinical trial initiation - first indication</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3 clinical trial initiation - second indication</w:t>
            </w:r>
          </w:p>
        </w:tc>
        <w:tc>
          <w:tcPr>
            <w:tcW w:w="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5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Filing of the first BLA</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first indication</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Filing of the first MAA</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first indication</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Filing of the first BLA - second indication</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BLA approval - first indication</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First MAA approval - first indication</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BLA approval - second indication</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Filing of the first MAA - second indication</w:t>
            </w:r>
            <w:r>
              <w:rPr>
                <w:rFonts w:ascii="Times New Roman;serif" w:hAnsi="Times New Roman;serif"/>
                <w:b w:val="false"/>
                <w:color w:val="000000"/>
                <w:sz w:val="10"/>
              </w:rPr>
              <w:t>(3)</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First MAA approval - second indication</w:t>
            </w:r>
            <w:r>
              <w:rPr>
                <w:rFonts w:ascii="Times New Roman;serif" w:hAnsi="Times New Roman;serif"/>
                <w:b w:val="false"/>
                <w:color w:val="000000"/>
                <w:sz w:val="10"/>
              </w:rPr>
              <w:t>(3)</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First commercial sales milestone</w:t>
            </w:r>
            <w:r>
              <w:rPr>
                <w:rFonts w:ascii="Times New Roman;serif" w:hAnsi="Times New Roman;serif"/>
                <w:b w:val="false"/>
                <w:color w:val="000000"/>
                <w:sz w:val="10"/>
              </w:rPr>
              <w:t>(3)</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commercial sales milestone</w:t>
            </w:r>
            <w:r>
              <w:rPr>
                <w:rFonts w:ascii="Times New Roman;serif" w:hAnsi="Times New Roman;serif"/>
                <w:b w:val="false"/>
                <w:color w:val="000000"/>
                <w:sz w:val="10"/>
              </w:rPr>
              <w:t>(3)</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Q4'24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Third commercial sales milestone</w:t>
            </w:r>
            <w:r>
              <w:rPr>
                <w:rFonts w:ascii="Times New Roman;serif" w:hAnsi="Times New Roman;serif"/>
                <w:b w:val="false"/>
                <w:color w:val="000000"/>
                <w:sz w:val="10"/>
              </w:rPr>
              <w:t>(3)</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Fourth commercial sales milestone</w:t>
            </w:r>
            <w:r>
              <w:rPr>
                <w:color w:val="000000"/>
              </w:rPr>
              <w:t xml:space="preserve"> </w:t>
            </w:r>
            <w:r>
              <w:rPr>
                <w:rFonts w:ascii="Times New Roman;serif" w:hAnsi="Times New Roman;serif"/>
                <w:b w:val="false"/>
                <w:color w:val="000000"/>
                <w:sz w:val="10"/>
              </w:rPr>
              <w:t>(4)</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Milestones recognized through September 30, 2025</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$183.0M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Milestones that may be recognized in the future</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$90.0M</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8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erif" w:hAnsi="Times New Roman;serif"/>
          <w:b w:val="false"/>
          <w:color w:val="000000"/>
          <w:sz w:val="13"/>
        </w:rPr>
        <w:t>(3)</w:t>
      </w:r>
      <w:r>
        <w:rPr>
          <w:rFonts w:ascii="Times New Roman;serif" w:hAnsi="Times New Roman;serif"/>
          <w:b w:val="false"/>
          <w:color w:val="000000"/>
          <w:sz w:val="20"/>
        </w:rPr>
        <w:t>For Jemperli,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pStyle w:val="TextBody"/>
        <w:bidi w:val="0"/>
        <w:spacing w:lineRule="auto" w:line="288" w:before="20" w:after="283"/>
        <w:ind w:left="0" w:right="0" w:hanging="450"/>
        <w:jc w:val="left"/>
        <w:rPr/>
      </w:pPr>
      <w:r>
        <w:rPr>
          <w:rFonts w:ascii="Times New Roman;serif" w:hAnsi="Times New Roman;serif"/>
          <w:b w:val="false"/>
          <w:color w:val="000000"/>
          <w:sz w:val="13"/>
        </w:rPr>
        <w:t>(4)</w:t>
      </w:r>
      <w:r>
        <w:rPr>
          <w:rFonts w:ascii="Times New Roman;serif" w:hAnsi="Times New Roman;serif"/>
          <w:b w:val="false"/>
          <w:color w:val="000000"/>
          <w:sz w:val="20"/>
        </w:rPr>
        <w:t>For Jemperli, we retained the rights to a $75.0 million sales milestone when Jemperli annual net sales exceed $1.0 billion.</w:t>
      </w:r>
    </w:p>
    <w:p>
      <w:pPr>
        <w:pStyle w:val="TextBody"/>
        <w:bidi w:val="0"/>
        <w:spacing w:lineRule="auto" w:line="288" w:before="200" w:after="283"/>
        <w:ind w:left="0" w:right="0" w:hanging="90"/>
        <w:jc w:val="left"/>
        <w:rPr>
          <w:rFonts w:ascii="Times New Roman;serif" w:hAnsi="Times New Roman;serif"/>
          <w:b/>
          <w:i/>
          <w:color w:val="000000"/>
          <w:sz w:val="20"/>
        </w:rPr>
      </w:pPr>
      <w:r>
        <w:rPr>
          <w:rFonts w:ascii="Times New Roman;serif" w:hAnsi="Times New Roman;serif"/>
          <w:b/>
          <w:i/>
          <w:color w:val="000000"/>
          <w:sz w:val="20"/>
        </w:rPr>
        <w:t>Vanda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 606. During the nine months ended September 30, 2025, we recognized $9.6 million of license revenue under ASC 606 and recognized no license revenue under ASC 606 during the three months ended September 30, 2025. During the three and nine months ended September 30, 2025, we recognized $0.1 million and $0.2 million, respectively, of transition services revenue under ASC 606 and $0.0 million and $5.4 million, respectively, related to existing drug supply transferred to Vanda as other income under ASC 610. We expensed the $2.5 million of related transaction costs within general and administrative expenses, during the nine months ended September 30, 2025, as we elected the practical expedient to expense the transaction costs as incurred as the expected amortization period was less than a year.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eligible to receive a 10% royalty on net sales, as well as the following milestones under the Vanda License Agreement:</w:t>
      </w:r>
    </w:p>
    <w:tbl>
      <w:tblPr>
        <w:tblW w:w="10205" w:type="dxa"/>
        <w:jc w:val="left"/>
        <w:tblInd w:w="0" w:type="dxa"/>
        <w:tblLayout w:type="fixed"/>
        <w:tblCellMar>
          <w:top w:w="28" w:type="dxa"/>
          <w:left w:w="28" w:type="dxa"/>
          <w:bottom w:w="28" w:type="dxa"/>
          <w:right w:w="28" w:type="dxa"/>
        </w:tblCellMar>
      </w:tblPr>
      <w:tblGrid>
        <w:gridCol w:w="2812"/>
        <w:gridCol w:w="2442"/>
        <w:gridCol w:w="2458"/>
        <w:gridCol w:w="260"/>
        <w:gridCol w:w="260"/>
        <w:gridCol w:w="261"/>
        <w:gridCol w:w="499"/>
        <w:gridCol w:w="499"/>
        <w:gridCol w:w="714"/>
      </w:tblGrid>
      <w:tr>
        <w:trPr/>
        <w:tc>
          <w:tcPr>
            <w:tcW w:w="281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Milestone Event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 Recognized</w:t>
            </w:r>
          </w:p>
        </w:tc>
      </w:tr>
      <w:tr>
        <w:trPr/>
        <w:tc>
          <w:tcPr>
            <w:tcW w:w="7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 regulatory approval for marketing of first licensed product in the USA for the treatment of active flares in GPP</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approval for marketing of the first licensed product in the EU</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sales first exceed $100.0 million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$25.0M</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Milestones recognized through September 30, 2025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Milestones that may be recognized in the future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ind w:left="0" w:right="0" w:hanging="90"/>
        <w:jc w:val="left"/>
        <w:rPr>
          <w:rFonts w:ascii="Times New Roman;serif" w:hAnsi="Times New Roman;serif"/>
          <w:b/>
          <w:i/>
          <w:color w:val="000000"/>
          <w:sz w:val="20"/>
        </w:rPr>
      </w:pPr>
      <w:r>
        <w:rPr>
          <w:rFonts w:ascii="Times New Roman;serif" w:hAnsi="Times New Roman;serif"/>
          <w:b/>
          <w:i/>
          <w:color w:val="000000"/>
          <w:sz w:val="20"/>
        </w:rPr>
        <w:t>Centessa</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calendar year. As of September 30, 2025, achievement of the milestone is not probable and, therefore, we have not recognized a liability for the associated $10.0 million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5. Sale of Future Royalties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Jemperli Royalty Monetization Agreement</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September 30, 2025, Sagard has received a total of $142.3 million in royalties and milestones, and in addition is expected to be paid a $50.0 million sales milestone in the fourth quarter of 2025. </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retained the rights to a $75.0 million sales milestone when Jemperli annual net sales exceed $1.0 billion.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effective interest rate used to record non-cash interest expense under the Jemperli Royalty Monetization Agreement based on the estimate of future royalty payments to be received by Sagard. As of September 30, 2025, the estimated effective rate under the agreement was 30.5%.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Jemperli non-cash royalty revenue of approximately $24.9 million and $63.2 million during the three and nine months ended September 30, 2025, respectively and approximately $13.8 million and $30.1 million during the three and nine months ended September 30, 2024,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One sales milestone for $50.0 million was recognized during the three and nine months ended September 30, 2025 when Jemperli annual sales exceeded $750 million, and one sales milestone for $15.0 million was recognized during the three and nine months ended September 30, 2024 when Jemperli annual sales exceeded $250 million. These sales milestones are Jemperli non-cash revenue related to the Jemperli Royalty Monetization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non-cash interest expense of approximately $22.3 million and $59.4 million during the three and nine months ended September 30, 2025, respectively, and $15.2 million and $32.0 million during the three and nine months ended September 30, 2024. The interest and amortization of issuance costs are reflected as non-cash interest expense for the sale of future royalties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activity within the liability account for the nine months ended September 30, 2025:</w:t>
      </w:r>
    </w:p>
    <w:tbl>
      <w:tblPr>
        <w:tblW w:w="9430" w:type="dxa"/>
        <w:jc w:val="left"/>
        <w:tblInd w:w="0" w:type="dxa"/>
        <w:tblLayout w:type="fixed"/>
        <w:tblCellMar>
          <w:top w:w="28" w:type="dxa"/>
          <w:left w:w="28" w:type="dxa"/>
          <w:bottom w:w="28" w:type="dxa"/>
          <w:right w:w="28" w:type="dxa"/>
        </w:tblCellMar>
      </w:tblPr>
      <w:tblGrid>
        <w:gridCol w:w="2718"/>
        <w:gridCol w:w="2395"/>
        <w:gridCol w:w="2401"/>
        <w:gridCol w:w="109"/>
        <w:gridCol w:w="109"/>
        <w:gridCol w:w="109"/>
        <w:gridCol w:w="281"/>
        <w:gridCol w:w="1103"/>
        <w:gridCol w:w="205"/>
      </w:tblGrid>
      <w:tr>
        <w:trPr/>
        <w:tc>
          <w:tcPr>
            <w:tcW w:w="271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Jemperli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323,658 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milestone payments to Sagard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interest expense recognized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Of the non-cash interest expense recognized, $1.7 million was negative amortization for the nine months ended September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Zejula Royalty Monetization Agreement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2020, in connection with GSK Amendment No. 3, GSK agreed, under the terms of a settlement agreement (the “GSK Settlement Agreement”), to pay us a royalty of 0.5% on all GSK net sales of Zejula starting January 1, 2021.</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proceeds received from DRI of $35.0 million were recorded as a nonrecourse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Zejula non-cash royalty revenue of approximately $1.4 million and $3.4 million during the three and nine months ended September 30, 2025, respectively, and $1.2 million and $3.1 million during the three and nine months ended September 30, 2024, respectively.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non-cash interest expense of approximately $0.2 million and $0.7 million during the three and nine months ended September 30, 2025, respectively, and $0.2 million and $0.7 million during the three and nine months ended September 30, 2024,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activity within the liability account for the nine months ended September 30, 2025:</w:t>
      </w:r>
    </w:p>
    <w:tbl>
      <w:tblPr>
        <w:tblW w:w="9267" w:type="dxa"/>
        <w:jc w:val="left"/>
        <w:tblInd w:w="0" w:type="dxa"/>
        <w:tblLayout w:type="fixed"/>
        <w:tblCellMar>
          <w:top w:w="28" w:type="dxa"/>
          <w:left w:w="28" w:type="dxa"/>
          <w:bottom w:w="28" w:type="dxa"/>
          <w:right w:w="28" w:type="dxa"/>
        </w:tblCellMar>
      </w:tblPr>
      <w:tblGrid>
        <w:gridCol w:w="2659"/>
        <w:gridCol w:w="2342"/>
        <w:gridCol w:w="2349"/>
        <w:gridCol w:w="109"/>
        <w:gridCol w:w="109"/>
        <w:gridCol w:w="109"/>
        <w:gridCol w:w="309"/>
        <w:gridCol w:w="1056"/>
        <w:gridCol w:w="225"/>
      </w:tblGrid>
      <w:tr>
        <w:trPr/>
        <w:tc>
          <w:tcPr>
            <w:tcW w:w="265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Zejula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interest expense recognized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Of the non-cash interest expense recognized, none was negative amortization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Fair Value Measurements and Available for Sale Investments</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activities, therefore requiring an entity to develop its own assumptions.</w:t>
      </w:r>
    </w:p>
    <w:p>
      <w:pPr>
        <w:pStyle w:val="TextBody"/>
        <w:bidi w:val="0"/>
        <w:spacing w:lineRule="auto" w:line="288" w:before="240" w:after="283"/>
        <w:ind w:left="0" w:right="0" w:firstLine="90"/>
        <w:jc w:val="left"/>
        <w:rPr/>
      </w:pPr>
      <w:r>
        <w:rPr>
          <w:rFonts w:ascii="Times New Roman;serif" w:hAnsi="Times New Roman;serif"/>
          <w:b/>
          <w:i/>
          <w:color w:val="000000"/>
          <w:sz w:val="20"/>
        </w:rPr>
        <w:t>Assets and Liabilities Measured at Fair Value on a Recurring Basis</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assets and liabilities that require fair value measurements on a recurring basis and their respective input levels based on the fair value hierarchy:</w:t>
      </w:r>
    </w:p>
    <w:tbl>
      <w:tblPr>
        <w:tblW w:w="9314"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26"/>
        <w:gridCol w:w="887"/>
        <w:gridCol w:w="118"/>
        <w:gridCol w:w="109"/>
        <w:gridCol w:w="109"/>
        <w:gridCol w:w="109"/>
        <w:gridCol w:w="410"/>
        <w:gridCol w:w="789"/>
        <w:gridCol w:w="212"/>
        <w:gridCol w:w="109"/>
        <w:gridCol w:w="109"/>
        <w:gridCol w:w="109"/>
        <w:gridCol w:w="312"/>
        <w:gridCol w:w="600"/>
        <w:gridCol w:w="229"/>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End of Period Using:</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Quoted Market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Prices for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Identical Assets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Other Observable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Inputs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Unobservable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Inputs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At September 30,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At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Agency securities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erif" w:hAnsi="Times New Roman;serif"/>
          <w:b w:val="false"/>
          <w:color w:val="000000"/>
          <w:sz w:val="13"/>
        </w:rPr>
        <w:t>(2)    </w:t>
      </w:r>
      <w:r>
        <w:rPr>
          <w:rFonts w:ascii="Times New Roman;serif" w:hAnsi="Times New Roman;serif"/>
          <w:b w:val="false"/>
          <w:color w:val="000000"/>
          <w:sz w:val="20"/>
        </w:rPr>
        <w:t>Included in short-term or long-term investments in the accompanying consolidated balance sheets depending on the respective maturity date.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 of our financial instruments for which it is practicable to estimate that value:</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Marketable Securities.</w:t>
      </w:r>
      <w:r>
        <w:rPr>
          <w:color w:val="000000"/>
        </w:rPr>
        <w:t xml:space="preserve"> </w:t>
      </w:r>
      <w:r>
        <w:rPr>
          <w:rFonts w:ascii="Times New Roman;serif" w:hAnsi="Times New Roman;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ind w:left="0" w:right="0" w:firstLine="90"/>
        <w:jc w:val="left"/>
        <w:rPr>
          <w:rFonts w:ascii="Times New Roman;serif" w:hAnsi="Times New Roman;serif"/>
          <w:b/>
          <w:i/>
          <w:color w:val="000000"/>
          <w:sz w:val="20"/>
        </w:rPr>
      </w:pPr>
      <w:r>
        <w:rPr>
          <w:rFonts w:ascii="Times New Roman;serif" w:hAnsi="Times New Roman;serif"/>
          <w:b/>
          <w:i/>
          <w:color w:val="000000"/>
          <w:sz w:val="20"/>
        </w:rPr>
        <w:t xml:space="preserve">Fair Value of Other Financial Instruments </w:t>
      </w:r>
    </w:p>
    <w:p>
      <w:pPr>
        <w:pStyle w:val="TextBody"/>
        <w:bidi w:val="0"/>
        <w:spacing w:lineRule="auto" w:line="288" w:before="120" w:after="283"/>
        <w:ind w:left="0" w:right="0" w:firstLine="540"/>
        <w:jc w:val="left"/>
        <w:rPr>
          <w:color w:val="000000"/>
        </w:rPr>
      </w:pPr>
      <w:r>
        <w:rPr>
          <w:color w:val="000000"/>
        </w:rPr>
        <w:t> </w:t>
      </w:r>
      <w:r>
        <w:rPr>
          <w:rFonts w:ascii="Times New Roman;serif" w:hAnsi="Times New Roman;serif"/>
          <w:b w:val="false"/>
          <w:color w:val="000000"/>
          <w:sz w:val="20"/>
        </w:rPr>
        <w:t xml:space="preserve">The carrying amounts of certain of our financial instruments, including cash and cash equivalents, receivables, accounts payable, and accrued expenses approximate fair value due to their short-term nature. </w:t>
      </w:r>
    </w:p>
    <w:p>
      <w:pPr>
        <w:pStyle w:val="TextBody"/>
        <w:bidi w:val="0"/>
        <w:spacing w:lineRule="auto" w:line="288" w:before="240" w:after="283"/>
        <w:ind w:left="0" w:right="0" w:firstLine="270"/>
        <w:jc w:val="both"/>
        <w:rPr/>
      </w:pPr>
      <w:r>
        <w:rPr>
          <w:rFonts w:ascii="Times New Roman;serif" w:hAnsi="Times New Roman;serif"/>
          <w:b/>
          <w:i/>
          <w:color w:val="000000"/>
          <w:sz w:val="20"/>
        </w:rPr>
        <w:t>Available for Sale</w:t>
      </w:r>
      <w:r>
        <w:rPr>
          <w:color w:val="000000"/>
        </w:rPr>
        <w:t xml:space="preserve"> </w:t>
      </w:r>
      <w:r>
        <w:rPr>
          <w:rFonts w:ascii="Times New Roman;serif" w:hAnsi="Times New Roman;serif"/>
          <w:b/>
          <w:i/>
          <w:color w:val="000000"/>
          <w:sz w:val="20"/>
        </w:rPr>
        <w:t>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September 30, 2025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92"/>
        <w:gridCol w:w="632"/>
        <w:gridCol w:w="255"/>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Of our outstanding agency securities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 xml:space="preserve">have maturity dates of less than one year and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have maturity dates between one to two years as of September 30, 2025.</w:t>
      </w:r>
      <w:r>
        <w:rPr>
          <w:color w:val="000000"/>
          <w:shd w:fill="FFFFFF" w:val="clear"/>
        </w:rPr>
        <w:t>    </w:t>
      </w:r>
    </w:p>
    <w:p>
      <w:pPr>
        <w:pStyle w:val="TextBody"/>
        <w:bidi w:val="0"/>
        <w:spacing w:lineRule="auto" w:line="288" w:before="40" w:after="283"/>
        <w:ind w:left="0" w:right="0" w:hanging="450"/>
        <w:jc w:val="left"/>
        <w:rPr/>
      </w:pPr>
      <w:r>
        <w:rPr>
          <w:rFonts w:ascii="Times New Roman;serif" w:hAnsi="Times New Roman;serif"/>
          <w:b w:val="false"/>
          <w:color w:val="000000"/>
          <w:sz w:val="13"/>
          <w:shd w:fill="FFFFFF" w:val="clear"/>
        </w:rPr>
        <w:t>(2)    </w:t>
      </w:r>
      <w:r>
        <w:rPr>
          <w:rFonts w:ascii="Times New Roman;serif" w:hAnsi="Times New Roman;serif"/>
          <w:b w:val="false"/>
          <w:color w:val="000000"/>
          <w:sz w:val="20"/>
          <w:shd w:fill="FFFFFF" w:val="clear"/>
        </w:rPr>
        <w:t>Of our outstanding commercial and corporate</w:t>
      </w:r>
      <w:r>
        <w:rPr>
          <w:color w:val="000000"/>
          <w:shd w:fill="FFFFFF" w:val="clear"/>
        </w:rPr>
        <w:t xml:space="preserve"> </w:t>
      </w:r>
      <w:r>
        <w:rPr>
          <w:rFonts w:ascii="Times New Roman;serif" w:hAnsi="Times New Roman;serif"/>
          <w:b w:val="false"/>
          <w:color w:val="000000"/>
          <w:sz w:val="20"/>
          <w:shd w:fill="FFFFFF" w:val="clear"/>
        </w:rPr>
        <w:t xml:space="preserve">obligations, </w:t>
      </w:r>
      <w:r>
        <w:rPr>
          <w:rFonts w:ascii="Times New Roman;serif" w:hAnsi="Times New Roman;serif"/>
          <w:b w:val="false"/>
          <w:color w:val="000000"/>
          <w:sz w:val="20"/>
        </w:rPr>
        <w:t>$13.6 million</w:t>
      </w:r>
      <w:r>
        <w:rPr>
          <w:color w:val="000000"/>
          <w:shd w:fill="FFFFFF" w:val="clear"/>
        </w:rPr>
        <w:t xml:space="preserve"> </w:t>
      </w:r>
      <w:r>
        <w:rPr>
          <w:rFonts w:ascii="Times New Roman;serif" w:hAnsi="Times New Roman;serif"/>
          <w:b w:val="false"/>
          <w:color w:val="000000"/>
          <w:sz w:val="20"/>
          <w:shd w:fill="FFFFFF" w:val="clear"/>
        </w:rPr>
        <w:t xml:space="preserve">have maturity dates of less than one year and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 xml:space="preserve">have a maturity date of between one to two years as of September 30, 2025. </w:t>
      </w:r>
    </w:p>
    <w:p>
      <w:pPr>
        <w:pStyle w:val="TextBody"/>
        <w:bidi w:val="0"/>
        <w:spacing w:lineRule="auto" w:line="288" w:before="40" w:after="283"/>
        <w:ind w:left="0" w:right="0" w:hanging="450"/>
        <w:jc w:val="left"/>
        <w:rPr/>
      </w:pPr>
      <w:r>
        <w:rPr>
          <w:rFonts w:ascii="Times New Roman;serif" w:hAnsi="Times New Roman;serif"/>
          <w:b w:val="false"/>
          <w:color w:val="000000"/>
          <w:sz w:val="13"/>
          <w:shd w:fill="FFFFFF" w:val="clear"/>
        </w:rPr>
        <w:t>(3)</w:t>
      </w:r>
      <w:r>
        <w:rPr>
          <w:color w:val="000000"/>
          <w:shd w:fill="FFFFFF" w:val="clear"/>
        </w:rPr>
        <w:t>    </w:t>
      </w:r>
      <w:r>
        <w:rPr>
          <w:rFonts w:ascii="Times New Roman;serif" w:hAnsi="Times New Roman;serif"/>
          <w:b w:val="false"/>
          <w:color w:val="000000"/>
          <w:sz w:val="20"/>
          <w:shd w:fill="FFFFFF" w:val="clear"/>
        </w:rPr>
        <w:t xml:space="preserve">Of our outstanding U.S. Treasury securities, </w:t>
      </w:r>
      <w:r>
        <w:rPr>
          <w:rFonts w:ascii="Times New Roman;serif" w:hAnsi="Times New Roman;serif"/>
          <w:b w:val="false"/>
          <w:color w:val="000000"/>
          <w:sz w:val="20"/>
        </w:rPr>
        <w:t>$123.0 million</w:t>
      </w:r>
      <w:r>
        <w:rPr>
          <w:color w:val="000000"/>
          <w:shd w:fill="FFFFFF" w:val="clear"/>
        </w:rPr>
        <w:t xml:space="preserve"> </w:t>
      </w:r>
      <w:r>
        <w:rPr>
          <w:rFonts w:ascii="Times New Roman;serif" w:hAnsi="Times New Roman;serif"/>
          <w:b w:val="false"/>
          <w:color w:val="000000"/>
          <w:sz w:val="20"/>
          <w:shd w:fill="FFFFFF" w:val="clear"/>
        </w:rPr>
        <w:t xml:space="preserve">have maturity dates of less than one year and </w:t>
      </w:r>
      <w:r>
        <w:rPr>
          <w:rFonts w:ascii="Times New Roman;serif" w:hAnsi="Times New Roman;serif"/>
          <w:b w:val="false"/>
          <w:color w:val="000000"/>
          <w:sz w:val="20"/>
        </w:rPr>
        <w:t>$7.7 million</w:t>
      </w:r>
      <w:r>
        <w:rPr>
          <w:color w:val="000000"/>
          <w:shd w:fill="FFFFFF" w:val="clear"/>
        </w:rPr>
        <w:t xml:space="preserve"> </w:t>
      </w:r>
      <w:r>
        <w:rPr>
          <w:rFonts w:ascii="Times New Roman;serif" w:hAnsi="Times New Roman;serif"/>
          <w:b w:val="false"/>
          <w:color w:val="000000"/>
          <w:sz w:val="20"/>
          <w:shd w:fill="FFFFFF" w:val="clear"/>
        </w:rPr>
        <w:t>have a maturity date of between one to two years as of September 30,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cost basis, and gross unrealized gains and losses of available for sale investments by security type, classified in short-term and long-term investments as of December 31, 2024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Of our outstanding agency securities, $7.6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our outstanding commercial and corporate</w:t>
      </w:r>
      <w:r>
        <w:rPr>
          <w:color w:val="000000"/>
        </w:rPr>
        <w:t xml:space="preserve"> </w:t>
      </w:r>
      <w:r>
        <w:rPr>
          <w:rFonts w:ascii="Times New Roman;serif" w:hAnsi="Times New Roman;serif"/>
          <w:b w:val="false"/>
          <w:color w:val="000000"/>
          <w:sz w:val="20"/>
        </w:rPr>
        <w:t>obligations, $10.7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Of our outstanding U.S. Treasury securities, $249.0 million have maturity dates of less than one year and $35.5 million have a maturity date of between one to two years as of December 31, 2024.</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gross unrealized losses and fair values for those investments that were in an unrealized loss position as of September 30, 2025 and December 31, 2024, aggregated by investment category and the length of time that individual securities have been in a continuous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133" w:type="dxa"/>
        <w:jc w:val="center"/>
        <w:tblInd w:w="0" w:type="dxa"/>
        <w:tblLayout w:type="fixed"/>
        <w:tblCellMar>
          <w:top w:w="28" w:type="dxa"/>
          <w:left w:w="28" w:type="dxa"/>
          <w:bottom w:w="28" w:type="dxa"/>
          <w:right w:w="28" w:type="dxa"/>
        </w:tblCellMar>
      </w:tblPr>
      <w:tblGrid>
        <w:gridCol w:w="564"/>
        <w:gridCol w:w="497"/>
        <w:gridCol w:w="498"/>
        <w:gridCol w:w="211"/>
        <w:gridCol w:w="616"/>
        <w:gridCol w:w="109"/>
        <w:gridCol w:w="109"/>
        <w:gridCol w:w="109"/>
        <w:gridCol w:w="109"/>
        <w:gridCol w:w="492"/>
        <w:gridCol w:w="632"/>
        <w:gridCol w:w="255"/>
        <w:gridCol w:w="109"/>
        <w:gridCol w:w="109"/>
        <w:gridCol w:w="109"/>
        <w:gridCol w:w="257"/>
        <w:gridCol w:w="495"/>
        <w:gridCol w:w="133"/>
        <w:gridCol w:w="109"/>
        <w:gridCol w:w="109"/>
        <w:gridCol w:w="109"/>
        <w:gridCol w:w="400"/>
        <w:gridCol w:w="771"/>
        <w:gridCol w:w="208"/>
        <w:gridCol w:w="109"/>
        <w:gridCol w:w="109"/>
        <w:gridCol w:w="109"/>
        <w:gridCol w:w="211"/>
        <w:gridCol w:w="616"/>
        <w:gridCol w:w="109"/>
        <w:gridCol w:w="109"/>
        <w:gridCol w:w="109"/>
        <w:gridCol w:w="109"/>
        <w:gridCol w:w="471"/>
        <w:gridCol w:w="606"/>
        <w:gridCol w:w="347"/>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7"/>
        <w:gridCol w:w="564"/>
        <w:gridCol w:w="565"/>
        <w:gridCol w:w="211"/>
        <w:gridCol w:w="721"/>
        <w:gridCol w:w="109"/>
        <w:gridCol w:w="109"/>
        <w:gridCol w:w="109"/>
        <w:gridCol w:w="109"/>
        <w:gridCol w:w="383"/>
        <w:gridCol w:w="685"/>
        <w:gridCol w:w="200"/>
        <w:gridCol w:w="109"/>
        <w:gridCol w:w="109"/>
        <w:gridCol w:w="109"/>
        <w:gridCol w:w="246"/>
        <w:gridCol w:w="475"/>
        <w:gridCol w:w="127"/>
        <w:gridCol w:w="109"/>
        <w:gridCol w:w="109"/>
        <w:gridCol w:w="109"/>
        <w:gridCol w:w="367"/>
        <w:gridCol w:w="709"/>
        <w:gridCol w:w="191"/>
        <w:gridCol w:w="109"/>
        <w:gridCol w:w="109"/>
        <w:gridCol w:w="109"/>
        <w:gridCol w:w="211"/>
        <w:gridCol w:w="721"/>
        <w:gridCol w:w="109"/>
        <w:gridCol w:w="109"/>
        <w:gridCol w:w="109"/>
        <w:gridCol w:w="109"/>
        <w:gridCol w:w="373"/>
        <w:gridCol w:w="665"/>
        <w:gridCol w:w="281"/>
      </w:tblGrid>
      <w:tr>
        <w:trPr/>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unrealized losses on available-for-sale investments were less than $0.1 million for both periods, with no available-for-sale investments that were in an unrealized loss position for greater than 12 months as of September 30, 2025. We do not intend to sell the investments and it is not more likely than not that we will be required to sell the investments before recovery of their amortized cost basis, accordingly, no allowance for credit losses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Common Stock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Of the 500,000,000 shares of common stock authorized</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27,575,152</w:t>
      </w:r>
      <w:r>
        <w:rPr>
          <w:color w:val="000000"/>
          <w:shd w:fill="FFFFFF" w:val="clear"/>
        </w:rPr>
        <w:t xml:space="preserve"> </w:t>
      </w:r>
      <w:r>
        <w:rPr>
          <w:rFonts w:ascii="Times New Roman;serif" w:hAnsi="Times New Roman;serif"/>
          <w:b w:val="false"/>
          <w:color w:val="000000"/>
          <w:sz w:val="20"/>
        </w:rPr>
        <w:t>shares were issued and outstanding as of September 30, 2025.</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March 2025, our Board of Directors authorized a stock repurchase program (the “2025 Repurchase Program”) to repurchase up to $75.0 million of our outstanding common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repurchase activity through September 30, 2025: </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292,898 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2,560,938 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w:t>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490,228 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7" w:type="dxa"/>
            <w:gridSpan w:val="3"/>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3,344,064 </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65,242 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 As of September 30, 2025, $9.8 million remained available for future shares of common stock to be repurchased under the 2025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 As of September 30, 2025, we had sold no shares under this agreement.</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Underwriting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Equity Incentive Plans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2017 Equity Incentive Plan</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All future share increases will require stockholder approval. As of September 30, 2025, 2,501,977 shares were available for future issuance.</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would not increase. As of September 30, 2025, 241,606 shares have been issued under the ESPP and 1,857,201 shares were available for future issuance under the ESPP. Total cash received from the ESPP was approximately $1.0 million during the nine months ended September 30, 2025.</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nine months ended September 30, 2025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9250" w:type="dxa"/>
        <w:jc w:val="left"/>
        <w:tblInd w:w="0" w:type="dxa"/>
        <w:tblLayout w:type="fixed"/>
        <w:tblCellMar>
          <w:top w:w="28" w:type="dxa"/>
          <w:left w:w="28" w:type="dxa"/>
          <w:bottom w:w="28" w:type="dxa"/>
          <w:right w:w="28" w:type="dxa"/>
        </w:tblCellMar>
      </w:tblPr>
      <w:tblGrid>
        <w:gridCol w:w="1081"/>
        <w:gridCol w:w="949"/>
        <w:gridCol w:w="954"/>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72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Subject to</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Price per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Value (in</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6,086,289 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1,758,243 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7,534,915 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4,015,784 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cash received from the exercise of stock options was approximately $1.1 million during the nine months ended September 30, 2025.</w:t>
      </w:r>
    </w:p>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912"/>
        <w:gridCol w:w="768"/>
        <w:gridCol w:w="772"/>
        <w:gridCol w:w="769"/>
        <w:gridCol w:w="560"/>
        <w:gridCol w:w="562"/>
        <w:gridCol w:w="109"/>
        <w:gridCol w:w="109"/>
        <w:gridCol w:w="109"/>
        <w:gridCol w:w="522"/>
        <w:gridCol w:w="1527"/>
        <w:gridCol w:w="270"/>
        <w:gridCol w:w="109"/>
        <w:gridCol w:w="109"/>
        <w:gridCol w:w="109"/>
        <w:gridCol w:w="490"/>
        <w:gridCol w:w="490"/>
        <w:gridCol w:w="491"/>
        <w:gridCol w:w="109"/>
        <w:gridCol w:w="109"/>
        <w:gridCol w:w="109"/>
        <w:gridCol w:w="211"/>
        <w:gridCol w:w="721"/>
        <w:gridCol w:w="159"/>
      </w:tblGrid>
      <w:tr>
        <w:trPr/>
        <w:tc>
          <w:tcPr>
            <w:tcW w:w="9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(in</w:t>
              <w:br/>
              <w:t>thousands)</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1,227,677 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614,828 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(347,297)</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 and cancellations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(64,539)</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1,430,669 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expected to vest at September 30, 2025</w:t>
            </w:r>
          </w:p>
        </w:tc>
        <w:tc>
          <w:tcPr>
            <w:tcW w:w="13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1,430,669 </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tbl>
      <w:tblPr>
        <w:tblW w:w="4947" w:type="dxa"/>
        <w:jc w:val="center"/>
        <w:tblInd w:w="0" w:type="dxa"/>
        <w:tblLayout w:type="fixed"/>
        <w:tblCellMar>
          <w:top w:w="28" w:type="dxa"/>
          <w:left w:w="28" w:type="dxa"/>
          <w:bottom w:w="28" w:type="dxa"/>
          <w:right w:w="28" w:type="dxa"/>
        </w:tblCellMar>
      </w:tblPr>
      <w:tblGrid>
        <w:gridCol w:w="853"/>
        <w:gridCol w:w="748"/>
        <w:gridCol w:w="753"/>
        <w:gridCol w:w="402"/>
        <w:gridCol w:w="402"/>
        <w:gridCol w:w="402"/>
        <w:gridCol w:w="402"/>
        <w:gridCol w:w="402"/>
        <w:gridCol w:w="58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of common stock</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 (in years)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with respect to our PSUs:</w:t>
      </w:r>
    </w:p>
    <w:tbl>
      <w:tblPr>
        <w:tblW w:w="10205" w:type="dxa"/>
        <w:jc w:val="center"/>
        <w:tblInd w:w="0" w:type="dxa"/>
        <w:tblLayout w:type="fixed"/>
        <w:tblCellMar>
          <w:top w:w="28" w:type="dxa"/>
          <w:left w:w="28" w:type="dxa"/>
          <w:bottom w:w="28" w:type="dxa"/>
          <w:right w:w="28" w:type="dxa"/>
        </w:tblCellMar>
      </w:tblPr>
      <w:tblGrid>
        <w:gridCol w:w="763"/>
        <w:gridCol w:w="670"/>
        <w:gridCol w:w="674"/>
        <w:gridCol w:w="707"/>
        <w:gridCol w:w="648"/>
        <w:gridCol w:w="650"/>
        <w:gridCol w:w="109"/>
        <w:gridCol w:w="109"/>
        <w:gridCol w:w="109"/>
        <w:gridCol w:w="534"/>
        <w:gridCol w:w="1562"/>
        <w:gridCol w:w="277"/>
        <w:gridCol w:w="109"/>
        <w:gridCol w:w="109"/>
        <w:gridCol w:w="109"/>
        <w:gridCol w:w="896"/>
        <w:gridCol w:w="896"/>
        <w:gridCol w:w="1274"/>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3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498,000 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r>
    </w:tbl>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tbl>
      <w:tblPr>
        <w:tblW w:w="9095"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302"/>
        <w:gridCol w:w="466"/>
        <w:gridCol w:w="302"/>
        <w:gridCol w:w="302"/>
        <w:gridCol w:w="303"/>
        <w:gridCol w:w="155"/>
        <w:gridCol w:w="155"/>
        <w:gridCol w:w="156"/>
        <w:gridCol w:w="255"/>
        <w:gridCol w:w="256"/>
        <w:gridCol w:w="109"/>
        <w:gridCol w:w="109"/>
        <w:gridCol w:w="109"/>
        <w:gridCol w:w="109"/>
        <w:gridCol w:w="109"/>
        <w:gridCol w:w="109"/>
        <w:gridCol w:w="109"/>
        <w:gridCol w:w="109"/>
        <w:gridCol w:w="109"/>
        <w:gridCol w:w="109"/>
        <w:gridCol w:w="255"/>
        <w:gridCol w:w="256"/>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8"/>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15"/>
            <w:tcBorders/>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non-cash stock-based compensation expense for all stock awards that was recognized in the consolidated statements of operations and comprehensive loss is as follows:</w:t>
      </w:r>
    </w:p>
    <w:tbl>
      <w:tblPr>
        <w:tblW w:w="7616" w:type="dxa"/>
        <w:jc w:val="left"/>
        <w:tblInd w:w="0" w:type="dxa"/>
        <w:tblLayout w:type="fixed"/>
        <w:tblCellMar>
          <w:top w:w="28" w:type="dxa"/>
          <w:left w:w="28" w:type="dxa"/>
          <w:bottom w:w="28" w:type="dxa"/>
          <w:right w:w="28" w:type="dxa"/>
        </w:tblCellMar>
      </w:tblPr>
      <w:tblGrid>
        <w:gridCol w:w="833"/>
        <w:gridCol w:w="734"/>
        <w:gridCol w:w="74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there was $47.7 million of unrecognized compensation cost related to unvested stock option awards, which is expected to be recognized over a remaining weighted-average vesting period of 2.58 years, $22.4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unrecognized cost related to unvested RSU awards, which is expected to be recognized over a period of 2.51 years, $8.6 million of unrecognized cost related to unvested PSU awards, which is expected to be recognized over a period of 2.78 years, and $0.1 million of unrecognized compensation cost related to the ESPP, which is expected to be recognized over a remaining weighted-average vesting period of 0.13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315"/>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on April 30, 2028 with the payment of a termination fee of $3.8 million plus 15-months of operating expenses and real property taxes.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September 30, 2025,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5.9 years.</w:t>
      </w:r>
    </w:p>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760"/>
        <w:gridCol w:w="1496"/>
        <w:gridCol w:w="1520"/>
        <w:gridCol w:w="109"/>
        <w:gridCol w:w="109"/>
        <w:gridCol w:w="109"/>
        <w:gridCol w:w="697"/>
        <w:gridCol w:w="697"/>
        <w:gridCol w:w="699"/>
        <w:gridCol w:w="109"/>
        <w:gridCol w:w="109"/>
        <w:gridCol w:w="109"/>
        <w:gridCol w:w="211"/>
        <w:gridCol w:w="616"/>
        <w:gridCol w:w="109"/>
        <w:gridCol w:w="109"/>
        <w:gridCol w:w="109"/>
        <w:gridCol w:w="109"/>
        <w:gridCol w:w="211"/>
        <w:gridCol w:w="616"/>
        <w:gridCol w:w="109"/>
        <w:gridCol w:w="109"/>
        <w:gridCol w:w="109"/>
        <w:gridCol w:w="109"/>
        <w:gridCol w:w="156"/>
      </w:tblGrid>
      <w:tr>
        <w:trPr/>
        <w:tc>
          <w:tcPr>
            <w:tcW w:w="17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September 30, 2025, the future minimum annual obligations for our operating lease liabilities are as follows (in thousands):</w:t>
      </w:r>
    </w:p>
    <w:tbl>
      <w:tblPr>
        <w:tblW w:w="4010" w:type="dxa"/>
        <w:jc w:val="left"/>
        <w:tblInd w:w="0" w:type="dxa"/>
        <w:tblLayout w:type="fixed"/>
        <w:tblCellMar>
          <w:top w:w="28" w:type="dxa"/>
          <w:left w:w="28" w:type="dxa"/>
          <w:bottom w:w="28" w:type="dxa"/>
          <w:right w:w="28" w:type="dxa"/>
        </w:tblCellMar>
      </w:tblPr>
      <w:tblGrid>
        <w:gridCol w:w="1057"/>
        <w:gridCol w:w="932"/>
        <w:gridCol w:w="935"/>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 required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one reportable segment focused on research and development activities to deliver immunology therapeutics for autoimmune and inflammatory diseases. Segment profit or loss is measured as the net income (loss) reported on our Consolidated Statements of Operations and Comprehensive Income (Loss) and net income (loss) is used to monitor results. Our segment revenue consists of milestone payments, royalty payments, upfront license fees and transition services provided under our collaboration agreements, see Note 4. The measure of segment assets is reported on our Consolidated Balance Sheets as total assets.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CODM is our Chief Executive Officer. The CODM manages the business activities on a consolidated basis in making decisions regarding resource allocation and performance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revenue, income (loss) and our significant expenses (in thousands):</w:t>
      </w:r>
    </w:p>
    <w:tbl>
      <w:tblPr>
        <w:tblW w:w="8805" w:type="dxa"/>
        <w:jc w:val="left"/>
        <w:tblInd w:w="0" w:type="dxa"/>
        <w:tblLayout w:type="fixed"/>
        <w:tblCellMar>
          <w:top w:w="28" w:type="dxa"/>
          <w:left w:w="28" w:type="dxa"/>
          <w:bottom w:w="28" w:type="dxa"/>
          <w:right w:w="28" w:type="dxa"/>
        </w:tblCellMar>
      </w:tblPr>
      <w:tblGrid>
        <w:gridCol w:w="1180"/>
        <w:gridCol w:w="1035"/>
        <w:gridCol w:w="1040"/>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211"/>
        <w:gridCol w:w="90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Rosnilimab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ANB101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Imsidolimab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External R&amp;D</w:t>
            </w:r>
            <w:r>
              <w:rPr>
                <w:rFonts w:ascii="Times New Roman;serif" w:hAnsi="Times New Roman;serif"/>
                <w:b w:val="false"/>
                <w:color w:val="000000"/>
                <w:sz w:val="13"/>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Internal R&amp;D</w:t>
            </w:r>
            <w:r>
              <w:rPr>
                <w:rFonts w:ascii="Times New Roman;serif" w:hAnsi="Times New Roman;serif"/>
                <w:b w:val="false"/>
                <w:color w:val="000000"/>
                <w:sz w:val="13"/>
              </w:rPr>
              <w:t>(2)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External G&amp;A</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G&amp;A</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288" w:before="40" w:after="283"/>
        <w:ind w:left="0" w:right="0" w:hanging="5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Internal R&amp;D and G&amp;A consist of salaries and wages, stock-based compensation, recruiting and other employee benefits.</w:t>
      </w:r>
    </w:p>
    <w:p>
      <w:pPr>
        <w:pStyle w:val="TextBody"/>
        <w:bidi w:val="0"/>
        <w:spacing w:lineRule="auto" w:line="288" w:before="40" w:after="283"/>
        <w:ind w:left="0" w:right="0" w:hanging="54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plans and ability to develop and commercialize antibodies;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erif" w:hAnsi="Times New Roman;serif"/>
          <w:b w:val="false"/>
          <w:color w:val="231F20"/>
          <w:sz w:val="20"/>
        </w:rPr>
        <w:t>U.S. Food and Drug Administration (“FDA”)</w:t>
      </w:r>
      <w:r>
        <w:rPr>
          <w:color w:val="000000"/>
        </w:rPr>
        <w:t xml:space="preserve"> </w:t>
      </w:r>
      <w:r>
        <w:rPr>
          <w:rFonts w:ascii="Times New Roman;serif" w:hAnsi="Times New Roman;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developments in the United States (“U.S.”) and foreign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political, economic or public health events on our business and the U.S. and global economies;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macroeconomic factors, including volatility in equity markets, and fluctuations in interest rates, foreign exchange rates and political and regulatory developments or changes in trade policy, including tariffs;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proposed separation of the Company’s operations into two independent, publicly traded companies, including the completion and timing of the separation, the business and operations of each company and any benefits or costs of the separation;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expectations regarding the structure, infrastructure, timing and taxation of the proposed separation of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use of the net proceeds from our public offerings and other financing transactions;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consolidated financial statements and related notes for the nine months ended September 30, 2025, included in Part I, Item 1 of this Quarterly Report and with our audited consolidated financial statements and related notes thereto for the year ended December 31, 2024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delivering innovative immunology therapeutics for autoimmune and inflammatory diseases. Our pipeline includes our lead program, rosnilimab, a selective and potent pathogenic T cell depleter, that completed a Phase 2b trial for the treatment of moderate-to-severe rheumatoid arthritis (“RA”) and is in a Phase 2 trial for the treatment of moderate-to-severe ulcerative colitis (“UC”). Our pipeline also includes ANB033, a CD122 antagonist, in a Phase 1b trial for celiac disease (“CeD”) and ANB101, a BDCA2 modulator, in a Phase 1a trial. Anaptys has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Intention to Separate Company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September 2025, we announced that our Board of Directors approved plans to explore separating our business into two independent, publicly traded companies. One company is expected to hold and continue to manage the Jemperli milestones and royalties from GSK and the milestones and royalties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separation, which is expected to be completed by year-end 2026, we intend to launch the biotechnology company with adequate capital to fund operations for at least two years. While the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Wholly Owned Product Candidate Pipeline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Rosnilimab</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and potently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Rosnilimab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demonstrated a favorable pharmacokinetic (“PK”) profile with an estimated two-week half-life for subcutaneous and IV routes of administration.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three-month placebo-controlled period, the trial achieved its primary endpoint of the mean change from baseline in baseline disease activity score -- 28 joints (DAS-28) C-Reactive Protein (“CRP”) score as well as ACR20 response (an accepted Phase 3 registrational endpoint) at Week 12 for all three doses of rosnilimab compared to placebo. Rosnilimab achieved statistical significance in at least one dose and numerical superiority at all doses, including once monthly administration, on key secondary endpoints of ACR20, ACR50 and clinical disease activity index (“CDAI”) low disease activity (“LDA”) score at Week 12.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completion of the Week 14 visit, 69% (or 220 of the 318) rosnilimab-treated patients who achieved CDAI LDA at this timepoint continued their assigned treatment through six months in a blinded, all-active treatment period. At six months, rosnilimab demonstrated clinically meaningful efficacy with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responses across multiple clinically meaningful measures, including CDAI LDA, mean CDAI, mean DAS28-CRP and ACR50/70, were durable off drug through at least three months after the last rosnilimab dose and we believe suggests potential for extended dosing (e.g., Q8W/Q12W) after initial monthly dosing. Due to the trial design, max response rates for rosnilimab have not yet been observed as strict criteria at Week 14 prevented additional patients with meaningful improvement from continuing treatment in the trial.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Clinical outcomes were further substantiated by compelling and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robust,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Consistent with prior studies, a favorable safety and tolerability profile across all rosnilimab doses through end-of-trial follow up at Week 38 was observed with no treatment-related serious adverse events (“SAEs”), malignancies, anaphylaxis or systemic hypersensitivity, and a low incidence of injection site reactions. Most adverse events (“AEs”) were mild to moderate in severity. Less than 2% of patients in the entire trial discontinued rosnilimab due to an AE, including only one patient after three months for a moderate headache treated with over-the-counter pain medication. Non-treatment related SAEs observed were consistent with known RA patient history and comorbidities.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The primary statistical analysis is at Week 12 on well-established endpoints, including the primary endpoint of change from baseline in modified Mayo score (mMS) and supportive secondary endpoints of clinical response on mMS and clinical remission on mMS. All patients in all three study arms treat-through to Week 24 and remain blinded to the treatment arm. Placebo-treated patients who achieved clinical response on partial modified Mayo score (“pmMS”) at Week 12 remain on placebo, while placebo-treated patients who are non-responders are crossed over to the high-dose rosnilimab treatment arm. Patients who are in clinical response on pmMS at Week 24 are eligible for an additional 26-week blinded treatment extension period (“TEP”) (50 weeks of total treatment).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reporting top-line Phase 2 data through Week 12 in the UC trial in November or December 2025.</w:t>
      </w:r>
    </w:p>
    <w:p>
      <w:pPr>
        <w:pStyle w:val="TextBody"/>
        <w:bidi w:val="0"/>
        <w:spacing w:lineRule="auto" w:line="288" w:before="12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ANB033</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intermediate affinity IL-2 receptor (comprised of CD122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the common gamma subunit, CD132) and the high affinity IL-2 receptor (comprised of CD122, CD132 and the alpha receptor subunit for IL-2, CD25) expressed by activated CD4 effector T cells. This leads to the potential to achieve and maintain remission of inflammation through the reduction of disease-causing NK cells, certain CD8 T cell subsets and reducing inflammatory cytokine secretion by activated CD4+ T cells and ILC2 cells. By preventing the consumption of IL-2 by pathogenic cells, circulating levels of IL-2 may increase, potentially enhancing regulatory T cell numbers that express the high affinity IL-2 receptor in the setting of inflammation.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announced positive top-line data from a healthy volunteer Phase 1a trial of ANB033 in October 2025.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SAEs discontinuations, or dose limiting toxicities were observed. ANB033 demonstrated a favorable PK profile with an estimated two-to-three week half-life and full receptor occupancy for SC and IV routes of administration. A dose response was observed on relevant PD biomarkers.  We saw a potent effect with both IV and SC modes of administration, with a 70-75% reduction in CD122-expressing CD8 T cells, which did not result in a meaningful reduction in overall CD8 T cells.   Additionally, the ANB033-treatment effectively eliminated all CD122-expressing NK cells, but as not all NK cells in humans express CD122, the overall NK cell count remained above the levels needed to maintain immune competency. No overall reductions were observed on regulatory T cell counts in the peripheral blood.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to assess the ability to heal mucosal damage in symptom-controlled patients.  The two distinct cohorts will enroll 30 patients each, randomized 1:1 between one dose level of subcutaneously administered ANB033 dose and placebo. Key assessments include safety and tolerability in celiac patients, as well as PK and immunogenicity.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reporting top-line Phase 1b data from the CeD trial by the fourth quarter of 2026.</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plan to initiate an additional Phase 1b trial in a second inflammatory disease in 2026.</w:t>
      </w:r>
    </w:p>
    <w:p>
      <w:pPr>
        <w:pStyle w:val="TextBody"/>
        <w:bidi w:val="0"/>
        <w:spacing w:lineRule="auto" w:line="288" w:before="12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ANB101</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initiated a Phase 1 clinical trial of ANB101 in healthy volunteers in March 2025 and the trial is ongoing.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information about our wholly owned product candidates:</w:t>
      </w:r>
    </w:p>
    <w:p>
      <w:pPr>
        <w:pStyle w:val="TextBody"/>
        <w:bidi w:val="0"/>
        <w:spacing w:before="120" w:after="60"/>
        <w:ind w:left="0" w:right="0" w:firstLine="540"/>
        <w:jc w:val="center"/>
        <w:rPr/>
      </w:pPr>
      <w:r>
        <w:rPr/>
        <w:drawing>
          <wp:inline distT="0" distB="0" distL="0" distR="0">
            <wp:extent cx="6172200" cy="3733800"/>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172200" cy="373380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Collaborative Programs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GSK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in the EU,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 In October 2025, GSK terminated the TIM-3 antagonist antibody development program under our existing collaboration, and all rights to the TIM-3 antagonist antibody will be reverted to us in the near future.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Vanda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Vanda License Agreement, we received an upfront payment of $10.0 million and a $5.0 million payment for existing drug supply. We are also eligible to receive a 10% royalty on net sales, as well as the following milestones under the Vanda License Agreement:</w:t>
      </w:r>
    </w:p>
    <w:tbl>
      <w:tblPr>
        <w:tblW w:w="10205" w:type="dxa"/>
        <w:jc w:val="left"/>
        <w:tblInd w:w="0" w:type="dxa"/>
        <w:tblLayout w:type="fixed"/>
        <w:tblCellMar>
          <w:top w:w="28" w:type="dxa"/>
          <w:left w:w="28" w:type="dxa"/>
          <w:bottom w:w="28" w:type="dxa"/>
          <w:right w:w="28" w:type="dxa"/>
        </w:tblCellMar>
      </w:tblPr>
      <w:tblGrid>
        <w:gridCol w:w="2812"/>
        <w:gridCol w:w="2442"/>
        <w:gridCol w:w="2458"/>
        <w:gridCol w:w="260"/>
        <w:gridCol w:w="260"/>
        <w:gridCol w:w="261"/>
        <w:gridCol w:w="499"/>
        <w:gridCol w:w="499"/>
        <w:gridCol w:w="714"/>
      </w:tblGrid>
      <w:tr>
        <w:trPr/>
        <w:tc>
          <w:tcPr>
            <w:tcW w:w="281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Milestone Event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 Recognized</w:t>
            </w:r>
          </w:p>
        </w:tc>
      </w:tr>
      <w:tr>
        <w:trPr/>
        <w:tc>
          <w:tcPr>
            <w:tcW w:w="7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 regulatory approval for marketing of first licensed product in the USA for the treatment of active flares in GPP</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approval for marketing of the first licensed product in the EU</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sales first exceed $100.0 million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$25.0M</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Milestones recognized through September 30, 2025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Milestones that may be recognized in the future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these collaborations, see Note 4 — Collaborative Research and Development Agreements in the accompanying notes to the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Components of Operating Results </w:t>
      </w:r>
    </w:p>
    <w:p>
      <w:pPr>
        <w:pStyle w:val="TextBody"/>
        <w:bidi w:val="0"/>
        <w:spacing w:lineRule="auto" w:line="288" w:before="240" w:after="283"/>
        <w:ind w:left="0" w:right="0" w:firstLine="270"/>
        <w:jc w:val="left"/>
        <w:rPr/>
      </w:pPr>
      <w:r>
        <w:rPr>
          <w:rFonts w:ascii="Times New Roman;serif" w:hAnsi="Times New Roman;serif"/>
          <w:b/>
          <w:i/>
          <w:color w:val="000000"/>
          <w:sz w:val="20"/>
        </w:rPr>
        <w:t>Collaboration Revenue</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has been derived from amortization of upfront license payments, research and development funding, milestone and royalty payments under collaboration and license agreements with our collaborators. From inception through September 30, 2025, we have recognized $472.9 million in revenue from our collaborators. We have not generated any revenue from product sales.</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costs associated with our research and development activities, including drug discovery efforts, preclinical and clinical development of our programs, and manufacturing. Our research and development expenses include: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Employee-related expenses, including salaries, benefits, travel, and stock-based compensation;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License and sub-license fees.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incur in-process research and development expense as we acquire assets from other parties. Acquired in-process research and development costs that have no alternative future use are immediately expensed.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toxicology and pharmacology studies, drug product manufacturing, and clinical trials.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be higher for the foreseeable future as we continue to advance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Non-Cash Interest Expense for the Sale of Future Royalties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Jemperli Royalty Monetization Agreement and the Zejula Royalty Monetization Agreement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our short-term and long-term investments and is recognized when earned.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27,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 Comparison of the Three and Nine Months Ended September 30, 2025 and 2024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Collaboration revenue consists of milestone payments, royalty payments, upfront license fees and transition services provided under our collaboration agreements. We recognized a $50.0 million milestone during the three and nine months ended September 30, 2025 when Jemperli annual sales exceeded $750 million. Our first sales milestone for $15.0 million was recognized during the three and nine months ended September 30, 2024 when Jemperli annual sales exceeded $250 million. These milestone revenues are Jemperli non-cash revenue related to the Jemperli Royalty Monetization Agreement. We expect that any collaboration revenue we generate will continue to fluctuate from period to period as a result of the timing and amount of milestones from our existing collaborations.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Royalty revenue is a function of our partners’ product sales and the applicable royalty rate. During the three months ended September 30, 2025 and 2024, we recognized $26.3 million and $15.0 million, respectively, of royalty revenue related to the net sales of GSK’s Jemperli and Zejula. During the nine months ended September 30, 2025 and 2024, we recognized $66.6 million and $33.2 million, respectively, of royalty revenue related to the net sales of GSK’s Jemperli and Zejula. All royalty revenue recognized for the three and nine months ended September 30, 2025 and 2024 is non-cash revenue pursuant to the Royalty Monetization Agreements. For more information see Note 5 — Sale of Future Royalties in the accompanying notes to the consolidated financial statements.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recognized $9.6 million of license revenue under ASC 606 and recognized no license revenue under ASC 606 during the three months ended September 30, 2025. During the three and nine months ended September 30, 2025, we recognized $0.1 million and $0.2 million, respectively, related to transition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provided under our Vanda License Agreement. No revenue was recognized under this agreement during the three and nine months ended September 30, 2024.</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$31.4 million during the three months ended September 30, 2025 compared to $42.2 million during the three months ended September 30, 2024 for a decrease of $10.8 million, primarily due to a $8.3 million decrease in clinical expenses, $3.1 million decrease in outside services for manufacturing expenses, offset by a $0.5 million increase in stock-based compensation expense, and $0.1 million increase in salaries and related expenses.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$110.4 million during the nine months ended September 30, 2025, compared to $121.3 million during the nine months ended September 30, 2024, for a decrease of $10.9 million. Expense category fluctuations were primarily due to a $7.2 million decrease in outside services for manufacturing expenses and a $8.6 million decrease in clinical expenses, offset by an increase of $1.8 million increase in salaries and related expenses, $2.4 million increase in stock-based compensation expense, and $0.7 million increase in other research and development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tbl>
      <w:tblPr>
        <w:tblW w:w="10205" w:type="dxa"/>
        <w:jc w:val="left"/>
        <w:tblInd w:w="0" w:type="dxa"/>
        <w:tblLayout w:type="fixed"/>
        <w:tblCellMar>
          <w:top w:w="28" w:type="dxa"/>
          <w:left w:w="28" w:type="dxa"/>
          <w:bottom w:w="28" w:type="dxa"/>
          <w:right w:w="28" w:type="dxa"/>
        </w:tblCellMar>
      </w:tblPr>
      <w:tblGrid>
        <w:gridCol w:w="680"/>
        <w:gridCol w:w="588"/>
        <w:gridCol w:w="497"/>
        <w:gridCol w:w="211"/>
        <w:gridCol w:w="721"/>
        <w:gridCol w:w="109"/>
        <w:gridCol w:w="109"/>
        <w:gridCol w:w="109"/>
        <w:gridCol w:w="109"/>
        <w:gridCol w:w="211"/>
        <w:gridCol w:w="721"/>
        <w:gridCol w:w="109"/>
        <w:gridCol w:w="109"/>
        <w:gridCol w:w="109"/>
        <w:gridCol w:w="109"/>
        <w:gridCol w:w="233"/>
        <w:gridCol w:w="838"/>
        <w:gridCol w:w="120"/>
        <w:gridCol w:w="109"/>
        <w:gridCol w:w="109"/>
        <w:gridCol w:w="109"/>
        <w:gridCol w:w="211"/>
        <w:gridCol w:w="826"/>
        <w:gridCol w:w="109"/>
        <w:gridCol w:w="109"/>
        <w:gridCol w:w="109"/>
        <w:gridCol w:w="109"/>
        <w:gridCol w:w="211"/>
        <w:gridCol w:w="826"/>
        <w:gridCol w:w="109"/>
        <w:gridCol w:w="109"/>
        <w:gridCol w:w="109"/>
        <w:gridCol w:w="109"/>
        <w:gridCol w:w="232"/>
        <w:gridCol w:w="834"/>
        <w:gridCol w:w="174"/>
      </w:tblGrid>
      <w:tr>
        <w:trPr/>
        <w:tc>
          <w:tcPr>
            <w:tcW w:w="6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Rosnilimab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ANB101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Imsidolimab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$10.2 million during the three months ended September 30, 2025 compared to $10.6 million during the three months ended September 30, 2024 for a decrease of $0.4 million, primarily due to a $0.5 million decrease in market research, and $0.5 million decrease in personnel costs, offset by $0.5 million increase in stock-based compensation, and a $0.1 million increase in other general and administrative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$34.9 million during the nine months ended September 30, 2025 compared to $32.2 million during the nine months ended September 30, 2024 for an increase of $2.7 million, primarily due to a $2.5 million increase in transaction costs related to our Vanda License Agreement, a $0.4 million increase in personnel costs, and a $0.6 million increase in other general and administrative expenses, offset by a decrease of $0.7 million in stock-based compensation expense, and a decrease of $0.1 million in market research.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Non-Cash Interest Expense for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Non-cash interest expense was $22.5 million and $15.4 million during the three months ended September 30, 2025 and 2024, respectively. The increase of $7.1 million in non-cash interest expense is primarily due to the Jemperli Amendment which increased the threshold amounts of aggregate Jemperli royalties and milestones to be received by Sagard.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Non-cash interest expense was $60.2 million and $32.7 million during the nine months ended September 30, 2025 and 2024, respectively. The increase of $27.5 million in non-cash interest expense is primarily due to the Jemperli Amendment which increased the threshold amounts of aggregate Jemperli royalties and milestones to be received by Sagard.</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was $2.9 million and $5.3 million during the three months ended September 30, 2025 and 2024, respectively, which primarily related to our short-term and long-term investments. The decrease in interest income is primarily due to the decrease in investment balances as well as timing of sales, maturities and purchases of our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was $11.0 million and $14.5 million during the nine months ended September 30, 2025 and 2024, respectively, which primarily related to our short-term and long-term investments. The decrease in interest income is primarily due to the decrease in investment balances as well as timing of sales, maturities and purchases of our investments.</w:t>
      </w:r>
    </w:p>
    <w:p>
      <w:pPr>
        <w:pStyle w:val="TextBody"/>
        <w:bidi w:val="0"/>
        <w:spacing w:lineRule="auto" w:line="288" w:before="240" w:after="283"/>
        <w:ind w:left="0" w:right="0" w:firstLine="270"/>
        <w:jc w:val="left"/>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$0.0 million and less than $0.1 million of expense for the three months ended September 30, 2025 and 2024,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$5.4 million of income and less than $0.1 million of expense for the nine months ended September 30, 2025 and 2024, respectively. The increase was primarily related to $5.4 million of other income recognized from existing drug supply transferred to Vanda in accordance with our Vanda License Agreement.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our inception through September 30, 2025, we have received an aggregate of $1.3 billion to fund our operations, which included $740.2 million from the sale of equity securities, $335.0 million from the sale of future royalties, and $249.2 million from our collaboration agreements. As of September 30, 2025, we had $256.7 million in cash, cash equivalents and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our existing cash, cash equivalents and investments, we are eligible to earn milestone and other contingent payments for the achievement of defined collaboration objectives and certain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 dependent upon the outcome of our collaborators’ research and development and sales-based activities. Our rights to payments under our collaboration agreements are our only committed external source of funds.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an open market sales agreement with TD Securities (USA) LLC (“TD Cowen”), through which we may offer and sell shares of our common stock, having an aggregate offering of up to $100.0 million through TD Cowen as our sales agent. As of September 30, 2025, we had sold no shares under this agreement.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Funding Requirements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 totaled $256.7 million as of September 30, 2025, compared to $420.8 million as of December 31, 2024.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nine months ended September 30, 2025 and 2024: </w:t>
      </w:r>
    </w:p>
    <w:tbl>
      <w:tblPr>
        <w:tblW w:w="7280" w:type="dxa"/>
        <w:jc w:val="left"/>
        <w:tblInd w:w="0" w:type="dxa"/>
        <w:tblLayout w:type="fixed"/>
        <w:tblCellMar>
          <w:top w:w="28" w:type="dxa"/>
          <w:left w:w="28" w:type="dxa"/>
          <w:bottom w:w="28" w:type="dxa"/>
          <w:right w:w="28" w:type="dxa"/>
        </w:tblCellMar>
      </w:tblPr>
      <w:tblGrid>
        <w:gridCol w:w="1562"/>
        <w:gridCol w:w="1377"/>
        <w:gridCol w:w="1380"/>
        <w:gridCol w:w="211"/>
        <w:gridCol w:w="796"/>
        <w:gridCol w:w="109"/>
        <w:gridCol w:w="109"/>
        <w:gridCol w:w="109"/>
        <w:gridCol w:w="109"/>
        <w:gridCol w:w="211"/>
        <w:gridCol w:w="826"/>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nine months ended September 30, 2025 of $78.3 million was primarily due to our net loss of $62.8 million, adjusted for addbacks for non-cash expenses of $85.1 million, which includes depreciation, stock-based compensation, amortization of operating ROU assets, non-cash interest expense, income from marketable securities and net decreases in working capital of $100.6 million, which includes decreases related to receivables from collaborative partners, accounts payable and other liabilities, and operating lease liabilities, partially offset by an increase related to prepaid expenses and other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nine months ended September 30, 2024 of $68.7 million was primarily due to our net loss of $123.4 million, adjusted for addbacks for non-cash expenses of $52.3 million, which includes depreciation, stock-based compensation, amortization of operating ROU assets, non-cash interest expense, income from marketable securities, and net increases in working capital of $2.4 million.</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nine months ended September 30, 2025 and 2024 of $154.5 million and $124.8 million, respectively, primarily relates to the timing of sales, maturities and purchases of our investments.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the nine months ended September 30, 2025 of $89.5 million was primarily due to $24.8 million for repayments of the liability for the sale of future royalties, $65.2 million used for the repurchase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stock, and $1.5 million for net share settlement of equity awards, partially offset by $2.0 million of cash received for the issuance of common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net cash provided by financing activities during the nine months ended September 30, 2024 of $99.5 million was primarily related to $94.4 million of proceeds received from public offerings, net of underwriters’ fees, $50.0 million received for the sale of future royalties, $5.9 million of cash received for the issuance of common stock, offset by $42.8 million for repayments of the liability for the sale of future royalties, $7.5 million for net share settlement of equity awards, and $0.5 million payments for offering and debt issuance costs.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further information related to our operating lease and future minimum annual obligations, see Note 9 — Commitments and Contingencies in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2025,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Rules 13a-15(d) and 15d-15(d) of the Exchange Act that occurred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We are not currently a party to any litigation or legal proceedings that, in the opinion of our management, are probable to have a material adverse effect on our business.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carefully consider the risks described below, as well as the other information in this Quarterly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limited operating revenue and a history of operational losses and may not achieve or sustain profitability.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proposed separation of our business into two independent, publicly traded companies is subject to various risks and uncertainties and may not be completed on the terms or timeline currently contemplated, if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we are unable to obtain or protect intellectual property rights in the U.S. and throughout the world,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market price of our stock has been and may continue to be volatile, and you could lose all or part of your investment.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Discovery and Development of Our Product Candidates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ongoing Phase 2 clinical trial in ulcerative colitis may not be positive.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establishing commercial manufacturing capabilities and/or making arrangements with third party manufacturers;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acceptance of our product candidates, if and when approved, by patients, the medical community and third party payors;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their product candidates performed satisfactorily in preclinical studies and clinical trials have nonetheless failed to obtain marketing approval for their products.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non-clinical or clinical sites becoming unavailable due to political, economic, or public health events;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clinical outcomes or financial constraints.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be subject to additional post-marketing testing requirements;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refusal to approve pending BLAs or supplements to approved BLAs.</w:t>
      </w:r>
    </w:p>
    <w:p>
      <w:pPr>
        <w:pStyle w:val="TextBody"/>
        <w:bidi w:val="0"/>
        <w:spacing w:lineRule="auto" w:line="28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authorities will heavily scrutinize advertising and promotion of any product candidate that obtains approval outside of the United States.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consultants or collaborators. Relying on third party clinical investigators, third party manufacturing, CROs or collaborators may result in delays that are outside of our control.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3" w:before="120" w:after="283"/>
        <w:ind w:left="0" w:right="0" w:hanging="450"/>
        <w:jc w:val="left"/>
        <w:rPr/>
      </w:pPr>
      <w:r>
        <w:rPr>
          <w:color w:val="000000"/>
        </w:rPr>
        <w:t>•</w:t>
      </w:r>
      <w:r>
        <w:rPr>
          <w:rFonts w:ascii="Times New Roman;serif" w:hAnsi="Times New Roman;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3" w:before="120" w:after="283"/>
        <w:ind w:left="0" w:right="0" w:hanging="450"/>
        <w:jc w:val="left"/>
        <w:rPr/>
      </w:pPr>
      <w:r>
        <w:rPr>
          <w:color w:val="000000"/>
        </w:rPr>
        <w:t>•</w:t>
      </w:r>
      <w:r>
        <w:rPr>
          <w:rFonts w:ascii="Times New Roman;serif" w:hAnsi="Times New Roman;serif"/>
          <w:b w:val="false"/>
          <w:color w:val="000000"/>
          <w:sz w:val="20"/>
        </w:rPr>
        <w:t>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poor effectiveness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failure of our third 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varying interpretations of data by the FDA and foreign regulatory authorities.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rosnilimab, our competitors include non-depleting PD-1 agonist antibodies GS-0151 (Gilead) in Phase 1b development for the treatment of rheumatoid arthritis, and a PD-1 agonist antibody (Seismic)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&amp;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 and a miR-124 enhancer (Abivax) in Phase 3 development.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our anti-CD122 antagonist antibody program, our clinical competitors include an anti-CD122 antagonist antibody, FB-102 (Forte Bioscience) in Phase 2a development for the treatment of CeD and vitiligo, and two anti-IL-15 monoclonal antibodies, GIA-632 (Novartis) in Phase 2a for atopic dermatitis and with proof-of-concept, Phase 1b data for the treatment of CeD and EoE, and TEV-‘408 (Teva), in Phase 2 development for the treatment of CeD and vitiligo.</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acceptance of the product candidate as a safe and effective treatment by physicians, clinics and patients;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potential and perceived advantages of product candidates over alternative treatments, including any similar generic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20"/>
        </w:rPr>
        <w:t>unfavorable publicity relating to the product candidate.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of our therapeutic antibodies are manufactured by starting with cells which are stored in a cell bank. We have one master cell bank for each antibody manufactured in accordance with cGMP and create working cell banks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Some of our suppliers may experience disruption to their respective supply chain due to the effects of macroeconomic conditions, which could delay, prevent or impair our development or commercialization efforts.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including the ongoing shutdown of the U.S. federal government,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The macroeconomic and geopolitical environment may have a material impact on the U.S. and global economies and could materially impact our business, financial condition and results of operations.</w:t>
      </w:r>
      <w:r>
        <w:rPr>
          <w:color w:val="212529"/>
        </w:rPr>
        <w:t xml:space="preserve">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For example, on April 2, 2025, the United States announced a baseline 10% tariff on all foreign goods, with goods imported from specified jurisdictions nations, including China and those in the European Union, taxed at higher rates for a brief period before many country-specific reciprocal tariffs were again temporarily suspended on April 10, 2025. The United States has imposed many country-specific tariffs at a rate higher than the 10% global baseline on all foreign countries and continues to increase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Changes in government trade policies, including changes to tariffs and other non-tariff barriers, may have a material impact on our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in every year except fiscal year 2014. For the nine months ended September 30, 2025, we had $126.4 million in collaboration revenue and a net loss of $62.8 million. For the nine months ended September 30, 2024, we had $48.2 million in collaboration revenue and a net loss of $123.4 million. As of September 30, 2025, we had an accumulated deficit of $822.2 million.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through our initial public offering of common stock in January 2017, our follow-on public offerings of common stock in October 2017, September 2018, and August 2024, and royalty monetization transactions such as the Royalty Monetization Agreements. We have devoted substantially all of our efforts to research and development. Rosnilimab is currently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research and preclinical development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approvals for the product candidates that we develop or are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coverage and adequate product reimbursement from third party payors, including government payors;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achieve market acceptance for our or our collaborators’ products, if any.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increase our development costs more than we expect. We may need to raise additional funds or otherwise obtain funding through collaboration agreements to continue development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staff to conserve resources.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commercial success or failure of products sold by our collaborators, such as Jemperli by GSK, and the timing thereof;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recruiting and retaining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 Factors Related to Our Proposed Separation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proposed separation of our business into two independent, publicly traded companies is subject to various risks and uncertainties and may not be completed on the terms or timeline currently contemplated, if at all, and will involve significant time, effort and expense, which could harm our business, results of operations and financial condition.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2025, we announced the intent to separate our business into two independent, publicly traded companies, referred to as “Royalty Management Co” and as “Biopharma Co.” Following the separation, the Royalty Management Co is expected to hold and continue to manage the rights to our Jemperli royalties from GSK and imsidolimab milestones and royalties from Vanda with a focus on protecting and returning value of the royalties to its shareholders. The Biopharma Co is expected to be a clinical-stage biotechnology company focused on the development and potential commercialization of innovative therapeutics for autoimmune and inflammatory diseases, including rosnilimab, ANB033 and ANB101.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the separation to be completed by year-end 2026, subject to the satisfaction of certain conditions. Unexpected developments, including adverse market conditions or delays or difficulties effecting the proposed separation, could delay, prevent or otherwise adversely impact the anticipated benefits from the proposed separation. Consummation of the separation also will require final approval from our board of directors. We may not complete the separation on the terms or on the timeline that we announced, or may, for any or no reason and at any time until the proposed separation is complete, abandon the separation or modify or change its terms. Any of the foregoing may result in our not achieving the operational, financial, strategic and other benefits we anticipate, and in each case, our business, results of operations and financial condition could be adversely affected.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will incur significant expenses in connection with the proposed separation, and such costs and expenses may be greater than we anticipate. In addition, completion of the separation will require a significant amount of management time and effort which may disrupt our business or otherwise divert management’s attention from other aspects of our business, including strategic initiatives, discovery, development and commercialization efforts and relationships with our partners and other third parties. Any of the foregoing could adversely affect our business, results of operations and financial condition.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proposed separation may not achieve some or all of the anticipated benefits.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Even if the separation is completed, the anticipated operational, financial, strategic and other benefits of the separation may not be achieved. The combined value of the common stock of the two publicly-traded companies may not be equal to or greater than what the value of our common stock would have been had the separation not occurred. The combined value of the common stock of the two companies could be lower than anticipated for a variety of reasons, including the failure of either company to operate and compete effectively as an independent company. The common stock price of each company may experience periods of extreme volatility. In addition, the two independent companies will be smaller and less diversified, with a narrower business focus, and may be more vulnerable to changing market conditions. The separation also presents a number of significant risks to our internal processes, including the failure to maintain an adequate control environment due to changes to our infrastructure technology systems and financial reporting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entered into a collaboration with GSK to develop certain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GSK terminated the LAG-3 antagonist antibody development program, and in October 2025, GSK also terminated the TIM-3 antagonist antibody development program under our existing collaboration. As a result, we will not receive any additional milestones or any royalties from GSK for those development programs.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8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bear all of the risk related to the development and commercialization of any such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Reliance on third 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Regulatory Approval of Our Product Candidates and Other Legal Compliance Matters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Any drugs we develop may become subject to unfavorable third party reimbursement practices and pricing regulations.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set to expire in 2025. It is likely these new laws will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failure to comply with privacy and data security laws, regulations and standards may cause our business to be materially adversely affected.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process, and we may be required to put in place additional mechanisms ensuring compliance with existing and new data protection rules and possible government oversight.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not be able to protect our intellectual property rights throughout the world.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630"/>
        <w:jc w:val="left"/>
        <w:rPr/>
      </w:pPr>
      <w:r>
        <w:rPr>
          <w:rFonts w:ascii="Times New Roman;serif" w:hAnsi="Times New Roman;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the U.S. Supreme Court and the U.S. Court of Appeals for the Federal Circuit rendered decisions in several patent cases such as </w:t>
      </w:r>
      <w:r>
        <w:rPr>
          <w:rFonts w:ascii="Times New Roman;serif" w:hAnsi="Times New Roman;serif"/>
          <w:b w:val="false"/>
          <w:i/>
          <w:color w:val="000000"/>
          <w:sz w:val="20"/>
        </w:rPr>
        <w:t>Association for Molecular Pathology v. Myriad Genetics, Inc.</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BRCA1- &amp; BRCA2-Based Hereditary Cancer Test Patent Litig</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Mayo Collaborative Services v. Prometheus Laboratories, Inc.,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Alice Corporation Pty. Ltd. v. CLS Bank International</w:t>
      </w:r>
      <w:r>
        <w:rPr>
          <w:rFonts w:ascii="Times New Roman;serif" w:hAnsi="Times New Roman;serif"/>
          <w:b w:val="false"/>
          <w:color w:val="000000"/>
          <w:sz w:val="20"/>
        </w:rPr>
        <w:t>,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by any of our third 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disputes over intellectual property that we have licensed prevent or impair our ability to maintain any future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Managing Growth, Operations and Macroeconomic Conditions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must attract and retain highly skilled employees in order to succeed.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transitions in our senior management team that occur in connection with the proposed separation of our business into two independent, publicly traded companies, may result in operational disruptions, and our business may be harmed as a result.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internal computer systems, or those of our third party collaborators or other service providers, may fail or suffer security breaches and cyber-attacks, which could result in a material disruption of our development programs.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 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 party service providers have taken prove to be insufficient or inadequate,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market price of our stock has been and may continue to be volatile, and you could lose all or part of your investment.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Quarterly Report, these factors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purchases of our common stock by us pursuant to a stock repurchase program;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proposed separation of our business into two independent, publicly traded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management has broad discretion in the application of the net proceeds from our public offerings, and you will be relying on the judgment of our management regarding the application of these net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 subject to securities litigation, which is expensive and could divert management attention.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requirements of being a public company may strain our resources, divert management’s attention, and affect our ability to attract and retain additional executive management and qualified board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2024, we entered into an open market sales agreement with TD Securities (USA) LLC (“TD Cowen”), through which we may offer and sell shares of our common stock, having an aggregate offering of up to $100.0 million through TD Cowen as our sales agent.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disclosure controls and procedures may not prevent or detect all errors or acts of fraud.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 classified Board of Directors so that not all members of our Board of Directors are elected at one time;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only the Board of Directors to establish the number of directors and fill vacancies on the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However, the benefits from the use of our NOL carryforwards may be limited under Section 382 of the Code if we undergo an “ownership change,” which is generally defined as a greater than 50 percentage point change (by value) in our equity ownership by certain stockholders over a three-year period. We experienced ownership changes as defined by Section 382 of the Code during 2007, 2017 and 2021. Our use of federal and state NOLs could be further limited if we experience one or more ownership changes subsequent to December 31, 2024. </w:t>
      </w:r>
    </w:p>
    <w:p>
      <w:pPr>
        <w:pStyle w:val="TextBody"/>
        <w:bidi w:val="0"/>
        <w:spacing w:lineRule="auto" w:line="26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federal NOLs of approximately $300.7 million. Of this, $38.6 million will expire beginning in 2031 through 2037, if not used to reduce income taxes payable in the future and $262.0 million carry forward indefinitely. Due to ownership changes as defined by Section 382 of the Code, there are $114.6 million of federal NOLs available to offset taxable income in future years without Section 382 limitation, while $186.1 million of federal NOLs are subject to annual limitations over future periods. We had state NOLs of approximately $73.0 million, which will expire beginning in 2028 through 2044. As of December 31, 2024, we had federal and state research tax credit carryforwards of approximately $18.6 million and $17.4 million,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24, 2025, our Board of Directors approved a stock repurchase program to repurchase up to $75.0 million of shares of our outstanding common stock, par value $0.001 per share (the “2025 Repurchase Program”). The following table contains information with respect to repurchases made by us during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1"/>
        <w:gridCol w:w="365"/>
        <w:gridCol w:w="369"/>
        <w:gridCol w:w="109"/>
        <w:gridCol w:w="109"/>
        <w:gridCol w:w="109"/>
        <w:gridCol w:w="592"/>
        <w:gridCol w:w="458"/>
        <w:gridCol w:w="460"/>
        <w:gridCol w:w="109"/>
        <w:gridCol w:w="109"/>
        <w:gridCol w:w="109"/>
        <w:gridCol w:w="278"/>
        <w:gridCol w:w="812"/>
        <w:gridCol w:w="143"/>
        <w:gridCol w:w="109"/>
        <w:gridCol w:w="109"/>
        <w:gridCol w:w="109"/>
        <w:gridCol w:w="824"/>
        <w:gridCol w:w="690"/>
        <w:gridCol w:w="692"/>
        <w:gridCol w:w="109"/>
        <w:gridCol w:w="109"/>
        <w:gridCol w:w="109"/>
        <w:gridCol w:w="467"/>
        <w:gridCol w:w="1598"/>
        <w:gridCol w:w="348"/>
      </w:tblGrid>
      <w:tr>
        <w:trPr/>
        <w:tc>
          <w:tcPr>
            <w:tcW w:w="80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 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 Total number of shares repurchased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 Maximum approximate dollar value of shares that may yet be purchased under the plans or programs </w:t>
              <w:br/>
              <w:t>(in thousands)</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317,728 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317,728 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490,228 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490,228 </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July 15, 2025, Daniel Faga, Chief Executive Officer of the company, terminated a Rule 10b5-1 trading plan dated April 11, 2025. The plan was intended to satisfy the affirmative defense conditions of Rule 10b5-1(c) under the Exchange Act. No shares were sold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filed or furnished as part of this Quarterly Report on Form 10-Q are set forth on the Exhibit Index,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771"/>
        <w:gridCol w:w="2708"/>
        <w:gridCol w:w="2698"/>
        <w:gridCol w:w="109"/>
        <w:gridCol w:w="109"/>
        <w:gridCol w:w="109"/>
        <w:gridCol w:w="109"/>
        <w:gridCol w:w="109"/>
        <w:gridCol w:w="109"/>
        <w:gridCol w:w="109"/>
        <w:gridCol w:w="157"/>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9302025x10qxexx311.htm">
              <w:r>
                <w:rPr>
                  <w:rStyle w:val="InternetLink"/>
                  <w:rFonts w:ascii="Times New Roman;serif" w:hAnsi="Times New Roman;serif"/>
                  <w:b w:val="false"/>
                  <w:color w:val="0000FF"/>
                  <w:sz w:val="18"/>
                  <w:u w:val="single"/>
                </w:rPr>
                <w:t>Certification of Principal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9302025x10qxexx312.htm">
              <w:r>
                <w:rPr>
                  <w:rStyle w:val="InternetLink"/>
                  <w:rFonts w:ascii="Times New Roman;serif" w:hAnsi="Times New Roman;serif"/>
                  <w:b w:val="false"/>
                  <w:color w:val="0000FF"/>
                  <w:sz w:val="18"/>
                  <w:u w:val="single"/>
                </w:rPr>
                <w:t>Certification of Principal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9302025x10qxex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9302025x10qxex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Report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62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35"/>
        <w:gridCol w:w="235"/>
        <w:gridCol w:w="235"/>
        <w:gridCol w:w="1096"/>
        <w:gridCol w:w="1096"/>
        <w:gridCol w:w="15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AnaptysBio,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REPORT UNDER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Faga,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REPORT UNDER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I, Dennis Mulroy, certify that:</w:t>
      </w:r>
    </w:p>
    <w:p>
      <w:pPr>
        <w:pStyle w:val="TextBody"/>
        <w:bidi w:val="0"/>
        <w:spacing w:lineRule="auto" w:line="417"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Quarterly Report on Form 10-Q of the Company for the quarter ended September 30,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Quarterly Report on Form 10-Q of the Company for the quarter ended September 30,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46322</Words>
  <Characters>263238</Characters>
  <CharactersWithSpaces>308162</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