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11, 2019</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AnaptysBio,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147" w:lineRule="exact"/>
        <w:rPr>
          <w:sz w:val="24"/>
          <w:szCs w:val="24"/>
          <w:color w:val="auto"/>
        </w:rPr>
      </w:pPr>
    </w:p>
    <w:tbl>
      <w:tblPr>
        <w:tblLayout w:type="fixed"/>
        <w:tblInd w:w="1060" w:type="dxa"/>
        <w:tblCellMar>
          <w:top w:w="0" w:type="dxa"/>
          <w:left w:w="0" w:type="dxa"/>
          <w:bottom w:w="0" w:type="dxa"/>
          <w:right w:w="0" w:type="dxa"/>
        </w:tblCellMar>
      </w:tblPr>
      <w:tr>
        <w:trPr>
          <w:trHeight w:val="256"/>
        </w:trPr>
        <w:tc>
          <w:tcPr>
            <w:tcW w:w="2160" w:type="dxa"/>
            <w:vAlign w:val="bottom"/>
          </w:tcPr>
          <w:p>
            <w:pPr>
              <w:jc w:val="center"/>
              <w:ind w:right="519"/>
              <w:spacing w:after="0"/>
              <w:rPr>
                <w:sz w:val="20"/>
                <w:szCs w:val="20"/>
                <w:color w:val="auto"/>
              </w:rPr>
            </w:pPr>
            <w:r>
              <w:rPr>
                <w:rFonts w:ascii="Arial" w:cs="Arial" w:eastAsia="Arial" w:hAnsi="Arial"/>
                <w:sz w:val="20"/>
                <w:szCs w:val="20"/>
                <w:b w:val="1"/>
                <w:bCs w:val="1"/>
                <w:color w:val="auto"/>
                <w:w w:val="91"/>
              </w:rPr>
              <w:t>Delaware</w:t>
            </w:r>
          </w:p>
        </w:tc>
        <w:tc>
          <w:tcPr>
            <w:tcW w:w="5080" w:type="dxa"/>
            <w:vAlign w:val="bottom"/>
          </w:tcPr>
          <w:p>
            <w:pPr>
              <w:jc w:val="center"/>
              <w:ind w:right="95"/>
              <w:spacing w:after="0"/>
              <w:rPr>
                <w:sz w:val="20"/>
                <w:szCs w:val="20"/>
                <w:color w:val="auto"/>
              </w:rPr>
            </w:pPr>
            <w:r>
              <w:rPr>
                <w:rFonts w:ascii="Arial" w:cs="Arial" w:eastAsia="Arial" w:hAnsi="Arial"/>
                <w:sz w:val="20"/>
                <w:szCs w:val="20"/>
                <w:b w:val="1"/>
                <w:bCs w:val="1"/>
                <w:color w:val="auto"/>
                <w:w w:val="89"/>
              </w:rPr>
              <w:t>001-37985</w:t>
            </w:r>
          </w:p>
        </w:tc>
        <w:tc>
          <w:tcPr>
            <w:tcW w:w="1780" w:type="dxa"/>
            <w:vAlign w:val="bottom"/>
          </w:tcPr>
          <w:p>
            <w:pPr>
              <w:jc w:val="center"/>
              <w:ind w:left="619"/>
              <w:spacing w:after="0"/>
              <w:rPr>
                <w:sz w:val="20"/>
                <w:szCs w:val="20"/>
                <w:color w:val="auto"/>
              </w:rPr>
            </w:pPr>
            <w:r>
              <w:rPr>
                <w:rFonts w:ascii="Arial" w:cs="Arial" w:eastAsia="Arial" w:hAnsi="Arial"/>
                <w:sz w:val="20"/>
                <w:szCs w:val="20"/>
                <w:b w:val="1"/>
                <w:bCs w:val="1"/>
                <w:color w:val="auto"/>
                <w:w w:val="89"/>
              </w:rPr>
              <w:t>20-3828755</w:t>
            </w:r>
          </w:p>
        </w:tc>
      </w:tr>
      <w:tr>
        <w:trPr>
          <w:trHeight w:val="180"/>
        </w:trPr>
        <w:tc>
          <w:tcPr>
            <w:tcW w:w="2160" w:type="dxa"/>
            <w:vAlign w:val="bottom"/>
          </w:tcPr>
          <w:p>
            <w:pPr>
              <w:jc w:val="center"/>
              <w:ind w:right="519"/>
              <w:spacing w:after="0"/>
              <w:rPr>
                <w:sz w:val="20"/>
                <w:szCs w:val="20"/>
                <w:color w:val="auto"/>
              </w:rPr>
            </w:pPr>
            <w:r>
              <w:rPr>
                <w:rFonts w:ascii="Arial" w:cs="Arial" w:eastAsia="Arial" w:hAnsi="Arial"/>
                <w:sz w:val="14"/>
                <w:szCs w:val="14"/>
                <w:color w:val="auto"/>
                <w:w w:val="93"/>
              </w:rPr>
              <w:t>(State or Other Jurisdiction</w:t>
            </w:r>
          </w:p>
        </w:tc>
        <w:tc>
          <w:tcPr>
            <w:tcW w:w="5080" w:type="dxa"/>
            <w:vAlign w:val="bottom"/>
          </w:tcPr>
          <w:p>
            <w:pPr>
              <w:jc w:val="center"/>
              <w:ind w:right="95"/>
              <w:spacing w:after="0"/>
              <w:rPr>
                <w:sz w:val="20"/>
                <w:szCs w:val="20"/>
                <w:color w:val="auto"/>
              </w:rPr>
            </w:pPr>
            <w:r>
              <w:rPr>
                <w:rFonts w:ascii="Arial" w:cs="Arial" w:eastAsia="Arial" w:hAnsi="Arial"/>
                <w:sz w:val="14"/>
                <w:szCs w:val="14"/>
                <w:color w:val="auto"/>
                <w:w w:val="95"/>
              </w:rPr>
              <w:t>(Commission</w:t>
            </w:r>
          </w:p>
        </w:tc>
        <w:tc>
          <w:tcPr>
            <w:tcW w:w="1780" w:type="dxa"/>
            <w:vAlign w:val="bottom"/>
          </w:tcPr>
          <w:p>
            <w:pPr>
              <w:jc w:val="center"/>
              <w:ind w:left="639"/>
              <w:spacing w:after="0"/>
              <w:rPr>
                <w:sz w:val="20"/>
                <w:szCs w:val="20"/>
                <w:color w:val="auto"/>
              </w:rPr>
            </w:pPr>
            <w:r>
              <w:rPr>
                <w:rFonts w:ascii="Arial" w:cs="Arial" w:eastAsia="Arial" w:hAnsi="Arial"/>
                <w:sz w:val="14"/>
                <w:szCs w:val="14"/>
                <w:color w:val="auto"/>
                <w:w w:val="95"/>
              </w:rPr>
              <w:t>(I.R.S. Employer</w:t>
            </w:r>
          </w:p>
        </w:tc>
      </w:tr>
      <w:tr>
        <w:trPr>
          <w:trHeight w:val="182"/>
        </w:trPr>
        <w:tc>
          <w:tcPr>
            <w:tcW w:w="2160" w:type="dxa"/>
            <w:vAlign w:val="bottom"/>
          </w:tcPr>
          <w:p>
            <w:pPr>
              <w:jc w:val="center"/>
              <w:ind w:right="519"/>
              <w:spacing w:after="0"/>
              <w:rPr>
                <w:sz w:val="20"/>
                <w:szCs w:val="20"/>
                <w:color w:val="auto"/>
              </w:rPr>
            </w:pPr>
            <w:r>
              <w:rPr>
                <w:rFonts w:ascii="Arial" w:cs="Arial" w:eastAsia="Arial" w:hAnsi="Arial"/>
                <w:sz w:val="14"/>
                <w:szCs w:val="14"/>
                <w:color w:val="auto"/>
                <w:w w:val="98"/>
              </w:rPr>
              <w:t>of Incorporation)</w:t>
            </w:r>
          </w:p>
        </w:tc>
        <w:tc>
          <w:tcPr>
            <w:tcW w:w="5080" w:type="dxa"/>
            <w:vAlign w:val="bottom"/>
          </w:tcPr>
          <w:p>
            <w:pPr>
              <w:jc w:val="center"/>
              <w:ind w:right="95"/>
              <w:spacing w:after="0"/>
              <w:rPr>
                <w:sz w:val="20"/>
                <w:szCs w:val="20"/>
                <w:color w:val="auto"/>
              </w:rPr>
            </w:pPr>
            <w:r>
              <w:rPr>
                <w:rFonts w:ascii="Arial" w:cs="Arial" w:eastAsia="Arial" w:hAnsi="Arial"/>
                <w:sz w:val="14"/>
                <w:szCs w:val="14"/>
                <w:color w:val="auto"/>
                <w:w w:val="96"/>
              </w:rPr>
              <w:t>File Number)</w:t>
            </w:r>
          </w:p>
        </w:tc>
        <w:tc>
          <w:tcPr>
            <w:tcW w:w="1780" w:type="dxa"/>
            <w:vAlign w:val="bottom"/>
          </w:tcPr>
          <w:p>
            <w:pPr>
              <w:jc w:val="center"/>
              <w:ind w:left="619"/>
              <w:spacing w:after="0"/>
              <w:rPr>
                <w:sz w:val="20"/>
                <w:szCs w:val="20"/>
                <w:color w:val="auto"/>
              </w:rPr>
            </w:pPr>
            <w:r>
              <w:rPr>
                <w:rFonts w:ascii="Arial" w:cs="Arial" w:eastAsia="Arial" w:hAnsi="Arial"/>
                <w:sz w:val="14"/>
                <w:szCs w:val="14"/>
                <w:color w:val="auto"/>
                <w:w w:val="99"/>
              </w:rPr>
              <w:t>Identification No.)</w:t>
            </w:r>
          </w:p>
        </w:tc>
      </w:tr>
      <w:tr>
        <w:trPr>
          <w:trHeight w:val="448"/>
        </w:trPr>
        <w:tc>
          <w:tcPr>
            <w:tcW w:w="2160" w:type="dxa"/>
            <w:vAlign w:val="bottom"/>
          </w:tcPr>
          <w:p>
            <w:pPr>
              <w:spacing w:after="0"/>
              <w:rPr>
                <w:sz w:val="24"/>
                <w:szCs w:val="24"/>
                <w:color w:val="auto"/>
              </w:rPr>
            </w:pPr>
          </w:p>
        </w:tc>
        <w:tc>
          <w:tcPr>
            <w:tcW w:w="5080" w:type="dxa"/>
            <w:vAlign w:val="bottom"/>
          </w:tcPr>
          <w:p>
            <w:pPr>
              <w:jc w:val="center"/>
              <w:ind w:right="15"/>
              <w:spacing w:after="0"/>
              <w:rPr>
                <w:sz w:val="20"/>
                <w:szCs w:val="20"/>
                <w:color w:val="auto"/>
              </w:rPr>
            </w:pPr>
            <w:r>
              <w:rPr>
                <w:rFonts w:ascii="Arial" w:cs="Arial" w:eastAsia="Arial" w:hAnsi="Arial"/>
                <w:sz w:val="20"/>
                <w:szCs w:val="20"/>
                <w:b w:val="1"/>
                <w:bCs w:val="1"/>
                <w:color w:val="auto"/>
                <w:w w:val="90"/>
              </w:rPr>
              <w:t>10421 Pacific Center Court, Suite 200</w:t>
            </w:r>
          </w:p>
        </w:tc>
        <w:tc>
          <w:tcPr>
            <w:tcW w:w="17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080" w:type="dxa"/>
            <w:vAlign w:val="bottom"/>
          </w:tcPr>
          <w:p>
            <w:pPr>
              <w:jc w:val="center"/>
              <w:ind w:right="15"/>
              <w:spacing w:after="0"/>
              <w:rPr>
                <w:sz w:val="20"/>
                <w:szCs w:val="20"/>
                <w:color w:val="auto"/>
              </w:rPr>
            </w:pPr>
            <w:r>
              <w:rPr>
                <w:rFonts w:ascii="Arial" w:cs="Arial" w:eastAsia="Arial" w:hAnsi="Arial"/>
                <w:sz w:val="20"/>
                <w:szCs w:val="20"/>
                <w:b w:val="1"/>
                <w:bCs w:val="1"/>
                <w:color w:val="auto"/>
                <w:w w:val="89"/>
              </w:rPr>
              <w:t>San Diego, CA 92121</w:t>
            </w:r>
          </w:p>
        </w:tc>
        <w:tc>
          <w:tcPr>
            <w:tcW w:w="1780" w:type="dxa"/>
            <w:vAlign w:val="bottom"/>
          </w:tcPr>
          <w:p>
            <w:pPr>
              <w:spacing w:after="0"/>
              <w:rPr>
                <w:sz w:val="20"/>
                <w:szCs w:val="20"/>
                <w:color w:val="auto"/>
              </w:rPr>
            </w:pPr>
          </w:p>
        </w:tc>
      </w:tr>
      <w:tr>
        <w:trPr>
          <w:trHeight w:val="182"/>
        </w:trPr>
        <w:tc>
          <w:tcPr>
            <w:tcW w:w="2160" w:type="dxa"/>
            <w:vAlign w:val="bottom"/>
          </w:tcPr>
          <w:p>
            <w:pPr>
              <w:spacing w:after="0"/>
              <w:rPr>
                <w:sz w:val="15"/>
                <w:szCs w:val="15"/>
                <w:color w:val="auto"/>
              </w:rPr>
            </w:pPr>
          </w:p>
        </w:tc>
        <w:tc>
          <w:tcPr>
            <w:tcW w:w="5080" w:type="dxa"/>
            <w:vAlign w:val="bottom"/>
          </w:tcPr>
          <w:p>
            <w:pPr>
              <w:jc w:val="center"/>
              <w:spacing w:after="0"/>
              <w:rPr>
                <w:sz w:val="20"/>
                <w:szCs w:val="20"/>
                <w:color w:val="auto"/>
              </w:rPr>
            </w:pPr>
            <w:r>
              <w:rPr>
                <w:rFonts w:ascii="Arial" w:cs="Arial" w:eastAsia="Arial" w:hAnsi="Arial"/>
                <w:sz w:val="14"/>
                <w:szCs w:val="14"/>
                <w:color w:val="auto"/>
                <w:w w:val="94"/>
              </w:rPr>
              <w:t>(Address of Principal Executive Offices, and Zip Code)</w:t>
            </w:r>
          </w:p>
        </w:tc>
        <w:tc>
          <w:tcPr>
            <w:tcW w:w="1780" w:type="dxa"/>
            <w:vAlign w:val="bottom"/>
          </w:tcPr>
          <w:p>
            <w:pPr>
              <w:spacing w:after="0"/>
              <w:rPr>
                <w:sz w:val="15"/>
                <w:szCs w:val="15"/>
                <w:color w:val="auto"/>
              </w:rPr>
            </w:pPr>
          </w:p>
        </w:tc>
      </w:tr>
      <w:tr>
        <w:trPr>
          <w:trHeight w:val="425"/>
        </w:trPr>
        <w:tc>
          <w:tcPr>
            <w:tcW w:w="216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Arial" w:cs="Arial" w:eastAsia="Arial" w:hAnsi="Arial"/>
                <w:sz w:val="20"/>
                <w:szCs w:val="20"/>
                <w:b w:val="1"/>
                <w:bCs w:val="1"/>
                <w:color w:val="auto"/>
                <w:w w:val="90"/>
              </w:rPr>
              <w:t>(858) 362-6295</w:t>
            </w:r>
          </w:p>
        </w:tc>
        <w:tc>
          <w:tcPr>
            <w:tcW w:w="1780" w:type="dxa"/>
            <w:vAlign w:val="bottom"/>
          </w:tcPr>
          <w:p>
            <w:pPr>
              <w:spacing w:after="0"/>
              <w:rPr>
                <w:sz w:val="24"/>
                <w:szCs w:val="24"/>
                <w:color w:val="auto"/>
              </w:rPr>
            </w:pPr>
          </w:p>
        </w:tc>
      </w:tr>
      <w:tr>
        <w:trPr>
          <w:trHeight w:val="182"/>
        </w:trPr>
        <w:tc>
          <w:tcPr>
            <w:tcW w:w="2160" w:type="dxa"/>
            <w:vAlign w:val="bottom"/>
          </w:tcPr>
          <w:p>
            <w:pPr>
              <w:spacing w:after="0"/>
              <w:rPr>
                <w:sz w:val="15"/>
                <w:szCs w:val="15"/>
                <w:color w:val="auto"/>
              </w:rPr>
            </w:pPr>
          </w:p>
        </w:tc>
        <w:tc>
          <w:tcPr>
            <w:tcW w:w="5080" w:type="dxa"/>
            <w:vAlign w:val="bottom"/>
          </w:tcPr>
          <w:p>
            <w:pPr>
              <w:jc w:val="center"/>
              <w:ind w:right="15"/>
              <w:spacing w:after="0"/>
              <w:rPr>
                <w:sz w:val="20"/>
                <w:szCs w:val="20"/>
                <w:color w:val="auto"/>
              </w:rPr>
            </w:pPr>
            <w:r>
              <w:rPr>
                <w:rFonts w:ascii="Arial" w:cs="Arial" w:eastAsia="Arial" w:hAnsi="Arial"/>
                <w:sz w:val="14"/>
                <w:szCs w:val="14"/>
                <w:color w:val="auto"/>
                <w:w w:val="93"/>
              </w:rPr>
              <w:t>Registrant’s Telephone Number, Including Area Code</w:t>
            </w:r>
          </w:p>
        </w:tc>
        <w:tc>
          <w:tcPr>
            <w:tcW w:w="1780" w:type="dxa"/>
            <w:vAlign w:val="bottom"/>
          </w:tcPr>
          <w:p>
            <w:pPr>
              <w:spacing w:after="0"/>
              <w:rPr>
                <w:sz w:val="15"/>
                <w:szCs w:val="15"/>
                <w:color w:val="auto"/>
              </w:rPr>
            </w:pPr>
          </w:p>
        </w:tc>
      </w:tr>
      <w:tr>
        <w:trPr>
          <w:trHeight w:val="425"/>
        </w:trPr>
        <w:tc>
          <w:tcPr>
            <w:tcW w:w="2160" w:type="dxa"/>
            <w:vAlign w:val="bottom"/>
          </w:tcPr>
          <w:p>
            <w:pPr>
              <w:spacing w:after="0"/>
              <w:rPr>
                <w:sz w:val="24"/>
                <w:szCs w:val="24"/>
                <w:color w:val="auto"/>
              </w:rPr>
            </w:pPr>
          </w:p>
        </w:tc>
        <w:tc>
          <w:tcPr>
            <w:tcW w:w="5080" w:type="dxa"/>
            <w:vAlign w:val="bottom"/>
          </w:tcPr>
          <w:p>
            <w:pPr>
              <w:jc w:val="center"/>
              <w:ind w:right="15"/>
              <w:spacing w:after="0"/>
              <w:rPr>
                <w:sz w:val="20"/>
                <w:szCs w:val="20"/>
                <w:color w:val="auto"/>
              </w:rPr>
            </w:pPr>
            <w:r>
              <w:rPr>
                <w:rFonts w:ascii="Arial" w:cs="Arial" w:eastAsia="Arial" w:hAnsi="Arial"/>
                <w:sz w:val="20"/>
                <w:szCs w:val="20"/>
                <w:b w:val="1"/>
                <w:bCs w:val="1"/>
                <w:color w:val="auto"/>
                <w:w w:val="89"/>
              </w:rPr>
              <w:t>Not Applicable</w:t>
            </w:r>
          </w:p>
        </w:tc>
        <w:tc>
          <w:tcPr>
            <w:tcW w:w="1780" w:type="dxa"/>
            <w:vAlign w:val="bottom"/>
          </w:tcPr>
          <w:p>
            <w:pPr>
              <w:spacing w:after="0"/>
              <w:rPr>
                <w:sz w:val="24"/>
                <w:szCs w:val="24"/>
                <w:color w:val="auto"/>
              </w:rPr>
            </w:pPr>
          </w:p>
        </w:tc>
      </w:tr>
      <w:tr>
        <w:trPr>
          <w:trHeight w:val="182"/>
        </w:trPr>
        <w:tc>
          <w:tcPr>
            <w:tcW w:w="2160" w:type="dxa"/>
            <w:vAlign w:val="bottom"/>
          </w:tcPr>
          <w:p>
            <w:pPr>
              <w:spacing w:after="0"/>
              <w:rPr>
                <w:sz w:val="15"/>
                <w:szCs w:val="15"/>
                <w:color w:val="auto"/>
              </w:rPr>
            </w:pPr>
          </w:p>
        </w:tc>
        <w:tc>
          <w:tcPr>
            <w:tcW w:w="5080" w:type="dxa"/>
            <w:vAlign w:val="bottom"/>
          </w:tcPr>
          <w:p>
            <w:pPr>
              <w:jc w:val="center"/>
              <w:spacing w:after="0"/>
              <w:rPr>
                <w:sz w:val="20"/>
                <w:szCs w:val="20"/>
                <w:color w:val="auto"/>
              </w:rPr>
            </w:pPr>
            <w:r>
              <w:rPr>
                <w:rFonts w:ascii="Arial" w:cs="Arial" w:eastAsia="Arial" w:hAnsi="Arial"/>
                <w:sz w:val="14"/>
                <w:szCs w:val="14"/>
                <w:color w:val="auto"/>
                <w:w w:val="93"/>
              </w:rPr>
              <w:t>(Former Name or Former Address, if Changed Since Last Report)</w:t>
            </w:r>
          </w:p>
        </w:tc>
        <w:tc>
          <w:tcPr>
            <w:tcW w:w="1780" w:type="dxa"/>
            <w:vAlign w:val="bottom"/>
          </w:tcPr>
          <w:p>
            <w:pPr>
              <w:spacing w:after="0"/>
              <w:rPr>
                <w:sz w:val="15"/>
                <w:szCs w:val="15"/>
                <w:color w:val="auto"/>
              </w:rPr>
            </w:pPr>
          </w:p>
        </w:tc>
      </w:tr>
    </w:tbl>
    <w:p>
      <w:pPr>
        <w:spacing w:after="0" w:line="21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224" w:lineRule="exact"/>
        <w:rPr>
          <w:sz w:val="24"/>
          <w:szCs w:val="24"/>
          <w:color w:val="auto"/>
        </w:rPr>
      </w:pPr>
    </w:p>
    <w:p>
      <w:pPr>
        <w:ind w:left="960" w:hanging="223"/>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98" w:lineRule="exact"/>
        <w:rPr>
          <w:rFonts w:ascii="MS PGothic" w:cs="MS PGothic" w:eastAsia="MS PGothic" w:hAnsi="MS PGothic"/>
          <w:sz w:val="18"/>
          <w:szCs w:val="18"/>
          <w:color w:val="auto"/>
        </w:rPr>
      </w:pPr>
    </w:p>
    <w:p>
      <w:pPr>
        <w:ind w:left="960" w:hanging="223"/>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960" w:hanging="223"/>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14d-2(b) under the Exchange Act (17 CFR 240.14d-2(b))</w:t>
      </w:r>
    </w:p>
    <w:p>
      <w:pPr>
        <w:spacing w:after="0" w:line="198" w:lineRule="exact"/>
        <w:rPr>
          <w:rFonts w:ascii="MS PGothic" w:cs="MS PGothic" w:eastAsia="MS PGothic" w:hAnsi="MS PGothic"/>
          <w:sz w:val="18"/>
          <w:szCs w:val="18"/>
          <w:color w:val="auto"/>
        </w:rPr>
      </w:pPr>
    </w:p>
    <w:p>
      <w:pPr>
        <w:ind w:right="2500" w:firstLine="737"/>
        <w:spacing w:after="0" w:line="415" w:lineRule="auto"/>
        <w:tabs>
          <w:tab w:leader="none" w:pos="9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 Securities registered pursuant to Section 12(b) of the Act:</w:t>
      </w:r>
    </w:p>
    <w:tbl>
      <w:tblPr>
        <w:tblLayout w:type="fixed"/>
        <w:tblInd w:w="30" w:type="dxa"/>
        <w:tblCellMar>
          <w:top w:w="0" w:type="dxa"/>
          <w:left w:w="0" w:type="dxa"/>
          <w:bottom w:w="0" w:type="dxa"/>
          <w:right w:w="0" w:type="dxa"/>
        </w:tblCellMar>
      </w:tblPr>
      <w:tr>
        <w:trPr>
          <w:trHeight w:val="237"/>
        </w:trPr>
        <w:tc>
          <w:tcPr>
            <w:tcW w:w="42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5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54"/>
        </w:trPr>
        <w:tc>
          <w:tcPr>
            <w:tcW w:w="4240" w:type="dxa"/>
            <w:vAlign w:val="bottom"/>
            <w:tcBorders>
              <w:left w:val="single" w:sz="8" w:color="auto"/>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37"/>
        </w:trPr>
        <w:tc>
          <w:tcPr>
            <w:tcW w:w="4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5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54"/>
        </w:trPr>
        <w:tc>
          <w:tcPr>
            <w:tcW w:w="4240" w:type="dxa"/>
            <w:vAlign w:val="bottom"/>
            <w:tcBorders>
              <w:left w:val="single" w:sz="8" w:color="auto"/>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bl>
    <w:p>
      <w:pPr>
        <w:spacing w:after="0" w:line="94" w:lineRule="exact"/>
        <w:rPr>
          <w:sz w:val="24"/>
          <w:szCs w:val="24"/>
          <w:color w:val="auto"/>
        </w:rPr>
      </w:pPr>
    </w:p>
    <w:p>
      <w:pPr>
        <w:ind w:right="8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2"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287" w:right="2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June 11, 2019, AnaptysBio, Inc. (the “Company”) held its 2019 Annual Meeting of Stockholders and the following proposals were adopted:</w:t>
      </w:r>
    </w:p>
    <w:p>
      <w:pPr>
        <w:spacing w:after="0" w:line="237"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of two Class II directors, Hamza Suria, M.B.A. and J. Anthony Ware, M.D., each to serve a three-year term, which will expire at the 2022 Annual Meeting of Stockholders or until such time as their respective successors have been duly elected and qualified:</w:t>
      </w:r>
    </w:p>
    <w:p>
      <w:pPr>
        <w:spacing w:after="0" w:line="117"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2180" w:type="dxa"/>
            <w:vAlign w:val="bottom"/>
            <w:gridSpan w:val="2"/>
          </w:tcPr>
          <w:p>
            <w:pPr>
              <w:ind w:left="20"/>
              <w:spacing w:after="0"/>
              <w:rPr>
                <w:sz w:val="20"/>
                <w:szCs w:val="20"/>
                <w:color w:val="auto"/>
              </w:rPr>
            </w:pPr>
            <w:r>
              <w:rPr>
                <w:rFonts w:ascii="Arial" w:cs="Arial" w:eastAsia="Arial" w:hAnsi="Arial"/>
                <w:sz w:val="16"/>
                <w:szCs w:val="16"/>
                <w:b w:val="1"/>
                <w:bCs w:val="1"/>
                <w:color w:val="auto"/>
              </w:rPr>
              <w:t>Nominees</w:t>
            </w:r>
          </w:p>
        </w:tc>
        <w:tc>
          <w:tcPr>
            <w:tcW w:w="2080" w:type="dxa"/>
            <w:vAlign w:val="bottom"/>
            <w:gridSpan w:val="2"/>
          </w:tcPr>
          <w:p>
            <w:pPr>
              <w:ind w:left="600"/>
              <w:spacing w:after="0"/>
              <w:rPr>
                <w:sz w:val="20"/>
                <w:szCs w:val="20"/>
                <w:color w:val="auto"/>
              </w:rPr>
            </w:pPr>
            <w:r>
              <w:rPr>
                <w:rFonts w:ascii="Arial" w:cs="Arial" w:eastAsia="Arial" w:hAnsi="Arial"/>
                <w:sz w:val="16"/>
                <w:szCs w:val="16"/>
                <w:b w:val="1"/>
                <w:bCs w:val="1"/>
                <w:color w:val="auto"/>
              </w:rPr>
              <w:t>Shares For</w:t>
            </w:r>
          </w:p>
        </w:tc>
        <w:tc>
          <w:tcPr>
            <w:tcW w:w="2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Shares Withheld/Abstaining</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91"/>
              </w:rPr>
              <w:t>Broker Non-Votes</w:t>
            </w:r>
          </w:p>
        </w:tc>
      </w:tr>
      <w:tr>
        <w:trPr>
          <w:trHeight w:val="73"/>
        </w:trPr>
        <w:tc>
          <w:tcPr>
            <w:tcW w:w="2040" w:type="dxa"/>
            <w:vAlign w:val="bottom"/>
            <w:tcBorders>
              <w:bottom w:val="single" w:sz="8" w:color="auto"/>
            </w:tcBorders>
          </w:tcPr>
          <w:p>
            <w:pPr>
              <w:spacing w:after="0"/>
              <w:rPr>
                <w:sz w:val="6"/>
                <w:szCs w:val="6"/>
                <w:color w:val="auto"/>
              </w:rPr>
            </w:pPr>
          </w:p>
        </w:tc>
        <w:tc>
          <w:tcPr>
            <w:tcW w:w="140" w:type="dxa"/>
            <w:vAlign w:val="bottom"/>
            <w:tcBorders>
              <w:bottom w:val="single" w:sz="8" w:color="BFE4FF"/>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120" w:type="dxa"/>
            <w:vAlign w:val="bottom"/>
            <w:tcBorders>
              <w:bottom w:val="single" w:sz="8" w:color="BFE4FF"/>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c>
          <w:tcPr>
            <w:tcW w:w="120" w:type="dxa"/>
            <w:vAlign w:val="bottom"/>
            <w:tcBorders>
              <w:bottom w:val="single" w:sz="8" w:color="BFE4FF"/>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r>
      <w:tr>
        <w:trPr>
          <w:trHeight w:val="217"/>
        </w:trPr>
        <w:tc>
          <w:tcPr>
            <w:tcW w:w="218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6"/>
                <w:szCs w:val="16"/>
                <w:color w:val="auto"/>
              </w:rPr>
              <w:t>Hamza Suria, M.B.A.</w:t>
            </w:r>
          </w:p>
        </w:tc>
        <w:tc>
          <w:tcPr>
            <w:tcW w:w="1960" w:type="dxa"/>
            <w:vAlign w:val="bottom"/>
            <w:tcBorders>
              <w:bottom w:val="single" w:sz="8" w:color="BFE4FF"/>
            </w:tcBorders>
            <w:shd w:val="clear" w:color="auto" w:fill="BFE4FF"/>
          </w:tcPr>
          <w:p>
            <w:pPr>
              <w:ind w:left="620"/>
              <w:spacing w:after="0"/>
              <w:rPr>
                <w:sz w:val="20"/>
                <w:szCs w:val="20"/>
                <w:color w:val="auto"/>
              </w:rPr>
            </w:pPr>
            <w:r>
              <w:rPr>
                <w:rFonts w:ascii="Arial" w:cs="Arial" w:eastAsia="Arial" w:hAnsi="Arial"/>
                <w:sz w:val="16"/>
                <w:szCs w:val="16"/>
                <w:color w:val="auto"/>
              </w:rPr>
              <w:t>20,332,167</w:t>
            </w:r>
          </w:p>
        </w:tc>
        <w:tc>
          <w:tcPr>
            <w:tcW w:w="120" w:type="dxa"/>
            <w:vAlign w:val="bottom"/>
            <w:tcBorders>
              <w:bottom w:val="single" w:sz="8" w:color="BFE4FF"/>
            </w:tcBorders>
            <w:shd w:val="clear" w:color="auto" w:fill="BFE4FF"/>
          </w:tcPr>
          <w:p>
            <w:pPr>
              <w:spacing w:after="0"/>
              <w:rPr>
                <w:sz w:val="18"/>
                <w:szCs w:val="18"/>
                <w:color w:val="auto"/>
              </w:rPr>
            </w:pPr>
          </w:p>
        </w:tc>
        <w:tc>
          <w:tcPr>
            <w:tcW w:w="20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9"/>
              </w:rPr>
              <w:t>4,029,685</w:t>
            </w:r>
          </w:p>
        </w:tc>
        <w:tc>
          <w:tcPr>
            <w:tcW w:w="120" w:type="dxa"/>
            <w:vAlign w:val="bottom"/>
            <w:tcBorders>
              <w:bottom w:val="single" w:sz="8" w:color="BFE4FF"/>
            </w:tcBorders>
            <w:shd w:val="clear" w:color="auto" w:fill="BFE4FF"/>
          </w:tcPr>
          <w:p>
            <w:pPr>
              <w:spacing w:after="0"/>
              <w:rPr>
                <w:sz w:val="18"/>
                <w:szCs w:val="18"/>
                <w:color w:val="auto"/>
              </w:rPr>
            </w:pPr>
          </w:p>
        </w:tc>
        <w:tc>
          <w:tcPr>
            <w:tcW w:w="19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9"/>
              </w:rPr>
              <w:t>1,185,907</w:t>
            </w:r>
          </w:p>
        </w:tc>
      </w:tr>
      <w:tr>
        <w:trPr>
          <w:trHeight w:val="237"/>
        </w:trPr>
        <w:tc>
          <w:tcPr>
            <w:tcW w:w="2180" w:type="dxa"/>
            <w:vAlign w:val="bottom"/>
            <w:gridSpan w:val="2"/>
          </w:tcPr>
          <w:p>
            <w:pPr>
              <w:ind w:left="20"/>
              <w:spacing w:after="0"/>
              <w:rPr>
                <w:sz w:val="20"/>
                <w:szCs w:val="20"/>
                <w:color w:val="auto"/>
              </w:rPr>
            </w:pPr>
            <w:r>
              <w:rPr>
                <w:rFonts w:ascii="Arial" w:cs="Arial" w:eastAsia="Arial" w:hAnsi="Arial"/>
                <w:sz w:val="16"/>
                <w:szCs w:val="16"/>
                <w:color w:val="auto"/>
              </w:rPr>
              <w:t>J. Anthony Ware, M.D.</w:t>
            </w:r>
          </w:p>
        </w:tc>
        <w:tc>
          <w:tcPr>
            <w:tcW w:w="1960" w:type="dxa"/>
            <w:vAlign w:val="bottom"/>
          </w:tcPr>
          <w:p>
            <w:pPr>
              <w:ind w:left="620"/>
              <w:spacing w:after="0"/>
              <w:rPr>
                <w:sz w:val="20"/>
                <w:szCs w:val="20"/>
                <w:color w:val="auto"/>
              </w:rPr>
            </w:pPr>
            <w:r>
              <w:rPr>
                <w:rFonts w:ascii="Arial" w:cs="Arial" w:eastAsia="Arial" w:hAnsi="Arial"/>
                <w:sz w:val="16"/>
                <w:szCs w:val="16"/>
                <w:color w:val="auto"/>
              </w:rPr>
              <w:t>17,570,513</w:t>
            </w:r>
          </w:p>
        </w:tc>
        <w:tc>
          <w:tcPr>
            <w:tcW w:w="12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6,791,339</w:t>
            </w:r>
          </w:p>
        </w:tc>
        <w:tc>
          <w:tcPr>
            <w:tcW w:w="12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89"/>
              </w:rPr>
              <w:t>1,185,907</w:t>
            </w:r>
          </w:p>
        </w:tc>
      </w:tr>
    </w:tbl>
    <w:p>
      <w:pPr>
        <w:spacing w:after="0" w:line="370" w:lineRule="exact"/>
        <w:rPr>
          <w:sz w:val="20"/>
          <w:szCs w:val="20"/>
          <w:color w:val="auto"/>
        </w:rPr>
      </w:pPr>
    </w:p>
    <w:p>
      <w:pPr>
        <w:ind w:left="660" w:right="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Ratification of the appointment of KPMG LLP as the Company’s independent registered public accounting firm for the fiscal year ending December 31, 2019:</w:t>
      </w:r>
    </w:p>
    <w:p>
      <w:pPr>
        <w:spacing w:after="0" w:line="117"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2000" w:type="dxa"/>
            <w:vAlign w:val="bottom"/>
          </w:tcPr>
          <w:p>
            <w:pPr>
              <w:spacing w:after="0"/>
              <w:rPr>
                <w:sz w:val="17"/>
                <w:szCs w:val="17"/>
                <w:color w:val="auto"/>
              </w:rPr>
            </w:pPr>
          </w:p>
        </w:tc>
      </w:tr>
      <w:tr>
        <w:trPr>
          <w:trHeight w:val="210"/>
        </w:trPr>
        <w:tc>
          <w:tcPr>
            <w:tcW w:w="2140" w:type="dxa"/>
            <w:vAlign w:val="bottom"/>
            <w:gridSpan w:val="2"/>
          </w:tcPr>
          <w:p>
            <w:pPr>
              <w:ind w:left="620"/>
              <w:spacing w:after="0"/>
              <w:rPr>
                <w:sz w:val="20"/>
                <w:szCs w:val="20"/>
                <w:color w:val="auto"/>
              </w:rPr>
            </w:pPr>
            <w:r>
              <w:rPr>
                <w:rFonts w:ascii="Arial" w:cs="Arial" w:eastAsia="Arial" w:hAnsi="Arial"/>
                <w:sz w:val="16"/>
                <w:szCs w:val="16"/>
                <w:b w:val="1"/>
                <w:bCs w:val="1"/>
                <w:color w:val="auto"/>
              </w:rPr>
              <w:t>Shares For</w:t>
            </w:r>
          </w:p>
        </w:tc>
        <w:tc>
          <w:tcPr>
            <w:tcW w:w="2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Shares Against</w:t>
            </w:r>
          </w:p>
        </w:tc>
        <w:tc>
          <w:tcPr>
            <w:tcW w:w="2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Withheld/Abstaining</w:t>
            </w:r>
          </w:p>
        </w:tc>
        <w:tc>
          <w:tcPr>
            <w:tcW w:w="2000" w:type="dxa"/>
            <w:vAlign w:val="bottom"/>
          </w:tcPr>
          <w:p>
            <w:pPr>
              <w:ind w:left="380"/>
              <w:spacing w:after="0"/>
              <w:rPr>
                <w:sz w:val="20"/>
                <w:szCs w:val="20"/>
                <w:color w:val="auto"/>
              </w:rPr>
            </w:pPr>
            <w:r>
              <w:rPr>
                <w:rFonts w:ascii="Arial" w:cs="Arial" w:eastAsia="Arial" w:hAnsi="Arial"/>
                <w:sz w:val="16"/>
                <w:szCs w:val="16"/>
                <w:b w:val="1"/>
                <w:bCs w:val="1"/>
                <w:color w:val="auto"/>
              </w:rPr>
              <w:t>Broker Non-Votes</w:t>
            </w:r>
          </w:p>
        </w:tc>
      </w:tr>
      <w:tr>
        <w:trPr>
          <w:trHeight w:val="73"/>
        </w:trPr>
        <w:tc>
          <w:tcPr>
            <w:tcW w:w="1980" w:type="dxa"/>
            <w:vAlign w:val="bottom"/>
            <w:tcBorders>
              <w:bottom w:val="single" w:sz="8" w:color="auto"/>
            </w:tcBorders>
          </w:tcPr>
          <w:p>
            <w:pPr>
              <w:spacing w:after="0"/>
              <w:rPr>
                <w:sz w:val="6"/>
                <w:szCs w:val="6"/>
                <w:color w:val="auto"/>
              </w:rPr>
            </w:pPr>
          </w:p>
        </w:tc>
        <w:tc>
          <w:tcPr>
            <w:tcW w:w="160" w:type="dxa"/>
            <w:vAlign w:val="bottom"/>
            <w:tcBorders>
              <w:bottom w:val="single" w:sz="8" w:color="BFE4FF"/>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c>
          <w:tcPr>
            <w:tcW w:w="120" w:type="dxa"/>
            <w:vAlign w:val="bottom"/>
            <w:tcBorders>
              <w:bottom w:val="single" w:sz="8" w:color="BFE4FF"/>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c>
          <w:tcPr>
            <w:tcW w:w="120" w:type="dxa"/>
            <w:vAlign w:val="bottom"/>
            <w:tcBorders>
              <w:bottom w:val="single" w:sz="8" w:color="BFE4FF"/>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r>
      <w:tr>
        <w:trPr>
          <w:trHeight w:val="204"/>
        </w:trPr>
        <w:tc>
          <w:tcPr>
            <w:tcW w:w="1980" w:type="dxa"/>
            <w:vAlign w:val="bottom"/>
            <w:shd w:val="clear" w:color="auto" w:fill="BFE4FF"/>
          </w:tcPr>
          <w:p>
            <w:pPr>
              <w:ind w:left="620"/>
              <w:spacing w:after="0"/>
              <w:rPr>
                <w:sz w:val="20"/>
                <w:szCs w:val="20"/>
                <w:color w:val="auto"/>
              </w:rPr>
            </w:pPr>
            <w:r>
              <w:rPr>
                <w:rFonts w:ascii="Arial" w:cs="Arial" w:eastAsia="Arial" w:hAnsi="Arial"/>
                <w:sz w:val="16"/>
                <w:szCs w:val="16"/>
                <w:color w:val="auto"/>
              </w:rPr>
              <w:t>25,298,168</w:t>
            </w:r>
          </w:p>
        </w:tc>
        <w:tc>
          <w:tcPr>
            <w:tcW w:w="160" w:type="dxa"/>
            <w:vAlign w:val="bottom"/>
            <w:shd w:val="clear" w:color="auto" w:fill="BFE4FF"/>
          </w:tcPr>
          <w:p>
            <w:pPr>
              <w:spacing w:after="0"/>
              <w:rPr>
                <w:sz w:val="17"/>
                <w:szCs w:val="17"/>
                <w:color w:val="auto"/>
              </w:rPr>
            </w:pPr>
          </w:p>
        </w:tc>
        <w:tc>
          <w:tcPr>
            <w:tcW w:w="2000" w:type="dxa"/>
            <w:vAlign w:val="bottom"/>
            <w:shd w:val="clear" w:color="auto" w:fill="BFE4FF"/>
          </w:tcPr>
          <w:p>
            <w:pPr>
              <w:jc w:val="right"/>
              <w:ind w:right="679"/>
              <w:spacing w:after="0"/>
              <w:rPr>
                <w:sz w:val="20"/>
                <w:szCs w:val="20"/>
                <w:color w:val="auto"/>
              </w:rPr>
            </w:pPr>
            <w:r>
              <w:rPr>
                <w:rFonts w:ascii="Arial" w:cs="Arial" w:eastAsia="Arial" w:hAnsi="Arial"/>
                <w:sz w:val="16"/>
                <w:szCs w:val="16"/>
                <w:color w:val="auto"/>
              </w:rPr>
              <w:t>27,128</w:t>
            </w:r>
          </w:p>
        </w:tc>
        <w:tc>
          <w:tcPr>
            <w:tcW w:w="120" w:type="dxa"/>
            <w:vAlign w:val="bottom"/>
            <w:shd w:val="clear" w:color="auto" w:fill="BFE4FF"/>
          </w:tcPr>
          <w:p>
            <w:pPr>
              <w:spacing w:after="0"/>
              <w:rPr>
                <w:sz w:val="17"/>
                <w:szCs w:val="17"/>
                <w:color w:val="auto"/>
              </w:rPr>
            </w:pPr>
          </w:p>
        </w:tc>
        <w:tc>
          <w:tcPr>
            <w:tcW w:w="198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93"/>
              </w:rPr>
              <w:t>222,463</w:t>
            </w:r>
          </w:p>
        </w:tc>
        <w:tc>
          <w:tcPr>
            <w:tcW w:w="120" w:type="dxa"/>
            <w:vAlign w:val="bottom"/>
            <w:shd w:val="clear" w:color="auto" w:fill="BFE4FF"/>
          </w:tcPr>
          <w:p>
            <w:pPr>
              <w:spacing w:after="0"/>
              <w:rPr>
                <w:sz w:val="17"/>
                <w:szCs w:val="17"/>
                <w:color w:val="auto"/>
              </w:rPr>
            </w:pPr>
          </w:p>
        </w:tc>
        <w:tc>
          <w:tcPr>
            <w:tcW w:w="2000" w:type="dxa"/>
            <w:vAlign w:val="bottom"/>
            <w:shd w:val="clear" w:color="auto" w:fill="BFE4FF"/>
          </w:tcPr>
          <w:p>
            <w:pPr>
              <w:ind w:left="960"/>
              <w:spacing w:after="0"/>
              <w:rPr>
                <w:sz w:val="20"/>
                <w:szCs w:val="20"/>
                <w:color w:val="auto"/>
              </w:rPr>
            </w:pPr>
            <w:r>
              <w:rPr>
                <w:rFonts w:ascii="Arial" w:cs="Arial" w:eastAsia="Arial" w:hAnsi="Arial"/>
                <w:sz w:val="16"/>
                <w:szCs w:val="16"/>
                <w:color w:val="auto"/>
              </w:rPr>
              <w:t>—</w:t>
            </w:r>
          </w:p>
        </w:tc>
      </w:tr>
      <w:tr>
        <w:trPr>
          <w:trHeight w:val="33"/>
        </w:trPr>
        <w:tc>
          <w:tcPr>
            <w:tcW w:w="1980" w:type="dxa"/>
            <w:vAlign w:val="bottom"/>
            <w:shd w:val="clear" w:color="auto" w:fill="BFE4FF"/>
          </w:tcPr>
          <w:p>
            <w:pPr>
              <w:spacing w:after="0"/>
              <w:rPr>
                <w:sz w:val="2"/>
                <w:szCs w:val="2"/>
                <w:color w:val="auto"/>
              </w:rPr>
            </w:pPr>
          </w:p>
        </w:tc>
        <w:tc>
          <w:tcPr>
            <w:tcW w:w="160" w:type="dxa"/>
            <w:vAlign w:val="bottom"/>
            <w:shd w:val="clear" w:color="auto" w:fill="BFE4FF"/>
          </w:tcPr>
          <w:p>
            <w:pPr>
              <w:spacing w:after="0"/>
              <w:rPr>
                <w:sz w:val="2"/>
                <w:szCs w:val="2"/>
                <w:color w:val="auto"/>
              </w:rPr>
            </w:pPr>
          </w:p>
        </w:tc>
        <w:tc>
          <w:tcPr>
            <w:tcW w:w="200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198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2000" w:type="dxa"/>
            <w:vAlign w:val="bottom"/>
            <w:shd w:val="clear" w:color="auto" w:fill="BFE4FF"/>
          </w:tcPr>
          <w:p>
            <w:pPr>
              <w:spacing w:after="0"/>
              <w:rPr>
                <w:sz w:val="2"/>
                <w:szCs w:val="2"/>
                <w:color w:val="auto"/>
              </w:rPr>
            </w:pPr>
          </w:p>
        </w:tc>
      </w:tr>
    </w:tbl>
    <w:p>
      <w:pPr>
        <w:spacing w:after="0" w:line="202" w:lineRule="exact"/>
        <w:rPr>
          <w:sz w:val="20"/>
          <w:szCs w:val="20"/>
          <w:color w:val="auto"/>
        </w:rPr>
      </w:pPr>
    </w:p>
    <w:p>
      <w:pPr>
        <w:ind w:left="700" w:hanging="368"/>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Non-binding, advisory approval of compensation paid to the Company’s named executive officers:</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2000" w:type="dxa"/>
            <w:vAlign w:val="bottom"/>
          </w:tcPr>
          <w:p>
            <w:pPr>
              <w:spacing w:after="0"/>
              <w:rPr>
                <w:sz w:val="17"/>
                <w:szCs w:val="17"/>
                <w:color w:val="auto"/>
              </w:rPr>
            </w:pPr>
          </w:p>
        </w:tc>
      </w:tr>
      <w:tr>
        <w:trPr>
          <w:trHeight w:val="210"/>
        </w:trPr>
        <w:tc>
          <w:tcPr>
            <w:tcW w:w="2140" w:type="dxa"/>
            <w:vAlign w:val="bottom"/>
            <w:gridSpan w:val="2"/>
          </w:tcPr>
          <w:p>
            <w:pPr>
              <w:ind w:left="620"/>
              <w:spacing w:after="0"/>
              <w:rPr>
                <w:sz w:val="20"/>
                <w:szCs w:val="20"/>
                <w:color w:val="auto"/>
              </w:rPr>
            </w:pPr>
            <w:r>
              <w:rPr>
                <w:rFonts w:ascii="Arial" w:cs="Arial" w:eastAsia="Arial" w:hAnsi="Arial"/>
                <w:sz w:val="16"/>
                <w:szCs w:val="16"/>
                <w:b w:val="1"/>
                <w:bCs w:val="1"/>
                <w:color w:val="auto"/>
              </w:rPr>
              <w:t>Shares For</w:t>
            </w:r>
          </w:p>
        </w:tc>
        <w:tc>
          <w:tcPr>
            <w:tcW w:w="2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Shares Against</w:t>
            </w:r>
          </w:p>
        </w:tc>
        <w:tc>
          <w:tcPr>
            <w:tcW w:w="2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Withheld/Abstaining</w:t>
            </w:r>
          </w:p>
        </w:tc>
        <w:tc>
          <w:tcPr>
            <w:tcW w:w="2000" w:type="dxa"/>
            <w:vAlign w:val="bottom"/>
          </w:tcPr>
          <w:p>
            <w:pPr>
              <w:jc w:val="right"/>
              <w:ind w:right="299"/>
              <w:spacing w:after="0"/>
              <w:rPr>
                <w:sz w:val="20"/>
                <w:szCs w:val="20"/>
                <w:color w:val="auto"/>
              </w:rPr>
            </w:pPr>
            <w:r>
              <w:rPr>
                <w:rFonts w:ascii="Arial" w:cs="Arial" w:eastAsia="Arial" w:hAnsi="Arial"/>
                <w:sz w:val="16"/>
                <w:szCs w:val="16"/>
                <w:b w:val="1"/>
                <w:bCs w:val="1"/>
                <w:color w:val="auto"/>
              </w:rPr>
              <w:t>Broker Non-Votes</w:t>
            </w:r>
          </w:p>
        </w:tc>
      </w:tr>
      <w:tr>
        <w:trPr>
          <w:trHeight w:val="73"/>
        </w:trPr>
        <w:tc>
          <w:tcPr>
            <w:tcW w:w="1980" w:type="dxa"/>
            <w:vAlign w:val="bottom"/>
            <w:tcBorders>
              <w:bottom w:val="single" w:sz="8" w:color="auto"/>
            </w:tcBorders>
          </w:tcPr>
          <w:p>
            <w:pPr>
              <w:spacing w:after="0"/>
              <w:rPr>
                <w:sz w:val="6"/>
                <w:szCs w:val="6"/>
                <w:color w:val="auto"/>
              </w:rPr>
            </w:pPr>
          </w:p>
        </w:tc>
        <w:tc>
          <w:tcPr>
            <w:tcW w:w="160" w:type="dxa"/>
            <w:vAlign w:val="bottom"/>
            <w:tcBorders>
              <w:bottom w:val="single" w:sz="8" w:color="BFE4FF"/>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c>
          <w:tcPr>
            <w:tcW w:w="120" w:type="dxa"/>
            <w:vAlign w:val="bottom"/>
            <w:tcBorders>
              <w:bottom w:val="single" w:sz="8" w:color="BFE4FF"/>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c>
          <w:tcPr>
            <w:tcW w:w="120" w:type="dxa"/>
            <w:vAlign w:val="bottom"/>
            <w:tcBorders>
              <w:bottom w:val="single" w:sz="8" w:color="BFE4FF"/>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r>
      <w:tr>
        <w:trPr>
          <w:trHeight w:val="204"/>
        </w:trPr>
        <w:tc>
          <w:tcPr>
            <w:tcW w:w="1980" w:type="dxa"/>
            <w:vAlign w:val="bottom"/>
            <w:shd w:val="clear" w:color="auto" w:fill="BFE4FF"/>
          </w:tcPr>
          <w:p>
            <w:pPr>
              <w:ind w:left="620"/>
              <w:spacing w:after="0"/>
              <w:rPr>
                <w:sz w:val="20"/>
                <w:szCs w:val="20"/>
                <w:color w:val="auto"/>
              </w:rPr>
            </w:pPr>
            <w:r>
              <w:rPr>
                <w:rFonts w:ascii="Arial" w:cs="Arial" w:eastAsia="Arial" w:hAnsi="Arial"/>
                <w:sz w:val="16"/>
                <w:szCs w:val="16"/>
                <w:color w:val="auto"/>
              </w:rPr>
              <w:t>23,974,635</w:t>
            </w:r>
          </w:p>
        </w:tc>
        <w:tc>
          <w:tcPr>
            <w:tcW w:w="160" w:type="dxa"/>
            <w:vAlign w:val="bottom"/>
            <w:shd w:val="clear" w:color="auto" w:fill="BFE4FF"/>
          </w:tcPr>
          <w:p>
            <w:pPr>
              <w:spacing w:after="0"/>
              <w:rPr>
                <w:sz w:val="17"/>
                <w:szCs w:val="17"/>
                <w:color w:val="auto"/>
              </w:rPr>
            </w:pPr>
          </w:p>
        </w:tc>
        <w:tc>
          <w:tcPr>
            <w:tcW w:w="2000" w:type="dxa"/>
            <w:vAlign w:val="bottom"/>
            <w:shd w:val="clear" w:color="auto" w:fill="BFE4FF"/>
          </w:tcPr>
          <w:p>
            <w:pPr>
              <w:jc w:val="right"/>
              <w:ind w:right="639"/>
              <w:spacing w:after="0"/>
              <w:rPr>
                <w:sz w:val="20"/>
                <w:szCs w:val="20"/>
                <w:color w:val="auto"/>
              </w:rPr>
            </w:pPr>
            <w:r>
              <w:rPr>
                <w:rFonts w:ascii="Arial" w:cs="Arial" w:eastAsia="Arial" w:hAnsi="Arial"/>
                <w:sz w:val="16"/>
                <w:szCs w:val="16"/>
                <w:color w:val="auto"/>
              </w:rPr>
              <w:t>164,204</w:t>
            </w:r>
          </w:p>
        </w:tc>
        <w:tc>
          <w:tcPr>
            <w:tcW w:w="120" w:type="dxa"/>
            <w:vAlign w:val="bottom"/>
            <w:shd w:val="clear" w:color="auto" w:fill="BFE4FF"/>
          </w:tcPr>
          <w:p>
            <w:pPr>
              <w:spacing w:after="0"/>
              <w:rPr>
                <w:sz w:val="17"/>
                <w:szCs w:val="17"/>
                <w:color w:val="auto"/>
              </w:rPr>
            </w:pPr>
          </w:p>
        </w:tc>
        <w:tc>
          <w:tcPr>
            <w:tcW w:w="198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93"/>
              </w:rPr>
              <w:t>223,013</w:t>
            </w:r>
          </w:p>
        </w:tc>
        <w:tc>
          <w:tcPr>
            <w:tcW w:w="120" w:type="dxa"/>
            <w:vAlign w:val="bottom"/>
            <w:shd w:val="clear" w:color="auto" w:fill="BFE4FF"/>
          </w:tcPr>
          <w:p>
            <w:pPr>
              <w:spacing w:after="0"/>
              <w:rPr>
                <w:sz w:val="17"/>
                <w:szCs w:val="17"/>
                <w:color w:val="auto"/>
              </w:rPr>
            </w:pPr>
          </w:p>
        </w:tc>
        <w:tc>
          <w:tcPr>
            <w:tcW w:w="2000" w:type="dxa"/>
            <w:vAlign w:val="bottom"/>
            <w:shd w:val="clear" w:color="auto" w:fill="BFE4FF"/>
          </w:tcPr>
          <w:p>
            <w:pPr>
              <w:jc w:val="right"/>
              <w:ind w:right="559"/>
              <w:spacing w:after="0"/>
              <w:rPr>
                <w:sz w:val="20"/>
                <w:szCs w:val="20"/>
                <w:color w:val="auto"/>
              </w:rPr>
            </w:pPr>
            <w:r>
              <w:rPr>
                <w:rFonts w:ascii="Arial" w:cs="Arial" w:eastAsia="Arial" w:hAnsi="Arial"/>
                <w:sz w:val="16"/>
                <w:szCs w:val="16"/>
                <w:color w:val="auto"/>
              </w:rPr>
              <w:t>1,185,907</w:t>
            </w:r>
          </w:p>
        </w:tc>
      </w:tr>
      <w:tr>
        <w:trPr>
          <w:trHeight w:val="33"/>
        </w:trPr>
        <w:tc>
          <w:tcPr>
            <w:tcW w:w="1980" w:type="dxa"/>
            <w:vAlign w:val="bottom"/>
            <w:shd w:val="clear" w:color="auto" w:fill="BFE4FF"/>
          </w:tcPr>
          <w:p>
            <w:pPr>
              <w:spacing w:after="0"/>
              <w:rPr>
                <w:sz w:val="2"/>
                <w:szCs w:val="2"/>
                <w:color w:val="auto"/>
              </w:rPr>
            </w:pPr>
          </w:p>
        </w:tc>
        <w:tc>
          <w:tcPr>
            <w:tcW w:w="160" w:type="dxa"/>
            <w:vAlign w:val="bottom"/>
            <w:shd w:val="clear" w:color="auto" w:fill="BFE4FF"/>
          </w:tcPr>
          <w:p>
            <w:pPr>
              <w:spacing w:after="0"/>
              <w:rPr>
                <w:sz w:val="2"/>
                <w:szCs w:val="2"/>
                <w:color w:val="auto"/>
              </w:rPr>
            </w:pPr>
          </w:p>
        </w:tc>
        <w:tc>
          <w:tcPr>
            <w:tcW w:w="200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198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2000" w:type="dxa"/>
            <w:vAlign w:val="bottom"/>
            <w:shd w:val="clear" w:color="auto" w:fill="BFE4FF"/>
          </w:tcPr>
          <w:p>
            <w:pPr>
              <w:spacing w:after="0"/>
              <w:rPr>
                <w:sz w:val="2"/>
                <w:szCs w:val="2"/>
                <w:color w:val="auto"/>
              </w:rPr>
            </w:pPr>
          </w:p>
        </w:tc>
      </w:tr>
    </w:tbl>
    <w:p>
      <w:pPr>
        <w:spacing w:after="0" w:line="202" w:lineRule="exact"/>
        <w:rPr>
          <w:sz w:val="20"/>
          <w:szCs w:val="20"/>
          <w:color w:val="auto"/>
        </w:rPr>
      </w:pPr>
    </w:p>
    <w:p>
      <w:pPr>
        <w:ind w:left="660" w:right="4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Non-binding, advisory vote on the frequency of future voting on the non-binding advisory vote on compensation paid to the Company’s named executive officers:</w:t>
      </w:r>
    </w:p>
    <w:p>
      <w:pPr>
        <w:spacing w:after="0" w:line="117"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2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One Year</w:t>
            </w:r>
          </w:p>
        </w:tc>
        <w:tc>
          <w:tcPr>
            <w:tcW w:w="2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Two Years</w:t>
            </w:r>
          </w:p>
        </w:tc>
        <w:tc>
          <w:tcPr>
            <w:tcW w:w="2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Three Years</w:t>
            </w:r>
          </w:p>
        </w:tc>
        <w:tc>
          <w:tcPr>
            <w:tcW w:w="2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Abstain</w:t>
            </w:r>
          </w:p>
        </w:tc>
        <w:tc>
          <w:tcPr>
            <w:tcW w:w="1900" w:type="dxa"/>
            <w:vAlign w:val="bottom"/>
          </w:tcPr>
          <w:p>
            <w:pPr>
              <w:jc w:val="right"/>
              <w:ind w:right="239"/>
              <w:spacing w:after="0"/>
              <w:rPr>
                <w:sz w:val="20"/>
                <w:szCs w:val="20"/>
                <w:color w:val="auto"/>
              </w:rPr>
            </w:pPr>
            <w:r>
              <w:rPr>
                <w:rFonts w:ascii="Arial" w:cs="Arial" w:eastAsia="Arial" w:hAnsi="Arial"/>
                <w:sz w:val="16"/>
                <w:szCs w:val="16"/>
                <w:b w:val="1"/>
                <w:bCs w:val="1"/>
                <w:color w:val="auto"/>
              </w:rPr>
              <w:t>Broker Non-Votes</w:t>
            </w:r>
          </w:p>
        </w:tc>
      </w:tr>
      <w:tr>
        <w:trPr>
          <w:trHeight w:val="73"/>
        </w:trPr>
        <w:tc>
          <w:tcPr>
            <w:tcW w:w="1980" w:type="dxa"/>
            <w:vAlign w:val="bottom"/>
            <w:tcBorders>
              <w:bottom w:val="single" w:sz="8" w:color="auto"/>
            </w:tcBorders>
          </w:tcPr>
          <w:p>
            <w:pPr>
              <w:spacing w:after="0"/>
              <w:rPr>
                <w:sz w:val="6"/>
                <w:szCs w:val="6"/>
                <w:color w:val="auto"/>
              </w:rPr>
            </w:pPr>
          </w:p>
        </w:tc>
        <w:tc>
          <w:tcPr>
            <w:tcW w:w="100" w:type="dxa"/>
            <w:vAlign w:val="bottom"/>
            <w:tcBorders>
              <w:bottom w:val="single" w:sz="8" w:color="BFE4FF"/>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100" w:type="dxa"/>
            <w:vAlign w:val="bottom"/>
            <w:tcBorders>
              <w:bottom w:val="single" w:sz="8" w:color="BFE4FF"/>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100" w:type="dxa"/>
            <w:vAlign w:val="bottom"/>
            <w:tcBorders>
              <w:bottom w:val="single" w:sz="8" w:color="BFE4FF"/>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100" w:type="dxa"/>
            <w:vAlign w:val="bottom"/>
            <w:tcBorders>
              <w:bottom w:val="single" w:sz="8" w:color="BFE4FF"/>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r>
      <w:tr>
        <w:trPr>
          <w:trHeight w:val="204"/>
        </w:trPr>
        <w:tc>
          <w:tcPr>
            <w:tcW w:w="1980" w:type="dxa"/>
            <w:vAlign w:val="bottom"/>
            <w:shd w:val="clear" w:color="auto" w:fill="BFE4FF"/>
          </w:tcPr>
          <w:p>
            <w:pPr>
              <w:jc w:val="right"/>
              <w:ind w:right="539"/>
              <w:spacing w:after="0"/>
              <w:rPr>
                <w:sz w:val="20"/>
                <w:szCs w:val="20"/>
                <w:color w:val="auto"/>
              </w:rPr>
            </w:pPr>
            <w:r>
              <w:rPr>
                <w:rFonts w:ascii="Arial" w:cs="Arial" w:eastAsia="Arial" w:hAnsi="Arial"/>
                <w:sz w:val="16"/>
                <w:szCs w:val="16"/>
                <w:color w:val="auto"/>
              </w:rPr>
              <w:t>24,292,351</w:t>
            </w:r>
          </w:p>
        </w:tc>
        <w:tc>
          <w:tcPr>
            <w:tcW w:w="100" w:type="dxa"/>
            <w:vAlign w:val="bottom"/>
            <w:shd w:val="clear" w:color="auto" w:fill="BFE4FF"/>
          </w:tcPr>
          <w:p>
            <w:pPr>
              <w:spacing w:after="0"/>
              <w:rPr>
                <w:sz w:val="17"/>
                <w:szCs w:val="17"/>
                <w:color w:val="auto"/>
              </w:rPr>
            </w:pPr>
          </w:p>
        </w:tc>
        <w:tc>
          <w:tcPr>
            <w:tcW w:w="1900" w:type="dxa"/>
            <w:vAlign w:val="bottom"/>
            <w:shd w:val="clear" w:color="auto" w:fill="BFE4FF"/>
          </w:tcPr>
          <w:p>
            <w:pPr>
              <w:jc w:val="right"/>
              <w:ind w:right="639"/>
              <w:spacing w:after="0"/>
              <w:rPr>
                <w:sz w:val="20"/>
                <w:szCs w:val="20"/>
                <w:color w:val="auto"/>
              </w:rPr>
            </w:pPr>
            <w:r>
              <w:rPr>
                <w:rFonts w:ascii="Arial" w:cs="Arial" w:eastAsia="Arial" w:hAnsi="Arial"/>
                <w:sz w:val="16"/>
                <w:szCs w:val="16"/>
                <w:color w:val="auto"/>
              </w:rPr>
              <w:t>13,524</w:t>
            </w:r>
          </w:p>
        </w:tc>
        <w:tc>
          <w:tcPr>
            <w:tcW w:w="100" w:type="dxa"/>
            <w:vAlign w:val="bottom"/>
            <w:shd w:val="clear" w:color="auto" w:fill="BFE4FF"/>
          </w:tcPr>
          <w:p>
            <w:pPr>
              <w:spacing w:after="0"/>
              <w:rPr>
                <w:sz w:val="17"/>
                <w:szCs w:val="17"/>
                <w:color w:val="auto"/>
              </w:rPr>
            </w:pPr>
          </w:p>
        </w:tc>
        <w:tc>
          <w:tcPr>
            <w:tcW w:w="1900" w:type="dxa"/>
            <w:vAlign w:val="bottom"/>
            <w:shd w:val="clear" w:color="auto" w:fill="BFE4FF"/>
          </w:tcPr>
          <w:p>
            <w:pPr>
              <w:jc w:val="right"/>
              <w:ind w:right="639"/>
              <w:spacing w:after="0"/>
              <w:rPr>
                <w:sz w:val="20"/>
                <w:szCs w:val="20"/>
                <w:color w:val="auto"/>
              </w:rPr>
            </w:pPr>
            <w:r>
              <w:rPr>
                <w:rFonts w:ascii="Arial" w:cs="Arial" w:eastAsia="Arial" w:hAnsi="Arial"/>
                <w:sz w:val="16"/>
                <w:szCs w:val="16"/>
                <w:color w:val="auto"/>
              </w:rPr>
              <w:t>53,040</w:t>
            </w:r>
          </w:p>
        </w:tc>
        <w:tc>
          <w:tcPr>
            <w:tcW w:w="100" w:type="dxa"/>
            <w:vAlign w:val="bottom"/>
            <w:shd w:val="clear" w:color="auto" w:fill="BFE4FF"/>
          </w:tcPr>
          <w:p>
            <w:pPr>
              <w:spacing w:after="0"/>
              <w:rPr>
                <w:sz w:val="17"/>
                <w:szCs w:val="17"/>
                <w:color w:val="auto"/>
              </w:rPr>
            </w:pPr>
          </w:p>
        </w:tc>
        <w:tc>
          <w:tcPr>
            <w:tcW w:w="2000" w:type="dxa"/>
            <w:vAlign w:val="bottom"/>
            <w:gridSpan w:val="2"/>
            <w:shd w:val="clear" w:color="auto" w:fill="BFE4FF"/>
          </w:tcPr>
          <w:p>
            <w:pPr>
              <w:jc w:val="center"/>
              <w:ind w:right="80"/>
              <w:spacing w:after="0"/>
              <w:rPr>
                <w:sz w:val="20"/>
                <w:szCs w:val="20"/>
                <w:color w:val="auto"/>
              </w:rPr>
            </w:pPr>
            <w:r>
              <w:rPr>
                <w:rFonts w:ascii="Arial" w:cs="Arial" w:eastAsia="Arial" w:hAnsi="Arial"/>
                <w:sz w:val="16"/>
                <w:szCs w:val="16"/>
                <w:color w:val="auto"/>
                <w:w w:val="99"/>
              </w:rPr>
              <w:t>—</w:t>
            </w:r>
          </w:p>
        </w:tc>
        <w:tc>
          <w:tcPr>
            <w:tcW w:w="1900" w:type="dxa"/>
            <w:vAlign w:val="bottom"/>
            <w:shd w:val="clear" w:color="auto" w:fill="BFE4FF"/>
          </w:tcPr>
          <w:p>
            <w:pPr>
              <w:jc w:val="right"/>
              <w:ind w:right="499"/>
              <w:spacing w:after="0"/>
              <w:rPr>
                <w:sz w:val="20"/>
                <w:szCs w:val="20"/>
                <w:color w:val="auto"/>
              </w:rPr>
            </w:pPr>
            <w:r>
              <w:rPr>
                <w:rFonts w:ascii="Arial" w:cs="Arial" w:eastAsia="Arial" w:hAnsi="Arial"/>
                <w:sz w:val="16"/>
                <w:szCs w:val="16"/>
                <w:color w:val="auto"/>
              </w:rPr>
              <w:t>1,188,844</w:t>
            </w:r>
          </w:p>
        </w:tc>
      </w:tr>
      <w:tr>
        <w:trPr>
          <w:trHeight w:val="33"/>
        </w:trPr>
        <w:tc>
          <w:tcPr>
            <w:tcW w:w="198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190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190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190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1900" w:type="dxa"/>
            <w:vAlign w:val="bottom"/>
            <w:shd w:val="clear" w:color="auto" w:fill="BFE4FF"/>
          </w:tcPr>
          <w:p>
            <w:pPr>
              <w:spacing w:after="0"/>
              <w:rPr>
                <w:sz w:val="2"/>
                <w:szCs w:val="2"/>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3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AnaptysBio, Inc.</w:t>
      </w:r>
    </w:p>
    <w:p>
      <w:pPr>
        <w:spacing w:after="0" w:line="200" w:lineRule="exact"/>
        <w:rPr>
          <w:sz w:val="20"/>
          <w:szCs w:val="20"/>
          <w:color w:val="auto"/>
        </w:rPr>
      </w:pPr>
    </w:p>
    <w:p>
      <w:pPr>
        <w:spacing w:after="0" w:line="259" w:lineRule="exact"/>
        <w:rPr>
          <w:sz w:val="20"/>
          <w:szCs w:val="20"/>
          <w:color w:val="auto"/>
        </w:rPr>
      </w:pPr>
    </w:p>
    <w:p>
      <w:pPr>
        <w:spacing w:after="0"/>
        <w:tabs>
          <w:tab w:leader="none" w:pos="2360" w:val="left"/>
          <w:tab w:leader="none" w:pos="2840" w:val="left"/>
        </w:tabs>
        <w:rPr>
          <w:sz w:val="20"/>
          <w:szCs w:val="20"/>
          <w:color w:val="auto"/>
        </w:rPr>
      </w:pPr>
      <w:r>
        <w:rPr>
          <w:rFonts w:ascii="Arial" w:cs="Arial" w:eastAsia="Arial" w:hAnsi="Arial"/>
          <w:sz w:val="20"/>
          <w:szCs w:val="20"/>
          <w:color w:val="auto"/>
        </w:rPr>
        <w:t>Date: June 11, 2019</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1815465</wp:posOffset>
            </wp:positionH>
            <wp:positionV relativeFrom="paragraph">
              <wp:posOffset>-14605</wp:posOffset>
            </wp:positionV>
            <wp:extent cx="14382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8275" cy="8890"/>
                    </a:xfrm>
                    <a:prstGeom prst="rect">
                      <a:avLst/>
                    </a:prstGeom>
                    <a:noFill/>
                  </pic:spPr>
                </pic:pic>
              </a:graphicData>
            </a:graphic>
          </wp:anchor>
        </w:drawing>
      </w:r>
    </w:p>
    <w:p>
      <w:pPr>
        <w:spacing w:after="0" w:line="20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 Dominic Piscitelli</w:t>
      </w:r>
    </w:p>
    <w:p>
      <w:pPr>
        <w:spacing w:after="0" w:line="5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Title: Chief Financial Officer</w:t>
      </w:r>
    </w:p>
    <w:sectPr>
      <w:pgSz w:w="11900" w:h="16838" w:orient="portrait"/>
      <w:cols w:equalWidth="0" w:num="1">
        <w:col w:w="11300"/>
      </w:cols>
      <w:pgMar w:left="240" w:top="44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2019-12-01T19:04:21Z</dcterms:created>
  <dcterms:modified xsi:type="dcterms:W3CDTF">2019-12-01T19:04:21Z</dcterms:modified>
</cp:coreProperties>
</file>