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1306195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jc w:val="center"/>
        <w:ind w:right="-110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167640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2"/>
          <w:szCs w:val="22"/>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167005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0"/>
        <w:spacing w:after="0" w:line="207" w:lineRule="exact"/>
        <w:tabs>
          <w:tab w:leader="none" w:pos="2080" w:val="left"/>
          <w:tab w:leader="none" w:pos="3980" w:val="left"/>
          <w:tab w:leader="none" w:pos="74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75"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ANAPTYSBIO, INC.</w:t>
      </w:r>
    </w:p>
    <w:p>
      <w:pPr>
        <w:ind w:left="3780"/>
        <w:spacing w:after="0" w:line="219" w:lineRule="auto"/>
        <w:rPr>
          <w:sz w:val="20"/>
          <w:szCs w:val="20"/>
          <w:color w:val="auto"/>
        </w:rPr>
      </w:pPr>
      <w:r>
        <w:rPr>
          <w:rFonts w:ascii="Arial" w:cs="Arial" w:eastAsia="Arial" w:hAnsi="Arial"/>
          <w:sz w:val="18"/>
          <w:szCs w:val="18"/>
          <w:b w:val="1"/>
          <w:bCs w:val="1"/>
          <w:color w:val="auto"/>
        </w:rPr>
        <w:t>(Name of Registrant as Specified In Its Charter)</w:t>
      </w:r>
    </w:p>
    <w:p>
      <w:pPr>
        <w:ind w:left="5460"/>
        <w:spacing w:after="0" w:line="203" w:lineRule="auto"/>
        <w:rPr>
          <w:sz w:val="20"/>
          <w:szCs w:val="20"/>
          <w:color w:val="auto"/>
        </w:rPr>
      </w:pPr>
      <w:r>
        <w:rPr>
          <w:rFonts w:ascii="Arial" w:cs="Arial" w:eastAsia="Arial" w:hAnsi="Arial"/>
          <w:sz w:val="18"/>
          <w:szCs w:val="18"/>
          <w:b w:val="1"/>
          <w:bCs w:val="1"/>
          <w:color w:val="auto"/>
        </w:rPr>
        <w:t>N/A</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00" w:lineRule="exact"/>
        <w:rPr>
          <w:sz w:val="24"/>
          <w:szCs w:val="24"/>
          <w:color w:val="auto"/>
        </w:rPr>
      </w:pPr>
    </w:p>
    <w:p>
      <w:pPr>
        <w:spacing w:after="0" w:line="322" w:lineRule="exact"/>
        <w:rPr>
          <w:sz w:val="24"/>
          <w:szCs w:val="24"/>
          <w:color w:val="auto"/>
        </w:rPr>
      </w:pPr>
    </w:p>
    <w:p>
      <w:pPr>
        <w:ind w:left="920" w:hanging="638"/>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sz w:val="24"/>
          <w:szCs w:val="24"/>
          <w:color w:val="auto"/>
        </w:rPr>
      </w:pPr>
    </w:p>
    <w:p>
      <w:pPr>
        <w:ind w:left="920" w:hanging="638"/>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920" w:hanging="638"/>
        <w:spacing w:after="0"/>
        <w:tabs>
          <w:tab w:leader="none" w:pos="9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903605</wp:posOffset>
            </wp:positionV>
            <wp:extent cx="134556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42037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2023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You are cordially invited to attend the 2023 Annual Meeting of Stockholders of AnaptysBio, Inc. to be held at AnaptysBio’s corporate office at 10770 Wateridge Circle, Suite 210, San Diego, CA 92121, on Thursday, June 15, 2023 at 9:00 a.m. (Pacific Daylight Time).</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27, 2023, we expect to mail to stockholders a Notice of Internet Availability of Proxy Materials containing instructions on how to access our proxy statement for our 2023 Annual Meeting of Stockholders and our 2022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matters to be acted upon at the meeting are described in the accompanying notice of annual meeting and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0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1525905"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Daniel Faga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Interim 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10770 Wateridge Circle, Suite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Thursday, June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108585</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19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NOTICE IS HEREBY GIVEN that the 2023 Annual Meeting of Stockholders of AnaptysBio, Inc. will be held at AnaptysBio’s corporate office at 10770 Wateridge Circle, Suite 210, San Diego, California 92121, on Thursday, June 15, 2023 at 9:00 a.m. (Pacific Daylight Time).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We are holding the meeting for the following purposes, which are more fully described in the accompanying proxy statement:</w:t>
      </w:r>
    </w:p>
    <w:p>
      <w:pPr>
        <w:spacing w:after="0" w:line="196" w:lineRule="exact"/>
        <w:rPr>
          <w:sz w:val="20"/>
          <w:szCs w:val="20"/>
          <w:color w:val="auto"/>
        </w:rPr>
      </w:pPr>
    </w:p>
    <w:p>
      <w:pPr>
        <w:ind w:left="660" w:right="520" w:hanging="328"/>
        <w:spacing w:after="0" w:line="274" w:lineRule="auto"/>
        <w:tabs>
          <w:tab w:leader="none" w:pos="65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three Class III directors, each to serve three-year terms through the third annual meeting of stockholders following this meeting and until a successor has been elected and qualified or until earlier resignation or removal.</w:t>
      </w:r>
    </w:p>
    <w:p>
      <w:pPr>
        <w:spacing w:after="0" w:line="66"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December 31, 2023.</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conduct a non-binding advisory vote on the compensation of our named executive officers as disclosed in the accompanying materials.</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Amended and Restated Certificate of Incorporation to permit the exculpation of officers.</w:t>
      </w:r>
    </w:p>
    <w:p>
      <w:pPr>
        <w:spacing w:after="0" w:line="183" w:lineRule="exact"/>
        <w:rPr>
          <w:sz w:val="20"/>
          <w:szCs w:val="20"/>
          <w:color w:val="auto"/>
        </w:rPr>
      </w:pPr>
    </w:p>
    <w:p>
      <w:pPr>
        <w:ind w:right="920"/>
        <w:spacing w:after="0" w:line="274" w:lineRule="auto"/>
        <w:rPr>
          <w:sz w:val="20"/>
          <w:szCs w:val="20"/>
          <w:color w:val="auto"/>
        </w:rPr>
      </w:pPr>
      <w:r>
        <w:rPr>
          <w:rFonts w:ascii="Arial" w:cs="Arial" w:eastAsia="Arial" w:hAnsi="Arial"/>
          <w:sz w:val="17"/>
          <w:szCs w:val="17"/>
          <w:color w:val="auto"/>
        </w:rPr>
        <w:t>In addition, stockholders may be asked to consider and vote upon such other business as may properly come before the meeting or any adjournment or postponement thereof.</w:t>
      </w:r>
    </w:p>
    <w:p>
      <w:pPr>
        <w:spacing w:after="0" w:line="148"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color w:val="auto"/>
        </w:rPr>
        <w:t>Only stockholders of record at the close of business on April 17, 2023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Your vote as an AnaptysBio, Inc. stockholder is very important. Each share of stock that you own represents one vote.</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 Only stockholders entitled to vote, or their duly authorized representatives, are entitled to attend the meeting. If you intend to attend the meeting in person, you must email info@anaptysbio.com no later than 5:00 p.m. on June 8, 2023 to confirm your attendance.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40640</wp:posOffset>
            </wp:positionV>
            <wp:extent cx="141414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Dr. James N. Topper, M.D., Ph.D.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Chairman of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27, 2023</w:t>
      </w:r>
    </w:p>
    <w:p>
      <w:pPr>
        <w:sectPr>
          <w:pgSz w:w="11900" w:h="16838" w:orient="portrait"/>
          <w:cols w:equalWidth="0" w:num="1">
            <w:col w:w="11220"/>
          </w:cols>
          <w:pgMar w:left="320" w:top="1440" w:right="359" w:bottom="1440" w:gutter="0" w:footer="0" w:header="0"/>
        </w:sectPr>
      </w:pPr>
    </w:p>
    <w:bookmarkStart w:id="3" w:name="page4"/>
    <w:bookmarkEnd w:id="3"/>
    <w:p>
      <w:pPr>
        <w:spacing w:after="0" w:line="311"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15, 2023: The Proxy Statement and our Annual Report on Form 10-K for the fiscal year ended December 31, 2022 are available at http://ir.anaptysbio.com.</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2023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0480" w:type="dxa"/>
            <w:vAlign w:val="bottom"/>
            <w:gridSpan w:val="19"/>
          </w:tcPr>
          <w:p>
            <w:pPr>
              <w:spacing w:after="0"/>
              <w:rPr>
                <w:sz w:val="20"/>
                <w:szCs w:val="20"/>
                <w:color w:val="auto"/>
              </w:rPr>
            </w:pPr>
            <w:r>
              <w:rPr>
                <w:rFonts w:ascii="Arial" w:cs="Arial" w:eastAsia="Arial" w:hAnsi="Arial"/>
                <w:sz w:val="18"/>
                <w:szCs w:val="18"/>
                <w:color w:val="0000FF"/>
              </w:rPr>
              <w:t>INFORMATION ABOUT SOLICITATION AND VOTING</w:t>
            </w:r>
          </w:p>
        </w:tc>
        <w:tc>
          <w:tcPr>
            <w:tcW w:w="180" w:type="dxa"/>
            <w:vAlign w:val="bottom"/>
            <w:gridSpan w:val="2"/>
          </w:tcPr>
          <w:p>
            <w:pPr>
              <w:spacing w:after="0"/>
              <w:rPr>
                <w:sz w:val="20"/>
                <w:szCs w:val="20"/>
                <w:color w:val="auto"/>
              </w:rPr>
            </w:pPr>
            <w:r>
              <w:rPr>
                <w:rFonts w:ascii="Arial" w:cs="Arial" w:eastAsia="Arial" w:hAnsi="Arial"/>
                <w:sz w:val="18"/>
                <w:szCs w:val="18"/>
                <w:color w:val="0000FF"/>
              </w:rPr>
              <w:t>1</w:t>
            </w:r>
          </w:p>
        </w:tc>
      </w:tr>
      <w:tr>
        <w:trPr>
          <w:trHeight w:val="210"/>
        </w:trPr>
        <w:tc>
          <w:tcPr>
            <w:tcW w:w="41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INTERNET AVAILABILITY OF PROXY MATERIALS</w:t>
            </w:r>
          </w:p>
        </w:tc>
        <w:tc>
          <w:tcPr>
            <w:tcW w:w="180" w:type="dxa"/>
            <w:vAlign w:val="bottom"/>
            <w:tcBorders>
              <w:top w:val="single" w:sz="8" w:color="0000FF"/>
            </w:tcBorders>
          </w:tcPr>
          <w:p>
            <w:pPr>
              <w:spacing w:after="0"/>
              <w:rPr>
                <w:sz w:val="18"/>
                <w:szCs w:val="18"/>
                <w:color w:val="auto"/>
              </w:rPr>
            </w:pPr>
          </w:p>
        </w:tc>
        <w:tc>
          <w:tcPr>
            <w:tcW w:w="6160" w:type="dxa"/>
            <w:vAlign w:val="bottom"/>
            <w:gridSpan w:val="8"/>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8"/>
                <w:szCs w:val="18"/>
                <w:color w:val="auto"/>
              </w:rPr>
            </w:pPr>
          </w:p>
        </w:tc>
      </w:tr>
      <w:tr>
        <w:trPr>
          <w:trHeight w:val="209"/>
        </w:trPr>
        <w:tc>
          <w:tcPr>
            <w:tcW w:w="4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7"/>
              </w:rPr>
              <w:t>GENERAL INFORMATION ABOUT THE MEETING</w:t>
            </w:r>
          </w:p>
        </w:tc>
        <w:tc>
          <w:tcPr>
            <w:tcW w:w="6440" w:type="dxa"/>
            <w:vAlign w:val="bottom"/>
            <w:gridSpan w:val="10"/>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8"/>
                <w:szCs w:val="18"/>
                <w:color w:val="auto"/>
              </w:rPr>
            </w:pPr>
          </w:p>
        </w:tc>
      </w:tr>
      <w:tr>
        <w:trPr>
          <w:trHeight w:val="209"/>
        </w:trPr>
        <w:tc>
          <w:tcPr>
            <w:tcW w:w="2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6"/>
              </w:rPr>
              <w:t>GENERAL PROXY INFORMATION</w:t>
            </w:r>
          </w:p>
        </w:tc>
        <w:tc>
          <w:tcPr>
            <w:tcW w:w="7700" w:type="dxa"/>
            <w:vAlign w:val="bottom"/>
            <w:gridSpan w:val="13"/>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8"/>
                <w:szCs w:val="18"/>
                <w:color w:val="auto"/>
              </w:rPr>
            </w:pPr>
          </w:p>
        </w:tc>
      </w:tr>
      <w:tr>
        <w:trPr>
          <w:trHeight w:val="210"/>
        </w:trPr>
        <w:tc>
          <w:tcPr>
            <w:tcW w:w="62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5"/>
              </w:rPr>
              <w:t>CORPORATE GOVERNANCE STANDARDS AND DIRECTOR INDEPENDENCE</w:t>
            </w:r>
          </w:p>
        </w:tc>
        <w:tc>
          <w:tcPr>
            <w:tcW w:w="4240" w:type="dxa"/>
            <w:vAlign w:val="bottom"/>
            <w:gridSpan w:val="5"/>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80" w:type="dxa"/>
            <w:vAlign w:val="bottom"/>
          </w:tcPr>
          <w:p>
            <w:pPr>
              <w:spacing w:after="0"/>
              <w:rPr>
                <w:sz w:val="18"/>
                <w:szCs w:val="18"/>
                <w:color w:val="auto"/>
              </w:rPr>
            </w:pPr>
          </w:p>
        </w:tc>
      </w:tr>
      <w:tr>
        <w:trPr>
          <w:trHeight w:val="209"/>
        </w:trPr>
        <w:tc>
          <w:tcPr>
            <w:tcW w:w="44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4"/>
              </w:rPr>
              <w:t>PROPOSAL NO. 1 ELECTION OF CLASS III DIRECTORS</w:t>
            </w:r>
          </w:p>
        </w:tc>
        <w:tc>
          <w:tcPr>
            <w:tcW w:w="6000" w:type="dxa"/>
            <w:vAlign w:val="bottom"/>
            <w:gridSpan w:val="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10</w:t>
            </w:r>
          </w:p>
        </w:tc>
      </w:tr>
      <w:tr>
        <w:trPr>
          <w:trHeight w:val="210"/>
        </w:trPr>
        <w:tc>
          <w:tcPr>
            <w:tcW w:w="10480" w:type="dxa"/>
            <w:vAlign w:val="bottom"/>
            <w:gridSpan w:val="19"/>
          </w:tcPr>
          <w:p>
            <w:pPr>
              <w:spacing w:after="0"/>
              <w:rPr>
                <w:sz w:val="20"/>
                <w:szCs w:val="20"/>
                <w:color w:val="auto"/>
              </w:rPr>
            </w:pPr>
            <w:r>
              <w:rPr>
                <w:rFonts w:ascii="Arial" w:cs="Arial" w:eastAsia="Arial" w:hAnsi="Arial"/>
                <w:sz w:val="18"/>
                <w:szCs w:val="18"/>
                <w:color w:val="0000FF"/>
              </w:rPr>
              <w:t>PROPOSAL NO. 2 RATIFICATION OF INDEPENDENT REGISTERED PUBLIC ACCOUNTING FIRM</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15</w:t>
            </w:r>
          </w:p>
        </w:tc>
      </w:tr>
      <w:tr>
        <w:trPr>
          <w:trHeight w:val="209"/>
        </w:trPr>
        <w:tc>
          <w:tcPr>
            <w:tcW w:w="77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REPORT OF THE AUDIT COMMITTEE</w:t>
            </w:r>
          </w:p>
        </w:tc>
        <w:tc>
          <w:tcPr>
            <w:tcW w:w="2700" w:type="dxa"/>
            <w:vAlign w:val="bottom"/>
            <w:gridSpan w:val="3"/>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16</w:t>
            </w:r>
          </w:p>
        </w:tc>
      </w:tr>
      <w:tr>
        <w:trPr>
          <w:trHeight w:val="20"/>
        </w:trPr>
        <w:tc>
          <w:tcPr>
            <w:tcW w:w="1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480" w:type="dxa"/>
            <w:vAlign w:val="bottom"/>
            <w:gridSpan w:val="19"/>
          </w:tcPr>
          <w:p>
            <w:pPr>
              <w:spacing w:after="0"/>
              <w:rPr>
                <w:sz w:val="20"/>
                <w:szCs w:val="20"/>
                <w:color w:val="auto"/>
              </w:rPr>
            </w:pPr>
            <w:r>
              <w:rPr>
                <w:rFonts w:ascii="Arial" w:cs="Arial" w:eastAsia="Arial" w:hAnsi="Arial"/>
                <w:sz w:val="18"/>
                <w:szCs w:val="18"/>
                <w:color w:val="0000FF"/>
              </w:rPr>
              <w:t>PROPOSAL NO. 3 NON-BINDING ADVISORY VOTE ON COMPENSATION OF OUR NAMED EXECUTIVE OFFICERS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17</w:t>
            </w:r>
          </w:p>
        </w:tc>
      </w:tr>
      <w:tr>
        <w:trPr>
          <w:trHeight w:val="210"/>
        </w:trPr>
        <w:tc>
          <w:tcPr>
            <w:tcW w:w="82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4"/>
              </w:rPr>
              <w:t>PROPOSAL NO. 4 APPROVAL OF AN AMENDED AND RESTATED CERTIFICATE OF INCORPORATION</w:t>
            </w:r>
          </w:p>
        </w:tc>
        <w:tc>
          <w:tcPr>
            <w:tcW w:w="1020" w:type="dxa"/>
            <w:vAlign w:val="bottom"/>
            <w:tcBorders>
              <w:top w:val="single" w:sz="8" w:color="0000FF"/>
            </w:tcBorders>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18</w:t>
            </w:r>
          </w:p>
        </w:tc>
      </w:tr>
      <w:tr>
        <w:trPr>
          <w:trHeight w:val="209"/>
        </w:trPr>
        <w:tc>
          <w:tcPr>
            <w:tcW w:w="1048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19</w:t>
            </w:r>
          </w:p>
        </w:tc>
      </w:tr>
      <w:tr>
        <w:trPr>
          <w:trHeight w:val="209"/>
        </w:trPr>
        <w:tc>
          <w:tcPr>
            <w:tcW w:w="672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EXECUTIVE OFFICERS</w:t>
            </w:r>
          </w:p>
        </w:tc>
        <w:tc>
          <w:tcPr>
            <w:tcW w:w="3760" w:type="dxa"/>
            <w:vAlign w:val="bottom"/>
            <w:gridSpan w:val="4"/>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22</w:t>
            </w:r>
          </w:p>
        </w:tc>
      </w:tr>
      <w:tr>
        <w:trPr>
          <w:trHeight w:val="20"/>
        </w:trPr>
        <w:tc>
          <w:tcPr>
            <w:tcW w:w="1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EXECUTIVE COMPENSATION</w:t>
            </w:r>
          </w:p>
        </w:tc>
        <w:tc>
          <w:tcPr>
            <w:tcW w:w="804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26</w:t>
            </w:r>
          </w:p>
        </w:tc>
      </w:tr>
      <w:tr>
        <w:trPr>
          <w:trHeight w:val="209"/>
        </w:trPr>
        <w:tc>
          <w:tcPr>
            <w:tcW w:w="3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EQUITY COMPENSATION PLAN INFORMATION</w:t>
            </w:r>
          </w:p>
        </w:tc>
        <w:tc>
          <w:tcPr>
            <w:tcW w:w="6580" w:type="dxa"/>
            <w:vAlign w:val="bottom"/>
            <w:gridSpan w:val="11"/>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36</w:t>
            </w:r>
          </w:p>
        </w:tc>
      </w:tr>
      <w:tr>
        <w:trPr>
          <w:trHeight w:val="210"/>
        </w:trPr>
        <w:tc>
          <w:tcPr>
            <w:tcW w:w="10480" w:type="dxa"/>
            <w:vAlign w:val="bottom"/>
            <w:gridSpan w:val="19"/>
          </w:tcPr>
          <w:p>
            <w:pPr>
              <w:spacing w:after="0"/>
              <w:rPr>
                <w:sz w:val="20"/>
                <w:szCs w:val="20"/>
                <w:color w:val="auto"/>
              </w:rPr>
            </w:pPr>
            <w:r>
              <w:rPr>
                <w:rFonts w:ascii="Arial" w:cs="Arial" w:eastAsia="Arial" w:hAnsi="Arial"/>
                <w:sz w:val="18"/>
                <w:szCs w:val="18"/>
                <w:color w:val="0000FF"/>
              </w:rPr>
              <w:t>CERTAIN RELATIONSHIPS AND RELATED-PARTY TRANSACTIONS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37</w:t>
            </w:r>
          </w:p>
        </w:tc>
      </w:tr>
      <w:tr>
        <w:trPr>
          <w:trHeight w:val="210"/>
        </w:trPr>
        <w:tc>
          <w:tcPr>
            <w:tcW w:w="2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ADDITIONAL INFORMATION</w:t>
            </w:r>
          </w:p>
        </w:tc>
        <w:tc>
          <w:tcPr>
            <w:tcW w:w="3080" w:type="dxa"/>
            <w:vAlign w:val="bottom"/>
            <w:tcBorders>
              <w:top w:val="single" w:sz="8" w:color="0000FF"/>
            </w:tcBorders>
            <w:gridSpan w:val="9"/>
          </w:tcPr>
          <w:p>
            <w:pPr>
              <w:spacing w:after="0"/>
              <w:rPr>
                <w:sz w:val="18"/>
                <w:szCs w:val="18"/>
                <w:color w:val="auto"/>
              </w:rPr>
            </w:pPr>
          </w:p>
        </w:tc>
        <w:tc>
          <w:tcPr>
            <w:tcW w:w="5000" w:type="dxa"/>
            <w:vAlign w:val="bottom"/>
            <w:gridSpan w:val="6"/>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38</w:t>
            </w:r>
          </w:p>
        </w:tc>
      </w:tr>
      <w:tr>
        <w:trPr>
          <w:trHeight w:val="210"/>
        </w:trPr>
        <w:tc>
          <w:tcPr>
            <w:tcW w:w="14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OTHER MATTERS</w:t>
            </w:r>
          </w:p>
        </w:tc>
        <w:tc>
          <w:tcPr>
            <w:tcW w:w="90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40</w:t>
            </w:r>
          </w:p>
        </w:tc>
      </w:tr>
      <w:tr>
        <w:trPr>
          <w:trHeight w:val="209"/>
        </w:trPr>
        <w:tc>
          <w:tcPr>
            <w:tcW w:w="10480" w:type="dxa"/>
            <w:vAlign w:val="bottom"/>
            <w:gridSpan w:val="19"/>
          </w:tcPr>
          <w:p>
            <w:pPr>
              <w:spacing w:after="0"/>
              <w:rPr>
                <w:sz w:val="20"/>
                <w:szCs w:val="20"/>
                <w:color w:val="auto"/>
              </w:rPr>
            </w:pPr>
            <w:r>
              <w:rPr>
                <w:rFonts w:ascii="Arial" w:cs="Arial" w:eastAsia="Arial" w:hAnsi="Arial"/>
                <w:sz w:val="18"/>
                <w:szCs w:val="18"/>
                <w:color w:val="0000FF"/>
              </w:rPr>
              <w:t>APPENDIX A</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41</w:t>
            </w:r>
          </w:p>
        </w:tc>
      </w:tr>
      <w:tr>
        <w:trPr>
          <w:trHeight w:val="20"/>
        </w:trPr>
        <w:tc>
          <w:tcPr>
            <w:tcW w:w="10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15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ANAPTYSBIO, INC.</w:t>
      </w:r>
    </w:p>
    <w:p>
      <w:pPr>
        <w:jc w:val="center"/>
        <w:spacing w:after="0" w:line="203" w:lineRule="auto"/>
        <w:rPr>
          <w:sz w:val="20"/>
          <w:szCs w:val="20"/>
          <w:color w:val="auto"/>
        </w:rPr>
      </w:pPr>
      <w:r>
        <w:rPr>
          <w:rFonts w:ascii="Arial" w:cs="Arial" w:eastAsia="Arial" w:hAnsi="Arial"/>
          <w:sz w:val="18"/>
          <w:szCs w:val="18"/>
          <w:b w:val="1"/>
          <w:bCs w:val="1"/>
          <w:color w:val="auto"/>
        </w:rPr>
        <w:t>10770 Wateridge Circle, Suite 210</w:t>
      </w: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098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Thursday, June 15,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accompanying proxy is solicited on behalf of AnaptysBio, Inc.’s board of directors for use at AnaptysBio’s 2023 Annual Meeting of Stockholders (“Annual Meeting”) to be held at AnaptysBio’s corporate office at 10770 Wateridge Circle, Suite 210, San Diego, California 92121, on Thursday, June 15, 2023 at 9:00 a.m. (Pacific Daylight Time), and any adjournment or postponement thereof.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rules adopted by the Securities and Exchange Commission (“SEC”), we are furnishing proxy materials to our stockholders primarily via the Internet, instead of mailing printed copies to each stockholder. On or about April 27, 2023,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Meeting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Quorum</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Only holders of record of common stock at the close of business on April 17, 2023, the record date, will be entitled to vote at the meeting. At the close of business on April 17, 2023, 26,883,568 shares of common stock were outstanding and entitled to vote.</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GENERAL PROXY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shares of common stock is entitled to one vote for each share of common stock held as of the close of business on April 17, 2023,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on April 17, 2023, your shares were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on April 17, 2023, your shares were held in an account with a brokerage firm,</w:t>
      </w:r>
      <w:r>
        <w:rPr>
          <w:rFonts w:ascii="Arial" w:cs="Arial" w:eastAsia="Arial" w:hAnsi="Arial"/>
          <w:sz w:val="16"/>
          <w:szCs w:val="16"/>
          <w:i w:val="1"/>
          <w:iCs w:val="1"/>
          <w:color w:val="auto"/>
        </w:rPr>
        <w:t xml:space="preserve"> </w:t>
      </w:r>
      <w:r>
        <w:rPr>
          <w:rFonts w:ascii="Arial" w:cs="Arial" w:eastAsia="Arial" w:hAnsi="Arial"/>
          <w:sz w:val="16"/>
          <w:szCs w:val="16"/>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Each director will be elected by a plurality of the votes cast at the meeting. This means that the three individuals nominated for election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at the meeting receiving the highest number of votes cast “FOR” that nominee will be elected. You may either vote “FOR” one or more of the nominees or “WITHHOLD” your vote with respect to any or all of nominees. You may not cumulate votes in the election of directors.</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Proposal 2: </w:t>
      </w:r>
      <w:r>
        <w:rPr>
          <w:rFonts w:ascii="Arial" w:cs="Arial" w:eastAsia="Arial" w:hAnsi="Arial"/>
          <w:sz w:val="18"/>
          <w:szCs w:val="18"/>
          <w:color w:val="auto"/>
        </w:rPr>
        <w:t>Approval of the ratification of the appointment of our independent registered public accounting firm will be obtained if the number of 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 “FOR” the proposal at the meeting exceeds the number of votes cast “AGAINST” the proposal.</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Proposal 3: </w:t>
      </w:r>
      <w:r>
        <w:rPr>
          <w:rFonts w:ascii="Arial" w:cs="Arial" w:eastAsia="Arial" w:hAnsi="Arial"/>
          <w:sz w:val="18"/>
          <w:szCs w:val="18"/>
          <w:color w:val="auto"/>
        </w:rPr>
        <w:t>The advisory vote on named executive officer compensation will be obtained if the number of votes cast “FOR” the proposal at the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exceeds the number of votes cast “AGAINST” the proposal. This vote is advisory and non-binding in nature.</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Approval of our Amended and Restated Certificate of Incorporation will be obtained if the holders of a majority of our outstanding shares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proposal at the meeting.</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the election of directors, the ratification of the appointment of KPMG LLP or the advisory vote on our named executive officer compensation. Abstentions and broker non-votes will have the effect of an “against” vote for the proposal to approve the Amended and Restated Certificate of Incorporation. Proposal 2 is considered a routine proposal and is subject to the discretionary vote of the broker.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 of Directors on Each of the Proposals Scheduled to be Voted on at the Meeting</w:t>
      </w:r>
    </w:p>
    <w:p>
      <w:pPr>
        <w:spacing w:after="0" w:line="1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Class III directors named in this proxy statement (Proposal 1),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KPMG LLP as our independent registered public accounting firm for the fiscal year ending December 31, 2023 (Proposal 2), “</w:t>
      </w:r>
      <w:r>
        <w:rPr>
          <w:rFonts w:ascii="Arial" w:cs="Arial" w:eastAsia="Arial" w:hAnsi="Arial"/>
          <w:sz w:val="18"/>
          <w:szCs w:val="18"/>
          <w:b w:val="1"/>
          <w:bCs w:val="1"/>
          <w:color w:val="auto"/>
        </w:rPr>
        <w:t>FOR</w:t>
      </w:r>
      <w:r>
        <w:rPr>
          <w:rFonts w:ascii="Arial" w:cs="Arial" w:eastAsia="Arial" w:hAnsi="Arial"/>
          <w:sz w:val="18"/>
          <w:szCs w:val="18"/>
          <w:color w:val="auto"/>
        </w:rPr>
        <w:t>” the non-binding advisory vote on named executive officer compensation (Proposal 3), and “</w:t>
      </w:r>
      <w:r>
        <w:rPr>
          <w:rFonts w:ascii="Arial" w:cs="Arial" w:eastAsia="Arial" w:hAnsi="Arial"/>
          <w:sz w:val="18"/>
          <w:szCs w:val="18"/>
          <w:b w:val="1"/>
          <w:bCs w:val="1"/>
          <w:color w:val="auto"/>
        </w:rPr>
        <w:t>FOR</w:t>
      </w:r>
      <w:r>
        <w:rPr>
          <w:rFonts w:ascii="Arial" w:cs="Arial" w:eastAsia="Arial" w:hAnsi="Arial"/>
          <w:sz w:val="18"/>
          <w:szCs w:val="18"/>
          <w:color w:val="auto"/>
        </w:rPr>
        <w:t>” the approval of an Amended and Restated Certificate of Incorporation to permit the exculpation of officers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6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Voting Instructions; Voting of Proxies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in person - we will provide a ballot to stockholders who attend the meeting and wish to vote in person;</w:t>
      </w:r>
    </w:p>
    <w:p>
      <w:pPr>
        <w:spacing w:after="0" w:line="10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through the Internet or by telephone - in order to do so, please follow the instructions shown on your Notice of Internet Availability or proxy card; or</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by mail - if you request or receive a paper proxy card and voting instructions by mail, simply complete, sign and date the proxy card and return it as soon as possible before the meeting in the envelope provided.</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Votes submitted through the Internet or by telephone must be received by 11:59 p.m., Eastern Time, on June 14, 2023.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w:t>
      </w:r>
    </w:p>
    <w:p>
      <w:pPr>
        <w:spacing w:after="0" w:line="1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Proposal 1, you may vote “FOR” each of the nominees to the board of directors or you may withhold your vote from any nominee you specify. A withhold vote will have the same effect as a vote to abstain.</w:t>
      </w:r>
    </w:p>
    <w:p>
      <w:pPr>
        <w:spacing w:after="0" w:line="116"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For Proposal 2, Proposal 3 and Proposal 4, you may vote “FOR” or “AGAINST” or “ABSTAIN” from voting. Your vote is important. Whether or not you plan to attend the meeting, we urge you to vote by proxy to ensure that your vote is counted.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5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stockholder of record who has given a proxy may revoke it at any time before the closing of the polls by the inspector of elections at the meeting by:</w:t>
      </w:r>
    </w:p>
    <w:p>
      <w:pPr>
        <w:spacing w:after="0" w:line="14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to our Corporate Secretary (by any means) a written notice stating that the proxy is revoked;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signing and delivering a proxy bearing a later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and voting at the meeting (although attendance at the meeting will not, by itself, revoke a proxy).</w:t>
      </w:r>
    </w:p>
    <w:p>
      <w:pPr>
        <w:sectPr>
          <w:pgSz w:w="11900" w:h="16838" w:orient="portrait"/>
          <w:cols w:equalWidth="0" w:num="1">
            <w:col w:w="11220"/>
          </w:cols>
          <w:pgMar w:left="320" w:top="13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336" w:right="359" w:bottom="1440" w:gutter="0" w:footer="0" w:header="0"/>
          <w:type w:val="continuous"/>
        </w:sectPr>
      </w:pPr>
    </w:p>
    <w:bookmarkStart w:id="7" w:name="page8"/>
    <w:bookmarkEnd w:id="7"/>
    <w:p>
      <w:pPr>
        <w:ind w:right="160"/>
        <w:spacing w:after="0" w:line="277" w:lineRule="auto"/>
        <w:rPr>
          <w:sz w:val="20"/>
          <w:szCs w:val="20"/>
          <w:color w:val="auto"/>
        </w:rPr>
      </w:pPr>
      <w:r>
        <w:rPr>
          <w:rFonts w:ascii="Arial" w:cs="Arial" w:eastAsia="Arial" w:hAnsi="Arial"/>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the Proxy Materials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Notice of Internet Availability will provide you with instructions regarding how to:</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view our proxy materials for the meeting through the Internet;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instruct us to mail paper copies of our future proxy materials to you;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1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65"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 STANDARDS AND DIRECTOR INDEPENDENCE</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02"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positions of Chief Executive Officer and Chairman of our board of directors are held by two different individuals. Daniel Faga has served as our Interim President and Chief Executive Officer since March 21, 2022. Dr. James Topper serves as Chairman of our board of directors. This separated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Our board of directors also has a Lead Independent Director, Mr. Hollings Renton.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common stock is listed on The Nasdaq Global Select Market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 Fenton, Dr. Jain, Dr. Marquet, Mr. Renton, Mr. Schmid, Dr. Topper, Mr. Nodelman and Dr. Ware, representing eight of our nine directors, are “independent directors” as defined under the applicable rules and regulations of the SEC, and the listing requirements and rules of Nasdaq. Our board of directors determined that Mr. Faga was an independent director during fiscal year 2021.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61" w:right="339" w:bottom="1440" w:gutter="0" w:footer="0" w:header="0"/>
        </w:sectPr>
      </w:pPr>
    </w:p>
    <w:bookmarkStart w:id="9" w:name="page10"/>
    <w:bookmarkEnd w:id="9"/>
    <w:p>
      <w:pPr>
        <w:ind w:right="100"/>
        <w:spacing w:after="0" w:line="279" w:lineRule="auto"/>
        <w:rPr>
          <w:sz w:val="20"/>
          <w:szCs w:val="20"/>
          <w:color w:val="auto"/>
        </w:rPr>
      </w:pPr>
      <w:r>
        <w:rPr>
          <w:rFonts w:ascii="Arial" w:cs="Arial" w:eastAsia="Arial" w:hAnsi="Arial"/>
          <w:sz w:val="17"/>
          <w:szCs w:val="17"/>
          <w:color w:val="auto"/>
        </w:rPr>
        <w:t>Faga is currently not independent given his role as our Interim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audit committee is composed of Dr. Marquet, Mr. Schmid and Dr. Ware. Mr. Schmid is the chairperson of our audit committee. Dr. Marquet, Mr. Schmid and Dr. Ware each meet the requirements for independence under the current Nasdaq listing standards and SEC rules and regulations. Each member of our audit committee is financially literate. In addition, our board of directors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selecting and hiring our registered independent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assisting the board of directors with risk assessment and management, including cybersecurity risk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compensation committee is composed of Dr. Fenton, Dr. Jain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8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and director compensation arrangements, plans, policies and programs;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any other board of director responsibilities relating to executive compensation;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our compensation policies for elements of risk;</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with management the disclosures contained under the caption “Compensation Discussion and Analysis” for use in our annual proxy statement, if required;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performing the other responsibilities set forth in its charters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165" w:right="39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t>Our compensation committee retained an independent compensation consultant, Compensia, Inc. (“Compensia”), a national compensation consulting firm, to assist in structuring our executive officer and director compensation on an ongoing basis.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that would compromise its independence or pose a conflict of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nominating and corporate governance committee is composed of Mr. Nodelman,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14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corporate governance guidelines and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board of directors and its committees meet regularly throughout the year and also hold special meetings and act by written consent from time to time. During 2022, the board of directors held five meetings, including by videoconference, the audit committee held four meetings, the compensation committee held five meetings and the nominating and corporate governance committee held two meetings. During 2022, none of the directors attended fewer than</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Board Attendance at Annual Stockholders’ Meeting</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Nine directors were in attendance at our 2022 annual meeting of stockholders. We invite and encourage each member of our board of directors to attend our annual meetings of stockholders, however, we do not have a formal policy regarding attendance of annual meetings by the members of our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Directors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10770 Wateridge Circle, Suite 210, San Diego, CA 92121.</w:t>
      </w:r>
    </w:p>
    <w:p>
      <w:pPr>
        <w:spacing w:after="0" w:line="14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 In addition, on our board of directors there are three directors who hold medical doctorates and three directors who hold doctorates in scientific fields. Members of our Board self-identify as set forth in the table below. Each of the categories listed in the table below has the meaning set forth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2392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9204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April 7,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Number of Directors</w:t>
            </w:r>
          </w:p>
        </w:tc>
        <w:tc>
          <w:tcPr>
            <w:tcW w:w="10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left="172"/>
              <w:spacing w:after="0"/>
              <w:rPr>
                <w:sz w:val="20"/>
                <w:szCs w:val="20"/>
                <w:color w:val="auto"/>
              </w:rPr>
            </w:pPr>
            <w:r>
              <w:rPr>
                <w:rFonts w:ascii="Arial" w:cs="Arial" w:eastAsia="Arial" w:hAnsi="Arial"/>
                <w:sz w:val="18"/>
                <w:szCs w:val="18"/>
                <w:color w:val="auto"/>
                <w:w w:val="79"/>
              </w:rPr>
              <w:t>9</w:t>
            </w:r>
          </w:p>
        </w:tc>
        <w:tc>
          <w:tcPr>
            <w:tcW w:w="19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120" w:type="dxa"/>
            <w:vAlign w:val="bottom"/>
            <w:tcBorders>
              <w:right w:val="single" w:sz="8" w:color="auto"/>
            </w:tcBorders>
            <w:shd w:val="clear" w:color="auto" w:fill="E5E5E5"/>
          </w:tcPr>
          <w:p>
            <w:pPr>
              <w:spacing w:after="0"/>
              <w:rPr>
                <w:sz w:val="11"/>
                <w:szCs w:val="11"/>
                <w:color w:val="auto"/>
              </w:rPr>
            </w:pPr>
          </w:p>
        </w:tc>
        <w:tc>
          <w:tcPr>
            <w:tcW w:w="1020" w:type="dxa"/>
            <w:vAlign w:val="bottom"/>
            <w:tcBorders>
              <w:right w:val="single" w:sz="8" w:color="auto"/>
            </w:tcBorders>
            <w:vMerge w:val="restart"/>
            <w:shd w:val="clear" w:color="auto" w:fill="E5E5E5"/>
          </w:tcPr>
          <w:p>
            <w:pPr>
              <w:ind w:left="260"/>
              <w:spacing w:after="0"/>
              <w:rPr>
                <w:sz w:val="20"/>
                <w:szCs w:val="20"/>
                <w:color w:val="auto"/>
              </w:rPr>
            </w:pPr>
            <w:r>
              <w:rPr>
                <w:rFonts w:ascii="Arial" w:cs="Arial" w:eastAsia="Arial" w:hAnsi="Arial"/>
                <w:sz w:val="14"/>
                <w:szCs w:val="14"/>
                <w:b w:val="1"/>
                <w:bCs w:val="1"/>
                <w:color w:val="auto"/>
              </w:rPr>
              <w:t>Woman</w:t>
            </w:r>
          </w:p>
        </w:tc>
        <w:tc>
          <w:tcPr>
            <w:tcW w:w="960" w:type="dxa"/>
            <w:vAlign w:val="bottom"/>
            <w:tcBorders>
              <w:right w:val="single" w:sz="8" w:color="auto"/>
            </w:tcBorders>
            <w:vMerge w:val="restart"/>
            <w:shd w:val="clear" w:color="auto" w:fill="E5E5E5"/>
          </w:tcPr>
          <w:p>
            <w:pPr>
              <w:ind w:left="320"/>
              <w:spacing w:after="0"/>
              <w:rPr>
                <w:sz w:val="20"/>
                <w:szCs w:val="20"/>
                <w:color w:val="auto"/>
              </w:rPr>
            </w:pPr>
            <w:r>
              <w:rPr>
                <w:rFonts w:ascii="Arial" w:cs="Arial" w:eastAsia="Arial" w:hAnsi="Arial"/>
                <w:sz w:val="14"/>
                <w:szCs w:val="14"/>
                <w:b w:val="1"/>
                <w:bCs w:val="1"/>
                <w:color w:val="auto"/>
              </w:rPr>
              <w:t>Man</w:t>
            </w:r>
          </w:p>
        </w:tc>
        <w:tc>
          <w:tcPr>
            <w:tcW w:w="1220" w:type="dxa"/>
            <w:vAlign w:val="bottom"/>
            <w:tcBorders>
              <w:right w:val="single" w:sz="8" w:color="auto"/>
            </w:tcBorders>
            <w:vMerge w:val="restart"/>
            <w:shd w:val="clear" w:color="auto" w:fill="E5E5E5"/>
          </w:tcPr>
          <w:p>
            <w:pPr>
              <w:ind w:left="240"/>
              <w:spacing w:after="0"/>
              <w:rPr>
                <w:sz w:val="20"/>
                <w:szCs w:val="20"/>
                <w:color w:val="auto"/>
              </w:rPr>
            </w:pPr>
            <w:r>
              <w:rPr>
                <w:rFonts w:ascii="Arial" w:cs="Arial" w:eastAsia="Arial" w:hAnsi="Arial"/>
                <w:sz w:val="14"/>
                <w:szCs w:val="14"/>
                <w:b w:val="1"/>
                <w:bCs w:val="1"/>
                <w:color w:val="auto"/>
              </w:rPr>
              <w:t>Non-Binary</w:t>
            </w:r>
          </w:p>
        </w:tc>
        <w:tc>
          <w:tcPr>
            <w:tcW w:w="1900" w:type="dxa"/>
            <w:vAlign w:val="bottom"/>
            <w:shd w:val="clear" w:color="auto" w:fill="E5E5E5"/>
          </w:tcPr>
          <w:p>
            <w:pPr>
              <w:ind w:left="420"/>
              <w:spacing w:after="0" w:line="133" w:lineRule="exact"/>
              <w:rPr>
                <w:sz w:val="20"/>
                <w:szCs w:val="20"/>
                <w:color w:val="auto"/>
              </w:rPr>
            </w:pPr>
            <w:r>
              <w:rPr>
                <w:rFonts w:ascii="Arial" w:cs="Arial" w:eastAsia="Arial" w:hAnsi="Arial"/>
                <w:sz w:val="14"/>
                <w:szCs w:val="14"/>
                <w:b w:val="1"/>
                <w:bCs w:val="1"/>
                <w:color w:val="auto"/>
              </w:rPr>
              <w:t>Did Not Disclose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120" w:type="dxa"/>
            <w:vAlign w:val="bottom"/>
            <w:tcBorders>
              <w:bottom w:val="single" w:sz="8" w:color="auto"/>
              <w:right w:val="single" w:sz="8" w:color="auto"/>
            </w:tcBorders>
            <w:shd w:val="clear" w:color="auto" w:fill="E5E5E5"/>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96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122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190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4"/>
                <w:szCs w:val="14"/>
                <w:b w:val="1"/>
                <w:bCs w:val="1"/>
                <w:color w:val="auto"/>
              </w:rPr>
              <w:t>Gender</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Gender Identity</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Directors</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2</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Demographic Background</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African American or Black</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Alaskan Native or Native American</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Asian</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1</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Hispanic or Latinx</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1</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Native Hawaiian or Pacific Islander</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White</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Two or More Races or Ethnicities</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LGBTQ+</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Did Not Disclose Demographic Background</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161" w:right="339" w:bottom="1440" w:gutter="0" w:footer="0" w:header="0"/>
          <w:type w:val="continuous"/>
        </w:sectPr>
      </w:pPr>
    </w:p>
    <w:bookmarkStart w:id="12" w:name="page13"/>
    <w:bookmarkEnd w:id="12"/>
    <w:p>
      <w:pPr>
        <w:spacing w:after="0" w:line="273" w:lineRule="auto"/>
        <w:rPr>
          <w:sz w:val="20"/>
          <w:szCs w:val="20"/>
          <w:color w:val="auto"/>
        </w:rPr>
      </w:pPr>
      <w:r>
        <w:rPr>
          <w:rFonts w:ascii="Arial" w:cs="Arial" w:eastAsia="Arial" w:hAnsi="Arial"/>
          <w:sz w:val="17"/>
          <w:szCs w:val="17"/>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regarding the nominee and proposing stockholder as specified in our Bylaws, and certain representations regarding the nomination.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 In addition to satisfying the foregoing requirements under the Bylaws, to comply with the universal proxy rules, stockholders who intend to solicit proxies in support of director nominees other than the Company’s nominees for the 2024 Annual Meeting of Stockholders must provide notice that sets forth the information required by Rule 14a-19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165" w:right="3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III DIRECTORS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board of directors is divided into three classes. Each class serves for three years, with the terms of office of the respective classes expiring in successive years. Directors and director nominees in Class III will stand for election at this meeting. The terms of office of directors in Class II and Class I do not expire until the annual meetings of stockholders to be held in 2025 and 2024,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Class III directors, whose terms will expire at this Annual Meeting, are Dr. Marquet, Mr. Renton and Mr. Schmid.</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nominating and corporate governance committee recommended to our board of directors, and our board of directors nominated, Dr. Marquet, Mr. Renton and Mr. Schmid, each an incumbent Class III director, for election as Class III directors at the Annual Meeting. At the recommendation of our nominating and corporate governance committee, our board of directors proposes that each of Dr. Marquet, Mr. Renton and Mr. Schmid be elected as a Class III director for a three-year term expiring at the annual meeting of stockholders to be held in 2026 and until such director’s successor is duly elected and qualified or until such director’s earlier resignation or removal.</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director will be elected by a plurality of the votes present in person or represented by proxy at the meeting and entitled to vote on the election of directors. This means that the three individuals nominated for election to the board of directors at the meeting receiving the highest number of “FOR” votes will be elected. You may either vote “FOR” one or more nominees or “WITHHOLD” your vote with respect to any or all of the individuals nominated for election to the board of directors. A “WITHHOLD” vote will have the same effect as an abstention. You may not cumulate votes in the election of directors. Shares represented by proxies will be voted “FOR” the election of each of the Class III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the Board of Directors</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nominees and their ages are provided in the table below. Additional biographical information for each nominee is set forth in the text below the table.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32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b w:val="1"/>
                <w:bCs w:val="1"/>
                <w:color w:val="auto"/>
                <w:w w:val="88"/>
              </w:rPr>
              <w:t>Age</w:t>
            </w:r>
          </w:p>
        </w:tc>
        <w:tc>
          <w:tcPr>
            <w:tcW w:w="4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Position and Class</w:t>
            </w:r>
          </w:p>
        </w:tc>
      </w:tr>
      <w:tr>
        <w:trPr>
          <w:trHeight w:val="223"/>
        </w:trPr>
        <w:tc>
          <w:tcPr>
            <w:tcW w:w="392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Magda Marquet, Ph.D.</w:t>
            </w:r>
            <w:r>
              <w:rPr>
                <w:rFonts w:ascii="Arial" w:cs="Arial" w:eastAsia="Arial" w:hAnsi="Arial"/>
                <w:sz w:val="23"/>
                <w:szCs w:val="23"/>
                <w:color w:val="auto"/>
                <w:vertAlign w:val="superscript"/>
              </w:rPr>
              <w:t>(1)</w:t>
            </w:r>
          </w:p>
        </w:tc>
        <w:tc>
          <w:tcPr>
            <w:tcW w:w="232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89"/>
              </w:rPr>
              <w:t>64</w:t>
            </w: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 Class III</w:t>
            </w:r>
          </w:p>
        </w:tc>
      </w:tr>
      <w:tr>
        <w:trPr>
          <w:trHeight w:val="230"/>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Hollings Renton, M.B.A.</w:t>
            </w:r>
            <w:r>
              <w:rPr>
                <w:rFonts w:ascii="Arial" w:cs="Arial" w:eastAsia="Arial" w:hAnsi="Arial"/>
                <w:sz w:val="23"/>
                <w:szCs w:val="23"/>
                <w:color w:val="auto"/>
                <w:vertAlign w:val="superscript"/>
              </w:rPr>
              <w:t>(2)(3)</w:t>
            </w:r>
          </w:p>
        </w:tc>
        <w:tc>
          <w:tcPr>
            <w:tcW w:w="2320" w:type="dxa"/>
            <w:vAlign w:val="bottom"/>
          </w:tcPr>
          <w:p>
            <w:pPr>
              <w:jc w:val="center"/>
              <w:ind w:left="1530"/>
              <w:spacing w:after="0"/>
              <w:rPr>
                <w:sz w:val="20"/>
                <w:szCs w:val="20"/>
                <w:color w:val="auto"/>
              </w:rPr>
            </w:pPr>
            <w:r>
              <w:rPr>
                <w:rFonts w:ascii="Arial" w:cs="Arial" w:eastAsia="Arial" w:hAnsi="Arial"/>
                <w:sz w:val="18"/>
                <w:szCs w:val="18"/>
                <w:color w:val="auto"/>
                <w:w w:val="89"/>
              </w:rPr>
              <w:t>76</w:t>
            </w:r>
          </w:p>
        </w:tc>
        <w:tc>
          <w:tcPr>
            <w:tcW w:w="4960" w:type="dxa"/>
            <w:vAlign w:val="bottom"/>
          </w:tcPr>
          <w:p>
            <w:pPr>
              <w:ind w:left="240"/>
              <w:spacing w:after="0"/>
              <w:rPr>
                <w:sz w:val="20"/>
                <w:szCs w:val="20"/>
                <w:color w:val="auto"/>
              </w:rPr>
            </w:pPr>
            <w:r>
              <w:rPr>
                <w:rFonts w:ascii="Arial" w:cs="Arial" w:eastAsia="Arial" w:hAnsi="Arial"/>
                <w:sz w:val="18"/>
                <w:szCs w:val="18"/>
                <w:color w:val="auto"/>
              </w:rPr>
              <w:t>Director, Class III</w:t>
            </w: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John P. Schmid</w:t>
            </w:r>
            <w:r>
              <w:rPr>
                <w:rFonts w:ascii="Arial" w:cs="Arial" w:eastAsia="Arial" w:hAnsi="Arial"/>
                <w:sz w:val="23"/>
                <w:szCs w:val="23"/>
                <w:color w:val="auto"/>
                <w:vertAlign w:val="superscript"/>
              </w:rPr>
              <w:t>(1)(4)</w:t>
            </w:r>
          </w:p>
        </w:tc>
        <w:tc>
          <w:tcPr>
            <w:tcW w:w="232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89"/>
              </w:rPr>
              <w:t>60</w:t>
            </w: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 Class III</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26" w:lineRule="exact"/>
        <w:rPr>
          <w:rFonts w:ascii="Arial" w:cs="Arial" w:eastAsia="Arial" w:hAnsi="Arial"/>
          <w:sz w:val="16"/>
          <w:szCs w:val="16"/>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13" w:lineRule="exact"/>
        <w:rPr>
          <w:rFonts w:ascii="Arial" w:cs="Arial" w:eastAsia="Arial" w:hAnsi="Arial"/>
          <w:sz w:val="16"/>
          <w:szCs w:val="16"/>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113" w:lineRule="exact"/>
        <w:rPr>
          <w:rFonts w:ascii="Arial" w:cs="Arial" w:eastAsia="Arial" w:hAnsi="Arial"/>
          <w:sz w:val="16"/>
          <w:szCs w:val="16"/>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Magda Marquet, Ph.D.</w:t>
      </w:r>
      <w:r>
        <w:rPr>
          <w:rFonts w:ascii="Arial" w:cs="Arial" w:eastAsia="Arial" w:hAnsi="Arial"/>
          <w:sz w:val="17"/>
          <w:szCs w:val="17"/>
          <w:color w:val="auto"/>
        </w:rPr>
        <w:t>, has served as a member of our board of directors since January 2021. As a former founder and CEO, Dr. Marquet holds a Ph.D.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 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Our board of directors believes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161" w:right="359" w:bottom="1440" w:gutter="0" w:footer="0" w:header="0"/>
        </w:sectPr>
      </w:pPr>
    </w:p>
    <w:bookmarkStart w:id="14" w:name="page15"/>
    <w:bookmarkEnd w:id="14"/>
    <w:p>
      <w:pPr>
        <w:spacing w:after="0" w:line="271" w:lineRule="auto"/>
        <w:rPr>
          <w:sz w:val="20"/>
          <w:szCs w:val="20"/>
          <w:color w:val="auto"/>
        </w:rPr>
      </w:pPr>
      <w:r>
        <w:rPr>
          <w:rFonts w:ascii="Arial" w:cs="Arial" w:eastAsia="Arial" w:hAnsi="Arial"/>
          <w:sz w:val="17"/>
          <w:szCs w:val="17"/>
          <w:b w:val="1"/>
          <w:bCs w:val="1"/>
          <w:i w:val="1"/>
          <w:iCs w:val="1"/>
          <w:color w:val="auto"/>
        </w:rPr>
        <w:t>Hollings Renton, M.B.A</w:t>
      </w:r>
      <w:r>
        <w:rPr>
          <w:rFonts w:ascii="Arial" w:cs="Arial" w:eastAsia="Arial" w:hAnsi="Arial"/>
          <w:sz w:val="17"/>
          <w:szCs w:val="17"/>
          <w:b w:val="1"/>
          <w:bCs w:val="1"/>
          <w:color w:val="auto"/>
        </w:rPr>
        <w:t>.</w:t>
      </w:r>
      <w:r>
        <w:rPr>
          <w:rFonts w:ascii="Arial" w:cs="Arial" w:eastAsia="Arial" w:hAnsi="Arial"/>
          <w:sz w:val="17"/>
          <w:szCs w:val="17"/>
          <w:color w:val="auto"/>
        </w:rPr>
        <w:t>, has served as a member of our board of directors since June 2015. Mr. Renton previously served as 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on the board of Zymeworks, Inc., a publicly traded company. In the last five years, Mr. Renton previously served on the board of directors of the publicly traded company Portola Pharmaceuticals, Inc.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13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John P. Schmid, M.B.A.</w:t>
      </w:r>
      <w:r>
        <w:rPr>
          <w:rFonts w:ascii="Arial" w:cs="Arial" w:eastAsia="Arial" w:hAnsi="Arial"/>
          <w:sz w:val="17"/>
          <w:szCs w:val="17"/>
          <w:color w:val="auto"/>
        </w:rPr>
        <w:t>, has served as a member of our board of directors since June 2015. Mr. Schmid served as Chief Financial Officer of Auspex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Poseida Therapeutics, Inc., and Xeris Pharmaceuticals, all pharmaceutical companies. In the last five years, Mr. Schmid has previously served on the board of directors of Helix Acquisition Corp., a special purpose acquisition company and Neos Therapeutics, a pharmaceutical company.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directors who are serving or who have been appointed for terms that end following the meeting, and their ages (as of the date of this Proxy Statement), occupations and length of board service are provided in the table below. Additional biographical information for each nominee is set forth in the text below the table.</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b w:val="1"/>
                <w:bCs w:val="1"/>
                <w:color w:val="auto"/>
                <w:w w:val="88"/>
              </w:rPr>
              <w:t>Age</w:t>
            </w: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 and Class</w:t>
            </w:r>
          </w:p>
        </w:tc>
      </w:tr>
      <w:tr>
        <w:trPr>
          <w:trHeight w:val="223"/>
        </w:trPr>
        <w:tc>
          <w:tcPr>
            <w:tcW w:w="3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Daniel Faga</w:t>
            </w:r>
            <w:r>
              <w:rPr>
                <w:rFonts w:ascii="Arial" w:cs="Arial" w:eastAsia="Arial" w:hAnsi="Arial"/>
                <w:sz w:val="23"/>
                <w:szCs w:val="23"/>
                <w:color w:val="auto"/>
                <w:vertAlign w:val="superscript"/>
              </w:rPr>
              <w:t>(1)</w:t>
            </w:r>
          </w:p>
        </w:tc>
        <w:tc>
          <w:tcPr>
            <w:tcW w:w="20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9"/>
              </w:rPr>
              <w:t>43</w:t>
            </w: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Class I</w:t>
            </w:r>
          </w:p>
        </w:tc>
      </w:tr>
      <w:tr>
        <w:trPr>
          <w:trHeight w:val="229"/>
        </w:trPr>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Dennis Fenton, Ph.D.</w:t>
            </w:r>
            <w:r>
              <w:rPr>
                <w:rFonts w:ascii="Arial" w:cs="Arial" w:eastAsia="Arial" w:hAnsi="Arial"/>
                <w:sz w:val="23"/>
                <w:szCs w:val="23"/>
                <w:color w:val="auto"/>
                <w:vertAlign w:val="superscript"/>
              </w:rPr>
              <w:t>(2)</w:t>
            </w:r>
          </w:p>
        </w:tc>
        <w:tc>
          <w:tcPr>
            <w:tcW w:w="2000" w:type="dxa"/>
            <w:vAlign w:val="bottom"/>
          </w:tcPr>
          <w:p>
            <w:pPr>
              <w:jc w:val="center"/>
              <w:ind w:left="1290"/>
              <w:spacing w:after="0"/>
              <w:rPr>
                <w:sz w:val="20"/>
                <w:szCs w:val="20"/>
                <w:color w:val="auto"/>
              </w:rPr>
            </w:pPr>
            <w:r>
              <w:rPr>
                <w:rFonts w:ascii="Arial" w:cs="Arial" w:eastAsia="Arial" w:hAnsi="Arial"/>
                <w:sz w:val="18"/>
                <w:szCs w:val="18"/>
                <w:color w:val="auto"/>
                <w:w w:val="89"/>
              </w:rPr>
              <w:t>71</w:t>
            </w:r>
          </w:p>
        </w:tc>
        <w:tc>
          <w:tcPr>
            <w:tcW w:w="5460" w:type="dxa"/>
            <w:vAlign w:val="bottom"/>
          </w:tcPr>
          <w:p>
            <w:pPr>
              <w:ind w:left="180"/>
              <w:spacing w:after="0"/>
              <w:rPr>
                <w:sz w:val="20"/>
                <w:szCs w:val="20"/>
                <w:color w:val="auto"/>
              </w:rPr>
            </w:pPr>
            <w:r>
              <w:rPr>
                <w:rFonts w:ascii="Arial" w:cs="Arial" w:eastAsia="Arial" w:hAnsi="Arial"/>
                <w:sz w:val="18"/>
                <w:szCs w:val="18"/>
                <w:color w:val="auto"/>
              </w:rPr>
              <w:t>Director, Class I</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Oleg Nodelman</w:t>
            </w:r>
            <w:r>
              <w:rPr>
                <w:rFonts w:ascii="Arial" w:cs="Arial" w:eastAsia="Arial" w:hAnsi="Arial"/>
                <w:sz w:val="23"/>
                <w:szCs w:val="23"/>
                <w:color w:val="auto"/>
                <w:vertAlign w:val="superscript"/>
              </w:rPr>
              <w:t>.(3)</w:t>
            </w:r>
          </w:p>
        </w:tc>
        <w:tc>
          <w:tcPr>
            <w:tcW w:w="20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9"/>
              </w:rPr>
              <w:t>46</w:t>
            </w: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Class I</w:t>
            </w:r>
          </w:p>
        </w:tc>
      </w:tr>
      <w:tr>
        <w:trPr>
          <w:trHeight w:val="230"/>
        </w:trPr>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Rita Jain, M.D.</w:t>
            </w:r>
            <w:r>
              <w:rPr>
                <w:rFonts w:ascii="Arial" w:cs="Arial" w:eastAsia="Arial" w:hAnsi="Arial"/>
                <w:sz w:val="23"/>
                <w:szCs w:val="23"/>
                <w:color w:val="auto"/>
                <w:vertAlign w:val="superscript"/>
              </w:rPr>
              <w:t>(2)</w:t>
            </w:r>
          </w:p>
        </w:tc>
        <w:tc>
          <w:tcPr>
            <w:tcW w:w="2000" w:type="dxa"/>
            <w:vAlign w:val="bottom"/>
          </w:tcPr>
          <w:p>
            <w:pPr>
              <w:jc w:val="center"/>
              <w:ind w:left="1290"/>
              <w:spacing w:after="0"/>
              <w:rPr>
                <w:sz w:val="20"/>
                <w:szCs w:val="20"/>
                <w:color w:val="auto"/>
              </w:rPr>
            </w:pPr>
            <w:r>
              <w:rPr>
                <w:rFonts w:ascii="Arial" w:cs="Arial" w:eastAsia="Arial" w:hAnsi="Arial"/>
                <w:sz w:val="18"/>
                <w:szCs w:val="18"/>
                <w:color w:val="auto"/>
                <w:w w:val="89"/>
              </w:rPr>
              <w:t>60</w:t>
            </w:r>
          </w:p>
        </w:tc>
        <w:tc>
          <w:tcPr>
            <w:tcW w:w="5460" w:type="dxa"/>
            <w:vAlign w:val="bottom"/>
          </w:tcPr>
          <w:p>
            <w:pPr>
              <w:ind w:left="180"/>
              <w:spacing w:after="0"/>
              <w:rPr>
                <w:sz w:val="20"/>
                <w:szCs w:val="20"/>
                <w:color w:val="auto"/>
              </w:rPr>
            </w:pPr>
            <w:r>
              <w:rPr>
                <w:rFonts w:ascii="Arial" w:cs="Arial" w:eastAsia="Arial" w:hAnsi="Arial"/>
                <w:sz w:val="18"/>
                <w:szCs w:val="18"/>
                <w:color w:val="auto"/>
              </w:rPr>
              <w:t>Director, Class II</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James Topper, M.D., Ph.D.</w:t>
            </w:r>
            <w:r>
              <w:rPr>
                <w:rFonts w:ascii="Arial" w:cs="Arial" w:eastAsia="Arial" w:hAnsi="Arial"/>
                <w:sz w:val="23"/>
                <w:szCs w:val="23"/>
                <w:color w:val="auto"/>
                <w:vertAlign w:val="superscript"/>
              </w:rPr>
              <w:t>(3)</w:t>
            </w:r>
          </w:p>
        </w:tc>
        <w:tc>
          <w:tcPr>
            <w:tcW w:w="20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9"/>
              </w:rPr>
              <w:t>61</w:t>
            </w: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Class II</w:t>
            </w:r>
          </w:p>
        </w:tc>
      </w:tr>
      <w:tr>
        <w:trPr>
          <w:trHeight w:val="304"/>
        </w:trPr>
        <w:tc>
          <w:tcPr>
            <w:tcW w:w="3660" w:type="dxa"/>
            <w:vAlign w:val="bottom"/>
          </w:tcPr>
          <w:p>
            <w:pPr>
              <w:ind w:left="20"/>
              <w:spacing w:after="0"/>
              <w:rPr>
                <w:sz w:val="20"/>
                <w:szCs w:val="20"/>
                <w:color w:val="auto"/>
              </w:rPr>
            </w:pPr>
            <w:r>
              <w:rPr>
                <w:rFonts w:ascii="Arial" w:cs="Arial" w:eastAsia="Arial" w:hAnsi="Arial"/>
                <w:sz w:val="18"/>
                <w:szCs w:val="18"/>
                <w:color w:val="auto"/>
              </w:rPr>
              <w:t>J. Anthony Ware</w:t>
            </w:r>
            <w:r>
              <w:rPr>
                <w:rFonts w:ascii="Arial" w:cs="Arial" w:eastAsia="Arial" w:hAnsi="Arial"/>
                <w:sz w:val="23"/>
                <w:szCs w:val="23"/>
                <w:color w:val="auto"/>
                <w:vertAlign w:val="superscript"/>
              </w:rPr>
              <w:t>(3)(4)</w:t>
            </w:r>
          </w:p>
        </w:tc>
        <w:tc>
          <w:tcPr>
            <w:tcW w:w="2000" w:type="dxa"/>
            <w:vAlign w:val="bottom"/>
          </w:tcPr>
          <w:p>
            <w:pPr>
              <w:jc w:val="center"/>
              <w:ind w:left="1290"/>
              <w:spacing w:after="0"/>
              <w:rPr>
                <w:sz w:val="20"/>
                <w:szCs w:val="20"/>
                <w:color w:val="auto"/>
              </w:rPr>
            </w:pPr>
            <w:r>
              <w:rPr>
                <w:rFonts w:ascii="Arial" w:cs="Arial" w:eastAsia="Arial" w:hAnsi="Arial"/>
                <w:sz w:val="18"/>
                <w:szCs w:val="18"/>
                <w:color w:val="auto"/>
                <w:w w:val="89"/>
              </w:rPr>
              <w:t>70</w:t>
            </w:r>
          </w:p>
        </w:tc>
        <w:tc>
          <w:tcPr>
            <w:tcW w:w="5460" w:type="dxa"/>
            <w:vAlign w:val="bottom"/>
          </w:tcPr>
          <w:p>
            <w:pPr>
              <w:ind w:left="180"/>
              <w:spacing w:after="0"/>
              <w:rPr>
                <w:sz w:val="20"/>
                <w:szCs w:val="20"/>
                <w:color w:val="auto"/>
              </w:rPr>
            </w:pPr>
            <w:r>
              <w:rPr>
                <w:rFonts w:ascii="Arial" w:cs="Arial" w:eastAsia="Arial" w:hAnsi="Arial"/>
                <w:sz w:val="18"/>
                <w:szCs w:val="18"/>
                <w:color w:val="auto"/>
              </w:rPr>
              <w:t>Director, Class II</w:t>
            </w:r>
          </w:p>
        </w:tc>
      </w:tr>
    </w:tbl>
    <w:p>
      <w:pPr>
        <w:ind w:left="20"/>
        <w:spacing w:after="0"/>
        <w:rPr>
          <w:sz w:val="20"/>
          <w:szCs w:val="20"/>
          <w:color w:val="auto"/>
        </w:rPr>
      </w:pPr>
      <w:r>
        <w:rPr>
          <w:rFonts w:ascii="Arial" w:cs="Arial" w:eastAsia="Arial" w:hAnsi="Arial"/>
          <w:sz w:val="18"/>
          <w:szCs w:val="18"/>
          <w:color w:val="auto"/>
        </w:rPr>
        <w:t>_________________</w:t>
      </w:r>
    </w:p>
    <w:p>
      <w:pPr>
        <w:spacing w:after="0" w:line="1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Faga is our Interim President and Chief Executive Officer.</w:t>
      </w:r>
    </w:p>
    <w:p>
      <w:pPr>
        <w:spacing w:after="0" w:line="76" w:lineRule="exact"/>
        <w:rPr>
          <w:rFonts w:ascii="Arial" w:cs="Arial" w:eastAsia="Arial" w:hAnsi="Arial"/>
          <w:sz w:val="16"/>
          <w:szCs w:val="16"/>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86" w:lineRule="exact"/>
        <w:rPr>
          <w:rFonts w:ascii="Arial" w:cs="Arial" w:eastAsia="Arial" w:hAnsi="Arial"/>
          <w:sz w:val="16"/>
          <w:szCs w:val="16"/>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86" w:lineRule="exact"/>
        <w:rPr>
          <w:rFonts w:ascii="Arial" w:cs="Arial" w:eastAsia="Arial" w:hAnsi="Arial"/>
          <w:sz w:val="16"/>
          <w:szCs w:val="16"/>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6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Daniel Faga </w:t>
      </w:r>
      <w:r>
        <w:rPr>
          <w:rFonts w:ascii="Arial" w:cs="Arial" w:eastAsia="Arial" w:hAnsi="Arial"/>
          <w:sz w:val="16"/>
          <w:szCs w:val="16"/>
          <w:color w:val="auto"/>
        </w:rPr>
        <w:t>has served as a member of our board of directors since November 2021, and has served as our Interim President and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March 2022. From January 2020 to November 2021, Mr. Faga served as Chief Operating Officer at Mirati Therapeutics responsible for leading the company's strategy, corporate finance, legal and other business operations. Prior to joining Mirati, Mr. Faga served as the Chief Business Officer for Spark Therapeutics, Inc. from May 2016 through December 2019, where he was responsible for the Corporate Strategy &amp; Public Affairs organization including leadership of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161" w:right="379" w:bottom="144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Management from The Wharton School at the University of Pennsylvania. Our board of directors believes that Mr. Faga’s extensive industry experience and executive experience provides him with the qualifications and skills to serve on our board of directors.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Dennis Fenton, Ph.D</w:t>
      </w:r>
      <w:r>
        <w:rPr>
          <w:rFonts w:ascii="Arial" w:cs="Arial" w:eastAsia="Arial" w:hAnsi="Arial"/>
          <w:sz w:val="18"/>
          <w:szCs w:val="18"/>
          <w:i w:val="1"/>
          <w:iCs w:val="1"/>
          <w:color w:val="auto"/>
        </w:rPr>
        <w:t>.</w:t>
      </w:r>
      <w:r>
        <w:rPr>
          <w:rFonts w:ascii="Arial" w:cs="Arial" w:eastAsia="Arial" w:hAnsi="Arial"/>
          <w:sz w:val="18"/>
          <w:szCs w:val="18"/>
          <w:color w:val="auto"/>
        </w:rPr>
        <w:t>, has served as a member of our board of directors since March 2018. From 1981 to 2008, Dr. Fenton held numerous positions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In the past five years, Dr. Fenton previously served on the boards of directors of Sienna Biopharmaceuticals, Inc., Portola Pharmaceuticals, Inc. and Pfenex Inc., a publicly traded company.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1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Oleg Nodelman </w:t>
      </w:r>
      <w:r>
        <w:rPr>
          <w:rFonts w:ascii="Arial" w:cs="Arial" w:eastAsia="Arial" w:hAnsi="Arial"/>
          <w:sz w:val="17"/>
          <w:szCs w:val="17"/>
          <w:color w:val="auto"/>
        </w:rPr>
        <w:t>has served as a member of our board of directors since April 2021. Since October 2013, Mr. Nodelman has served as the Founder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Manager of EcoR1 Capital LLC, a biotech-focused investment advisory firm established in 2013, and one of our principal shareholders. Previously, Mr. Nodelman served as a Portfolio Manager at BVF Partners from 2001 to 2012. Mr. Nodelman earned a B.S.F.S. in Science and Technology from Georgetown University, School of Foreign Service in 1999. Mr. Nodelman serves on the boards of directors of the publicly traded companies Prothena Corporation plc, Nuvation Bio Inc. and Panacea Acquisition Corp.II. Our board of directors believes that Mr. Nodelman’s extensive industry experience provides him with the qualifications and skills to serve on our board of directors.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Rita Jain, M.D. </w:t>
      </w:r>
      <w:r>
        <w:rPr>
          <w:rFonts w:ascii="Arial" w:cs="Arial" w:eastAsia="Arial" w:hAnsi="Arial"/>
          <w:sz w:val="18"/>
          <w:szCs w:val="18"/>
          <w:color w:val="auto"/>
        </w:rPr>
        <w:t>has served as a member of our board of directors since April 2023. Dr. Jain is currently a member of the board of directors of Celldex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Therapeutics, Inc. and Provention Bio, Inc., and has been a member of the supervisory board of AM-Pharma B.V. since 2020. She previously served on the board of directors of ChemoCentryx, Inc. from 2019 until its acquisition by Amgen in 2022. From 2021 to 2022, Dr. Jain served as Executive Vice President, Chief Medical Officer of ChemoCentryx, Inc. and in 2021 served as Chief Medical Officer of Immunovant, Inc. Additionally, since August 2021, Dr. Jain has served as Chief Executive Officer of Heartwood Biopharma Group, a private consulting group.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Our board of directors believes that Dr. Jain’s extensive life sciences experience provides her with the qualifications and skills to serve on our board of directors.</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James N. Topper, M.D., Ph.D., </w:t>
      </w:r>
      <w:r>
        <w:rPr>
          <w:rFonts w:ascii="Arial" w:cs="Arial" w:eastAsia="Arial" w:hAnsi="Arial"/>
          <w:sz w:val="16"/>
          <w:szCs w:val="16"/>
          <w:color w:val="auto"/>
        </w:rPr>
        <w:t>has served as a member of our board of directors since November 2007. Dr. Topper has been a partner with Frazier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and currently serves on the boards of directors of the publicly traded companies Alpine Immune Sciences, Inc. and Frazier Life Sciences Acquisition Corp. In the last five years, Dr. Topper previously served on the boards of directors of the following publicly traded companies: Allena Pharmaceuticals and Sierra Oncology.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1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J. Anthony Ware, M.D., </w:t>
      </w:r>
      <w:r>
        <w:rPr>
          <w:rFonts w:ascii="Arial" w:cs="Arial" w:eastAsia="Arial" w:hAnsi="Arial"/>
          <w:sz w:val="17"/>
          <w:szCs w:val="17"/>
          <w:color w:val="auto"/>
        </w:rPr>
        <w:t>has served as a member of our board of directors since August 2017. From 2001 to January 2018, Dr. Ware held numerous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165" w:right="35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familial relationships among any of our directors and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Mr. Suria, our Chief Executive Officer until March 2022, received no compensation for his service as a director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Mr. Suria resigned as our Chief Executive Officer, effective March 20, 2022.</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740" w:type="dxa"/>
            <w:vAlign w:val="bottom"/>
          </w:tcPr>
          <w:p>
            <w:pPr>
              <w:jc w:val="center"/>
              <w:ind w:left="2150"/>
              <w:spacing w:after="0"/>
              <w:rPr>
                <w:sz w:val="20"/>
                <w:szCs w:val="20"/>
                <w:color w:val="auto"/>
              </w:rPr>
            </w:pPr>
            <w:r>
              <w:rPr>
                <w:rFonts w:ascii="Arial" w:cs="Arial" w:eastAsia="Arial" w:hAnsi="Arial"/>
                <w:sz w:val="18"/>
                <w:szCs w:val="18"/>
                <w:b w:val="1"/>
                <w:bCs w:val="1"/>
                <w:color w:val="auto"/>
                <w:w w:val="87"/>
              </w:rPr>
              <w:t>Fees Earned</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1"/>
              </w:rPr>
              <w:t>Option Awards</w:t>
            </w:r>
            <w:r>
              <w:rPr>
                <w:rFonts w:ascii="Arial" w:cs="Arial" w:eastAsia="Arial" w:hAnsi="Arial"/>
                <w:sz w:val="23"/>
                <w:szCs w:val="23"/>
                <w:b w:val="1"/>
                <w:bCs w:val="1"/>
                <w:color w:val="auto"/>
                <w:w w:val="91"/>
                <w:vertAlign w:val="superscript"/>
              </w:rPr>
              <w:t>(2)</w:t>
            </w: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3"/>
                <w:szCs w:val="23"/>
                <w:b w:val="1"/>
                <w:bCs w:val="1"/>
                <w:color w:val="auto"/>
                <w:vertAlign w:val="superscript"/>
              </w:rPr>
              <w:t>(1)</w:t>
            </w:r>
          </w:p>
        </w:tc>
        <w:tc>
          <w:tcPr>
            <w:tcW w:w="3740" w:type="dxa"/>
            <w:vAlign w:val="bottom"/>
          </w:tcPr>
          <w:p>
            <w:pPr>
              <w:jc w:val="center"/>
              <w:ind w:left="2210"/>
              <w:spacing w:after="0" w:line="176" w:lineRule="exact"/>
              <w:rPr>
                <w:sz w:val="20"/>
                <w:szCs w:val="20"/>
                <w:color w:val="auto"/>
              </w:rPr>
            </w:pPr>
            <w:r>
              <w:rPr>
                <w:rFonts w:ascii="Arial" w:cs="Arial" w:eastAsia="Arial" w:hAnsi="Arial"/>
                <w:sz w:val="18"/>
                <w:szCs w:val="18"/>
                <w:b w:val="1"/>
                <w:bCs w:val="1"/>
                <w:color w:val="auto"/>
                <w:w w:val="91"/>
              </w:rPr>
              <w:t>or Paid in Cash</w:t>
            </w:r>
          </w:p>
        </w:tc>
        <w:tc>
          <w:tcPr>
            <w:tcW w:w="16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vMerge w:val="continue"/>
          </w:tcPr>
          <w:p>
            <w:pPr>
              <w:spacing w:after="0"/>
              <w:rPr>
                <w:sz w:val="21"/>
                <w:szCs w:val="21"/>
                <w:color w:val="auto"/>
              </w:rPr>
            </w:pPr>
          </w:p>
        </w:tc>
        <w:tc>
          <w:tcPr>
            <w:tcW w:w="374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jc w:val="right"/>
              <w:ind w:right="7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Daniel Faga </w:t>
            </w:r>
            <w:r>
              <w:rPr>
                <w:rFonts w:ascii="Arial" w:cs="Arial" w:eastAsia="Arial" w:hAnsi="Arial"/>
                <w:sz w:val="23"/>
                <w:szCs w:val="23"/>
                <w:color w:val="auto"/>
                <w:vertAlign w:val="superscript"/>
              </w:rPr>
              <w:t>(3)</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210,618</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8"/>
                <w:szCs w:val="18"/>
                <w:color w:val="auto"/>
              </w:rPr>
              <w:t>Dennis Fenton, Ph.D.</w:t>
            </w:r>
          </w:p>
        </w:tc>
        <w:tc>
          <w:tcPr>
            <w:tcW w:w="3740" w:type="dxa"/>
            <w:vAlign w:val="bottom"/>
          </w:tcPr>
          <w:p>
            <w:pPr>
              <w:jc w:val="right"/>
              <w:spacing w:after="0"/>
              <w:rPr>
                <w:sz w:val="20"/>
                <w:szCs w:val="20"/>
                <w:color w:val="auto"/>
              </w:rPr>
            </w:pPr>
            <w:r>
              <w:rPr>
                <w:rFonts w:ascii="Arial" w:cs="Arial" w:eastAsia="Arial" w:hAnsi="Arial"/>
                <w:sz w:val="18"/>
                <w:szCs w:val="18"/>
                <w:color w:val="auto"/>
              </w:rPr>
              <w:t>62,500</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tcPr>
          <w:p>
            <w:pPr>
              <w:jc w:val="right"/>
              <w:spacing w:after="0"/>
              <w:rPr>
                <w:sz w:val="20"/>
                <w:szCs w:val="20"/>
                <w:color w:val="auto"/>
              </w:rPr>
            </w:pPr>
            <w:r>
              <w:rPr>
                <w:rFonts w:ascii="Arial" w:cs="Arial" w:eastAsia="Arial" w:hAnsi="Arial"/>
                <w:sz w:val="18"/>
                <w:szCs w:val="18"/>
                <w:color w:val="auto"/>
              </w:rPr>
              <w:t>263,118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Laura J. Hamill</w:t>
            </w:r>
            <w:r>
              <w:rPr>
                <w:rFonts w:ascii="Arial" w:cs="Arial" w:eastAsia="Arial" w:hAnsi="Arial"/>
                <w:sz w:val="23"/>
                <w:szCs w:val="23"/>
                <w:color w:val="auto"/>
                <w:vertAlign w:val="superscript"/>
              </w:rPr>
              <w:t>(4)</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255,618</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Magda Marquet, Ph. D.</w:t>
            </w:r>
          </w:p>
        </w:tc>
        <w:tc>
          <w:tcPr>
            <w:tcW w:w="3740" w:type="dxa"/>
            <w:vAlign w:val="bottom"/>
          </w:tcPr>
          <w:p>
            <w:pPr>
              <w:jc w:val="right"/>
              <w:spacing w:after="0"/>
              <w:rPr>
                <w:sz w:val="20"/>
                <w:szCs w:val="20"/>
                <w:color w:val="auto"/>
              </w:rPr>
            </w:pPr>
            <w:r>
              <w:rPr>
                <w:rFonts w:ascii="Arial" w:cs="Arial" w:eastAsia="Arial" w:hAnsi="Arial"/>
                <w:sz w:val="18"/>
                <w:szCs w:val="18"/>
                <w:color w:val="auto"/>
              </w:rPr>
              <w:t>49,000</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tcPr>
          <w:p>
            <w:pPr>
              <w:jc w:val="right"/>
              <w:spacing w:after="0"/>
              <w:rPr>
                <w:sz w:val="20"/>
                <w:szCs w:val="20"/>
                <w:color w:val="auto"/>
              </w:rPr>
            </w:pPr>
            <w:r>
              <w:rPr>
                <w:rFonts w:ascii="Arial" w:cs="Arial" w:eastAsia="Arial" w:hAnsi="Arial"/>
                <w:sz w:val="18"/>
                <w:szCs w:val="18"/>
                <w:color w:val="auto"/>
              </w:rPr>
              <w:t>249,618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Oleg Nodelman</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Hollings Renton</w:t>
            </w:r>
          </w:p>
        </w:tc>
        <w:tc>
          <w:tcPr>
            <w:tcW w:w="3740" w:type="dxa"/>
            <w:vAlign w:val="bottom"/>
          </w:tcPr>
          <w:p>
            <w:pPr>
              <w:jc w:val="right"/>
              <w:spacing w:after="0"/>
              <w:rPr>
                <w:sz w:val="20"/>
                <w:szCs w:val="20"/>
                <w:color w:val="auto"/>
              </w:rPr>
            </w:pPr>
            <w:r>
              <w:rPr>
                <w:rFonts w:ascii="Arial" w:cs="Arial" w:eastAsia="Arial" w:hAnsi="Arial"/>
                <w:sz w:val="18"/>
                <w:szCs w:val="18"/>
                <w:color w:val="auto"/>
              </w:rPr>
              <w:t>73,000</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tcPr>
          <w:p>
            <w:pPr>
              <w:jc w:val="right"/>
              <w:spacing w:after="0"/>
              <w:rPr>
                <w:sz w:val="20"/>
                <w:szCs w:val="20"/>
                <w:color w:val="auto"/>
              </w:rPr>
            </w:pPr>
            <w:r>
              <w:rPr>
                <w:rFonts w:ascii="Arial" w:cs="Arial" w:eastAsia="Arial" w:hAnsi="Arial"/>
                <w:sz w:val="18"/>
                <w:szCs w:val="18"/>
                <w:color w:val="auto"/>
              </w:rPr>
              <w:t>273,618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P. Schmid, M.B.A.</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266,618</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8"/>
                <w:szCs w:val="18"/>
                <w:color w:val="auto"/>
              </w:rPr>
              <w:t>James N. Topper, M.D., Ph.D.</w:t>
            </w:r>
          </w:p>
        </w:tc>
        <w:tc>
          <w:tcPr>
            <w:tcW w:w="3740" w:type="dxa"/>
            <w:vAlign w:val="bottom"/>
          </w:tcPr>
          <w:p>
            <w:pPr>
              <w:jc w:val="right"/>
              <w:spacing w:after="0"/>
              <w:rPr>
                <w:sz w:val="20"/>
                <w:szCs w:val="20"/>
                <w:color w:val="auto"/>
              </w:rPr>
            </w:pPr>
            <w:r>
              <w:rPr>
                <w:rFonts w:ascii="Arial" w:cs="Arial" w:eastAsia="Arial" w:hAnsi="Arial"/>
                <w:sz w:val="18"/>
                <w:szCs w:val="18"/>
                <w:color w:val="auto"/>
              </w:rPr>
              <w:t>86,500</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tcPr>
          <w:p>
            <w:pPr>
              <w:jc w:val="right"/>
              <w:spacing w:after="0"/>
              <w:rPr>
                <w:sz w:val="20"/>
                <w:szCs w:val="20"/>
                <w:color w:val="auto"/>
              </w:rPr>
            </w:pPr>
            <w:r>
              <w:rPr>
                <w:rFonts w:ascii="Arial" w:cs="Arial" w:eastAsia="Arial" w:hAnsi="Arial"/>
                <w:sz w:val="18"/>
                <w:szCs w:val="18"/>
                <w:color w:val="auto"/>
              </w:rPr>
              <w:t>287,118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 Anthony Ware, M.D.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200,618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7" w:lineRule="exact"/>
        <w:rPr>
          <w:sz w:val="20"/>
          <w:szCs w:val="20"/>
          <w:color w:val="auto"/>
        </w:rPr>
      </w:pPr>
    </w:p>
    <w:p>
      <w:pPr>
        <w:ind w:left="340" w:right="40" w:hanging="332"/>
        <w:spacing w:after="0" w:line="297" w:lineRule="auto"/>
        <w:tabs>
          <w:tab w:leader="none" w:pos="358"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December 31, 2022, Mr. Faga held outstanding options to purchase 22,521 shares of common stock with a weighted-average exercise price of $30.75 per share; Dr. Fenton held outstanding options to purchase 48,707 shares of common stock with a weighted-average exercise price of $53.52 per share; Ms. Hamill held outstanding options to purchase 39,468 shares of common stock with a weighted-average exercise price of $27.95 per share; Mr. Nodelman did not hold outstanding options to purchase shares of common stock; Dr. Marquet held outstanding options to purchase 31,984 shares of common stock with a weighted-average exercise price of $28.86 per share; Mr. Renton held outstanding options to purchase 109,356 shares of common stock with a weighted-average exercise price of $23.26 per share; Mr. Schmid held outstanding options to purchase 100,537 shares of common stock with a weighted-average exercise price of $24.53 per share; Dr. Topper held outstanding options to purchase 58,200 shares of common stock with a weighted-average exercise price of $38.00 per share; and Dr. Ware held outstanding options to purchase 82,465 shares of common stock with a weighted-average exercise price of $32.46 per share. All options accelerate in full upon a change in control of the company.</w:t>
      </w:r>
    </w:p>
    <w:p>
      <w:pPr>
        <w:spacing w:after="0" w:line="66" w:lineRule="exact"/>
        <w:rPr>
          <w:rFonts w:ascii="Arial" w:cs="Arial" w:eastAsia="Arial" w:hAnsi="Arial"/>
          <w:sz w:val="14"/>
          <w:szCs w:val="14"/>
          <w:color w:val="auto"/>
        </w:rPr>
      </w:pPr>
    </w:p>
    <w:p>
      <w:pPr>
        <w:ind w:left="340" w:right="20" w:hanging="332"/>
        <w:spacing w:after="0" w:line="279" w:lineRule="auto"/>
        <w:tabs>
          <w:tab w:leader="none" w:pos="36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amounts reported in the Option Awards column represent the grant date fair value of the stock options granted to the directors during the year ended December 31, 2022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2022. Note that the amounts reported in this column reflect the accounting cost for these stock options, and do not correspond to the actual economic value that may be received by our directors from the options.</w:t>
      </w:r>
    </w:p>
    <w:p>
      <w:pPr>
        <w:spacing w:after="0" w:line="77" w:lineRule="exact"/>
        <w:rPr>
          <w:rFonts w:ascii="Arial" w:cs="Arial" w:eastAsia="Arial" w:hAnsi="Arial"/>
          <w:sz w:val="15"/>
          <w:szCs w:val="15"/>
          <w:color w:val="auto"/>
        </w:rPr>
      </w:pPr>
    </w:p>
    <w:p>
      <w:pPr>
        <w:ind w:left="340" w:right="220" w:hanging="332"/>
        <w:spacing w:after="0" w:line="269" w:lineRule="auto"/>
        <w:tabs>
          <w:tab w:leader="none" w:pos="3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Faga was appointed our Interim President and Chief Executive Officer, effective March 21, 2022. The compensation information set forth above reflects Mr. Faga’s compensation prior to his appointment Interim President and Chief Executive Officer. For Mr. Faga’s compensation as Interim President and Chief Executive Officer, see the section below entitled “Executive Compensation.”</w:t>
      </w:r>
    </w:p>
    <w:p>
      <w:pPr>
        <w:spacing w:after="0" w:line="69" w:lineRule="exact"/>
        <w:rPr>
          <w:rFonts w:ascii="Arial" w:cs="Arial" w:eastAsia="Arial" w:hAnsi="Arial"/>
          <w:sz w:val="16"/>
          <w:szCs w:val="16"/>
          <w:color w:val="auto"/>
        </w:rPr>
      </w:pPr>
    </w:p>
    <w:p>
      <w:pPr>
        <w:ind w:left="340" w:right="900" w:hanging="332"/>
        <w:spacing w:after="0" w:line="275" w:lineRule="auto"/>
        <w:tabs>
          <w:tab w:leader="none" w:pos="3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Hamill resigned from our Board, effective April 1, 2023. Dr. Jain was appointed to our Board, effective April 3, 2023 and as such did not receive any compensation for the year ended December 31, 2022.</w:t>
      </w:r>
    </w:p>
    <w:p>
      <w:pPr>
        <w:spacing w:after="0" w:line="7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Pursuant to our non-employee director compensation policy each of our non-employee directors is provided with an annual retainer of $40,000. Additionally, our lead director and the non-executive chairpersons of our board of directors, audit, compensation, nominating and corporate governance, and research and development committees will receive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165" w:right="35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t>annual payment of $25,000, $32,500, $20,000, $12,500, $8,000 and $15,000, respectively; and the other members of our audit, compensation, nominating and corporate governance, and research and development committees will receive an additional annual payment of $9,000, $6,000, $5,000 and $10,000, respectively.</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our non-employee directors generally receives an annual stock option grant in February to purchase 10,600 shares of common stock and 3,900 restricted stock units, or RSUs. The stock option vests in equal monthly installments over one year and the RSUs vest on the date of the next annual meeting, in each case subject to the director’s continued service. Additionally, new non-employee directors will receive a stock option to purchase 10,600 shares of common stock and 3,900 RSUs as well as a prorated annual equity grant. The new director stock option will vest in equal monthly installments over three years and the new director RSUs award will vest in equal annual installments over three years, subject to the director’s continued service. All equity awards will accelerate in full upon a change in control.</w:t>
      </w:r>
    </w:p>
    <w:p>
      <w:pPr>
        <w:spacing w:after="0" w:line="134"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NOMINATED CLASS III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1165" w:right="47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audit committee has selected KPMG LLP as our principal independent registered public accounting firm to perform the audit of our consolidated financial statements for the fiscal year ending December 31, 2023. KPMG LLP audited our financial statements for the fiscal years ended December 31, 2022 and 2021. We expect that representatives of KPMG LLP will be present at the Annual Meeting, will be able to make a statement if they so desire and will be available to respond to appropriate questions.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Annual Meeting, the stockholders are being asked to ratify the appointment of KPMG LLP as our independent registered public accounting firm for the fiscal year ending December 31, 2023.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68" w:lineRule="exact"/>
        <w:rPr>
          <w:sz w:val="20"/>
          <w:szCs w:val="20"/>
          <w:color w:val="auto"/>
        </w:rPr>
      </w:pPr>
    </w:p>
    <w:p>
      <w:pPr>
        <w:ind w:right="1360"/>
        <w:spacing w:after="0" w:line="375" w:lineRule="auto"/>
        <w:rPr>
          <w:sz w:val="20"/>
          <w:szCs w:val="20"/>
          <w:color w:val="auto"/>
        </w:rPr>
      </w:pPr>
      <w:r>
        <w:rPr>
          <w:rFonts w:ascii="Arial" w:cs="Arial" w:eastAsia="Arial" w:hAnsi="Arial"/>
          <w:sz w:val="18"/>
          <w:szCs w:val="18"/>
          <w:color w:val="auto"/>
        </w:rPr>
        <w:t xml:space="preserve">The following table presents fees for services rendered by KPMG LLP for the years ended December 31, 2022 and 2021 (in thousands). </w:t>
      </w:r>
      <w:r>
        <w:rPr>
          <w:rFonts w:ascii="Arial" w:cs="Arial" w:eastAsia="Arial" w:hAnsi="Arial"/>
          <w:sz w:val="18"/>
          <w:szCs w:val="18"/>
          <w:b w:val="1"/>
          <w:bCs w:val="1"/>
          <w:color w:val="auto"/>
        </w:rPr>
        <w:t>Principal Accountant Fees and Services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260" w:type="dxa"/>
            <w:vAlign w:val="bottom"/>
            <w:gridSpan w:val="2"/>
          </w:tcPr>
          <w:p>
            <w:pPr>
              <w:ind w:left="40"/>
              <w:spacing w:after="0"/>
              <w:rPr>
                <w:sz w:val="20"/>
                <w:szCs w:val="20"/>
                <w:color w:val="auto"/>
              </w:rPr>
            </w:pPr>
            <w:r>
              <w:rPr>
                <w:rFonts w:ascii="Arial" w:cs="Arial" w:eastAsia="Arial" w:hAnsi="Arial"/>
                <w:sz w:val="16"/>
                <w:szCs w:val="16"/>
                <w:b w:val="1"/>
                <w:bCs w:val="1"/>
                <w:color w:val="auto"/>
              </w:rPr>
              <w:t>Fees Billed to AnaptysBio</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 2022</w:t>
            </w:r>
          </w:p>
        </w:tc>
        <w:tc>
          <w:tcPr>
            <w:tcW w:w="1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Fiscal Year 2021</w:t>
            </w:r>
          </w:p>
        </w:tc>
      </w:tr>
      <w:tr>
        <w:trPr>
          <w:trHeight w:val="226"/>
        </w:trPr>
        <w:tc>
          <w:tcPr>
            <w:tcW w:w="8160" w:type="dxa"/>
            <w:vAlign w:val="bottom"/>
            <w:tcBorders>
              <w:top w:val="single" w:sz="8" w:color="auto"/>
            </w:tcBorders>
            <w:shd w:val="clear" w:color="auto" w:fill="CCEEFF"/>
          </w:tcPr>
          <w:p>
            <w:pPr>
              <w:ind w:left="40"/>
              <w:spacing w:after="0" w:line="226"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60" w:type="dxa"/>
            <w:vAlign w:val="bottom"/>
            <w:tcBorders>
              <w:bottom w:val="single" w:sz="8" w:color="CCEEFF"/>
            </w:tcBorders>
            <w:gridSpan w:val="2"/>
          </w:tcPr>
          <w:p>
            <w:pPr>
              <w:ind w:left="4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7" w:lineRule="exact"/>
        <w:rPr>
          <w:sz w:val="20"/>
          <w:szCs w:val="20"/>
          <w:color w:val="auto"/>
        </w:rPr>
      </w:pPr>
    </w:p>
    <w:p>
      <w:pPr>
        <w:ind w:left="340" w:right="420" w:hanging="332"/>
        <w:spacing w:after="0" w:line="269" w:lineRule="auto"/>
        <w:tabs>
          <w:tab w:leader="none" w:pos="3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 fees</w:t>
      </w:r>
      <w:r>
        <w:rPr>
          <w:rFonts w:ascii="Arial" w:cs="Arial" w:eastAsia="Arial" w:hAnsi="Arial"/>
          <w:sz w:val="16"/>
          <w:szCs w:val="16"/>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spacing w:after="0" w:line="69" w:lineRule="exact"/>
        <w:rPr>
          <w:rFonts w:ascii="Arial" w:cs="Arial" w:eastAsia="Arial" w:hAnsi="Arial"/>
          <w:sz w:val="16"/>
          <w:szCs w:val="16"/>
          <w:color w:val="auto"/>
        </w:rPr>
      </w:pPr>
    </w:p>
    <w:p>
      <w:pPr>
        <w:ind w:left="340" w:right="280" w:hanging="332"/>
        <w:spacing w:after="0" w:line="275" w:lineRule="auto"/>
        <w:tabs>
          <w:tab w:leader="none" w:pos="3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Tax fees</w:t>
      </w:r>
      <w:r>
        <w:rPr>
          <w:rFonts w:ascii="Arial" w:cs="Arial" w:eastAsia="Arial" w:hAnsi="Arial"/>
          <w:sz w:val="16"/>
          <w:szCs w:val="16"/>
          <w:color w:val="auto"/>
        </w:rPr>
        <w:t>” include fees related to tax compliance and advice. Tax advice fees encompass a variety of permissible services, including technical tax advice related to federal and state income tax matters; and assistance with tax audits.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2022, all services billed by KPMG LLP were pre-approved by the audit committee in accordance with this policy.</w:t>
      </w:r>
    </w:p>
    <w:p>
      <w:pPr>
        <w:spacing w:after="0" w:line="146"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320" w:top="1161" w:right="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6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has reviewed and discussed with our management and KPMG LLP our audited consolidated financial statements as of and for the year ended December 31, 2022. The audit committee has also discussed with KPMG LLP the matters required to be discussed by applicable standards of the Public Company Accounting Oversight Board (United States).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consolidated financial statements as of and for the year ended December 31, 2022 be included in our annual report on Form 10-K for the year ended December 31, 2022 for filing with the Securities and Exchange Commission.</w:t>
      </w:r>
    </w:p>
    <w:p>
      <w:pPr>
        <w:spacing w:after="0" w:line="38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Submitted by the Audit Committee</w:t>
      </w:r>
    </w:p>
    <w:p>
      <w:pPr>
        <w:ind w:left="4480"/>
        <w:spacing w:after="0" w:line="205" w:lineRule="auto"/>
        <w:rPr>
          <w:sz w:val="20"/>
          <w:szCs w:val="20"/>
          <w:color w:val="auto"/>
        </w:rPr>
      </w:pPr>
      <w:r>
        <w:rPr>
          <w:rFonts w:ascii="Arial" w:cs="Arial" w:eastAsia="Arial" w:hAnsi="Arial"/>
          <w:sz w:val="18"/>
          <w:szCs w:val="18"/>
          <w:color w:val="auto"/>
        </w:rPr>
        <w:t>John P. Schmid, M.B.A. (Chair)</w:t>
      </w:r>
    </w:p>
    <w:p>
      <w:pPr>
        <w:ind w:left="4800"/>
        <w:spacing w:after="0" w:line="204" w:lineRule="auto"/>
        <w:rPr>
          <w:sz w:val="20"/>
          <w:szCs w:val="20"/>
          <w:color w:val="auto"/>
        </w:rPr>
      </w:pPr>
      <w:r>
        <w:rPr>
          <w:rFonts w:ascii="Arial" w:cs="Arial" w:eastAsia="Arial" w:hAnsi="Arial"/>
          <w:sz w:val="18"/>
          <w:szCs w:val="18"/>
          <w:color w:val="auto"/>
        </w:rPr>
        <w:t>Magda Marquet, Ph.D.</w:t>
      </w:r>
    </w:p>
    <w:p>
      <w:pPr>
        <w:ind w:left="4780"/>
        <w:spacing w:after="0"/>
        <w:rPr>
          <w:sz w:val="20"/>
          <w:szCs w:val="20"/>
          <w:color w:val="auto"/>
        </w:rPr>
      </w:pPr>
      <w:r>
        <w:rPr>
          <w:rFonts w:ascii="Arial" w:cs="Arial" w:eastAsia="Arial" w:hAnsi="Arial"/>
          <w:sz w:val="18"/>
          <w:szCs w:val="18"/>
          <w:color w:val="auto"/>
        </w:rPr>
        <w:t>J. Anthony Ware,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7"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VOTE ON COMPENSATION OF OUR NAMED EXECUTIVE OFFICERS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seeking a non-binding, advisory stockholder vote on the compensation awarded to our named executive officers for the fiscal year ended December 31, 2022, known as a “Say on Pay” vote.</w:t>
      </w:r>
    </w:p>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 on Pay vote. The majority of our stockholders voted to hold the Say on Pay vote on an annual basis, and therefore, based on that vote, we present this vote every year.</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Executive Compensation section of this proxy statement.</w:t>
      </w:r>
    </w:p>
    <w:p>
      <w:pPr>
        <w:spacing w:after="0" w:line="1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12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AnaptysBio’s named executive officers, as disclosed in this proxy statement, including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section, compensation tables and narrative discussion, is hereby APPROVED.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Approval of named executive officer compensation requires the approval of a majority of the votes present or represented by proxy and voted for or against the matter.</w:t>
      </w:r>
    </w:p>
    <w:p>
      <w:pPr>
        <w:spacing w:after="0" w:line="13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APPROVAL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4"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AN AMENDED AND RESTATED CERTIFICATE OF INCORPORATION TO PERMIT THE EXCULPATION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102(b)(7) of the General Corporation Law of the State of Delaware was amended effective August 1, 2022 to authorize exculpation of officers of Delaware corporations. Specifically, the amendment permits Delaware corporations to exculpate their officers, in addition to their directors, for personal liability for breach of the duty of care in certain actions. This exculpation would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of directors believes it is necessary to provide protection to officers to the fullest extent permitted by law in order to attract and retain highly-qualified senior leadership. The nature of the role of directors and officers often requires them to make decisions on crucial matters often in time-sensitive situations,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competitor companies will likely adopt exculpation clauses that limit the personal liability of officers in their charters and failing to adopt the amendment could negatively affect our ability to recruit and retain high-caliber officer candidates.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proposed amendment is not being proposed in response to any specific resignation, threat of resignation or refusal to serve by any director or officer. This protection has long been afforded to directors, and our board of directors believes that extending similar exculpation to its officers is fair and in the best interests of the Company and its stockholders. Accordingly, our board of directors has unanimously approved the Amended and Restated Certificate of Incorporation (“Proposed Restated Certificate of Incorporation”) in the form attached hereto as Appendix A and recommends that our stockholders vote “FOR” the Proposed Restated Certificate of Incorporation.</w:t>
      </w:r>
    </w:p>
    <w:p>
      <w:pPr>
        <w:spacing w:after="0" w:line="14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If our stockholders approve the Proposed Restated Certificate of Incorporation, our board of directors has authorized our officers to file the Proposed Restated Certificate of Incorporation with the Delaware Secretary of State, to become effective upon acceptance by the Delaware Secretary of State. Our board of directors intends to have that filing made if, and as soon as practicable after, this proposal is approved at this annual meeting.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RECOMMENDS A VOTE “FOR” APPROVAL OF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161" w:right="379" w:bottom="1440" w:gutter="0" w:footer="0" w:header="0"/>
        </w:sectPr>
      </w:pPr>
    </w:p>
    <w:bookmarkStart w:id="22" w:name="page23"/>
    <w:bookmarkEnd w:id="22"/>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24, 2023 for:</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Applicable percentage ownership is based on 27,149,562 shares of common stock issued and outstanding as of March 24, 2023.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24, 2023.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800" w:type="dxa"/>
            <w:vAlign w:val="bottom"/>
          </w:tcPr>
          <w:p>
            <w:pPr>
              <w:jc w:val="center"/>
              <w:ind w:left="1450"/>
              <w:spacing w:after="0"/>
              <w:rPr>
                <w:sz w:val="20"/>
                <w:szCs w:val="20"/>
                <w:color w:val="auto"/>
              </w:rPr>
            </w:pPr>
            <w:r>
              <w:rPr>
                <w:rFonts w:ascii="Arial" w:cs="Arial" w:eastAsia="Arial" w:hAnsi="Arial"/>
                <w:sz w:val="18"/>
                <w:szCs w:val="18"/>
                <w:b w:val="1"/>
                <w:bCs w:val="1"/>
                <w:color w:val="auto"/>
                <w:w w:val="83"/>
              </w:rPr>
              <w:t>Shares</w:t>
            </w:r>
          </w:p>
        </w:tc>
        <w:tc>
          <w:tcPr>
            <w:tcW w:w="170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0" w:type="dxa"/>
            <w:vAlign w:val="bottom"/>
          </w:tcPr>
          <w:p>
            <w:pPr>
              <w:jc w:val="center"/>
              <w:ind w:left="1450"/>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6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Beneficial Owner</w:t>
            </w:r>
          </w:p>
        </w:tc>
        <w:tc>
          <w:tcPr>
            <w:tcW w:w="280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b w:val="1"/>
                <w:bCs w:val="1"/>
                <w:color w:val="auto"/>
                <w:w w:val="94"/>
              </w:rPr>
              <w:t>Owned (#)</w:t>
            </w:r>
          </w:p>
        </w:tc>
        <w:tc>
          <w:tcPr>
            <w:tcW w:w="1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6"/>
              </w:rPr>
              <w:t>Owned (%)</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6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2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3000" w:type="dxa"/>
            <w:vAlign w:val="bottom"/>
            <w:tcBorders>
              <w:top w:val="single" w:sz="8" w:color="auto"/>
            </w:tcBorders>
            <w:gridSpan w:val="2"/>
          </w:tcPr>
          <w:p>
            <w:pPr>
              <w:spacing w:after="0" w:line="230" w:lineRule="exact"/>
              <w:rPr>
                <w:sz w:val="20"/>
                <w:szCs w:val="20"/>
                <w:color w:val="auto"/>
              </w:rPr>
            </w:pPr>
            <w:r>
              <w:rPr>
                <w:rFonts w:ascii="Arial" w:cs="Arial" w:eastAsia="Arial" w:hAnsi="Arial"/>
                <w:sz w:val="18"/>
                <w:szCs w:val="18"/>
                <w:color w:val="auto"/>
              </w:rPr>
              <w:t>Daniel Faga</w:t>
            </w:r>
            <w:r>
              <w:rPr>
                <w:rFonts w:ascii="Arial" w:cs="Arial" w:eastAsia="Arial" w:hAnsi="Arial"/>
                <w:sz w:val="23"/>
                <w:szCs w:val="23"/>
                <w:color w:val="auto"/>
                <w:vertAlign w:val="superscript"/>
              </w:rPr>
              <w:t>(1)</w:t>
            </w:r>
          </w:p>
        </w:tc>
        <w:tc>
          <w:tcPr>
            <w:tcW w:w="3660" w:type="dxa"/>
            <w:vAlign w:val="bottom"/>
            <w:tcBorders>
              <w:top w:val="single" w:sz="8" w:color="CCEEFF"/>
            </w:tcBorders>
          </w:tcPr>
          <w:p>
            <w:pPr>
              <w:spacing w:after="0"/>
              <w:rPr>
                <w:sz w:val="19"/>
                <w:szCs w:val="19"/>
                <w:color w:val="auto"/>
              </w:rPr>
            </w:pPr>
          </w:p>
        </w:tc>
        <w:tc>
          <w:tcPr>
            <w:tcW w:w="2800" w:type="dxa"/>
            <w:vAlign w:val="bottom"/>
            <w:tcBorders>
              <w:top w:val="single" w:sz="8" w:color="CCEEFF"/>
            </w:tcBorders>
          </w:tcPr>
          <w:p>
            <w:pPr>
              <w:jc w:val="center"/>
              <w:ind w:left="1450"/>
              <w:spacing w:after="0"/>
              <w:rPr>
                <w:sz w:val="20"/>
                <w:szCs w:val="20"/>
                <w:color w:val="auto"/>
              </w:rPr>
            </w:pPr>
            <w:r>
              <w:rPr>
                <w:rFonts w:ascii="Arial" w:cs="Arial" w:eastAsia="Arial" w:hAnsi="Arial"/>
                <w:sz w:val="18"/>
                <w:szCs w:val="18"/>
                <w:color w:val="auto"/>
                <w:w w:val="90"/>
              </w:rPr>
              <w:t>16,715</w:t>
            </w:r>
          </w:p>
        </w:tc>
        <w:tc>
          <w:tcPr>
            <w:tcW w:w="1700" w:type="dxa"/>
            <w:vAlign w:val="bottom"/>
            <w:tcBorders>
              <w:top w:val="single" w:sz="8" w:color="CCEEFF"/>
            </w:tcBorders>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8"/>
                <w:szCs w:val="18"/>
                <w:color w:val="auto"/>
              </w:rPr>
              <w:t>Paul Lizzul.</w:t>
            </w:r>
            <w:r>
              <w:rPr>
                <w:rFonts w:ascii="Arial" w:cs="Arial" w:eastAsia="Arial" w:hAnsi="Arial"/>
                <w:sz w:val="23"/>
                <w:szCs w:val="23"/>
                <w:color w:val="auto"/>
                <w:vertAlign w:val="superscript"/>
              </w:rPr>
              <w:t>(2)</w:t>
            </w:r>
          </w:p>
        </w:tc>
        <w:tc>
          <w:tcPr>
            <w:tcW w:w="280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120,814</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Arial" w:cs="Arial" w:eastAsia="Arial" w:hAnsi="Arial"/>
                <w:sz w:val="18"/>
                <w:szCs w:val="18"/>
                <w:color w:val="auto"/>
              </w:rPr>
              <w:t>Eric J. Loumeau</w:t>
            </w:r>
            <w:r>
              <w:rPr>
                <w:rFonts w:ascii="Arial" w:cs="Arial" w:eastAsia="Arial" w:hAnsi="Arial"/>
                <w:sz w:val="23"/>
                <w:szCs w:val="23"/>
                <w:color w:val="auto"/>
                <w:vertAlign w:val="superscript"/>
              </w:rPr>
              <w:t>(3)</w:t>
            </w:r>
          </w:p>
        </w:tc>
        <w:tc>
          <w:tcPr>
            <w:tcW w:w="2800" w:type="dxa"/>
            <w:vAlign w:val="bottom"/>
          </w:tcPr>
          <w:p>
            <w:pPr>
              <w:jc w:val="center"/>
              <w:ind w:left="1450"/>
              <w:spacing w:after="0"/>
              <w:rPr>
                <w:sz w:val="20"/>
                <w:szCs w:val="20"/>
                <w:color w:val="auto"/>
              </w:rPr>
            </w:pPr>
            <w:r>
              <w:rPr>
                <w:rFonts w:ascii="Arial" w:cs="Arial" w:eastAsia="Arial" w:hAnsi="Arial"/>
                <w:sz w:val="18"/>
                <w:szCs w:val="18"/>
                <w:color w:val="auto"/>
                <w:w w:val="89"/>
              </w:rPr>
              <w:t>221,885</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8"/>
                <w:szCs w:val="18"/>
                <w:color w:val="auto"/>
              </w:rPr>
              <w:t>Hamza Suria</w:t>
            </w:r>
            <w:r>
              <w:rPr>
                <w:rFonts w:ascii="Arial" w:cs="Arial" w:eastAsia="Arial" w:hAnsi="Arial"/>
                <w:sz w:val="23"/>
                <w:szCs w:val="23"/>
                <w:color w:val="auto"/>
                <w:vertAlign w:val="superscript"/>
              </w:rPr>
              <w:t>(4)</w:t>
            </w:r>
          </w:p>
        </w:tc>
        <w:tc>
          <w:tcPr>
            <w:tcW w:w="280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301,994</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Dennis Fenton, Ph.D.</w:t>
            </w:r>
            <w:r>
              <w:rPr>
                <w:rFonts w:ascii="Arial" w:cs="Arial" w:eastAsia="Arial" w:hAnsi="Arial"/>
                <w:sz w:val="23"/>
                <w:szCs w:val="23"/>
                <w:color w:val="auto"/>
                <w:vertAlign w:val="superscript"/>
              </w:rPr>
              <w:t>(5)</w:t>
            </w:r>
          </w:p>
        </w:tc>
        <w:tc>
          <w:tcPr>
            <w:tcW w:w="2800" w:type="dxa"/>
            <w:vAlign w:val="bottom"/>
          </w:tcPr>
          <w:p>
            <w:pPr>
              <w:jc w:val="center"/>
              <w:ind w:left="1450"/>
              <w:spacing w:after="0"/>
              <w:rPr>
                <w:sz w:val="20"/>
                <w:szCs w:val="20"/>
                <w:color w:val="auto"/>
              </w:rPr>
            </w:pPr>
            <w:r>
              <w:rPr>
                <w:rFonts w:ascii="Arial" w:cs="Arial" w:eastAsia="Arial" w:hAnsi="Arial"/>
                <w:sz w:val="18"/>
                <w:szCs w:val="18"/>
                <w:color w:val="auto"/>
                <w:w w:val="90"/>
              </w:rPr>
              <w:t>52,240</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Laura J. Hamill</w:t>
            </w:r>
            <w:r>
              <w:rPr>
                <w:rFonts w:ascii="Arial" w:cs="Arial" w:eastAsia="Arial" w:hAnsi="Arial"/>
                <w:sz w:val="23"/>
                <w:szCs w:val="23"/>
                <w:color w:val="auto"/>
                <w:vertAlign w:val="superscript"/>
              </w:rPr>
              <w:t>(6)</w:t>
            </w:r>
          </w:p>
        </w:tc>
        <w:tc>
          <w:tcPr>
            <w:tcW w:w="280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0"/>
              </w:rPr>
              <w:t>43,001</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Magda Marquet, Ph.D.</w:t>
            </w:r>
            <w:r>
              <w:rPr>
                <w:rFonts w:ascii="Arial" w:cs="Arial" w:eastAsia="Arial" w:hAnsi="Arial"/>
                <w:sz w:val="23"/>
                <w:szCs w:val="23"/>
                <w:color w:val="auto"/>
                <w:vertAlign w:val="superscript"/>
              </w:rPr>
              <w:t>(7)</w:t>
            </w:r>
          </w:p>
        </w:tc>
        <w:tc>
          <w:tcPr>
            <w:tcW w:w="2800" w:type="dxa"/>
            <w:vAlign w:val="bottom"/>
          </w:tcPr>
          <w:p>
            <w:pPr>
              <w:jc w:val="center"/>
              <w:ind w:left="1450"/>
              <w:spacing w:after="0"/>
              <w:rPr>
                <w:sz w:val="20"/>
                <w:szCs w:val="20"/>
                <w:color w:val="auto"/>
              </w:rPr>
            </w:pPr>
            <w:r>
              <w:rPr>
                <w:rFonts w:ascii="Arial" w:cs="Arial" w:eastAsia="Arial" w:hAnsi="Arial"/>
                <w:sz w:val="18"/>
                <w:szCs w:val="18"/>
                <w:color w:val="auto"/>
                <w:w w:val="90"/>
              </w:rPr>
              <w:t>33,073</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Oleg Nodelman</w:t>
            </w:r>
            <w:r>
              <w:rPr>
                <w:rFonts w:ascii="Arial" w:cs="Arial" w:eastAsia="Arial" w:hAnsi="Arial"/>
                <w:sz w:val="23"/>
                <w:szCs w:val="23"/>
                <w:color w:val="auto"/>
                <w:vertAlign w:val="superscript"/>
              </w:rPr>
              <w:t>(8)</w:t>
            </w:r>
          </w:p>
        </w:tc>
        <w:tc>
          <w:tcPr>
            <w:tcW w:w="28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89"/>
              </w:rPr>
              <w:t>7,520,424</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27.7</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Hollings Renton, M.B.A.</w:t>
            </w:r>
            <w:r>
              <w:rPr>
                <w:rFonts w:ascii="Arial" w:cs="Arial" w:eastAsia="Arial" w:hAnsi="Arial"/>
                <w:sz w:val="23"/>
                <w:szCs w:val="23"/>
                <w:color w:val="auto"/>
                <w:vertAlign w:val="superscript"/>
              </w:rPr>
              <w:t>(9)</w:t>
            </w:r>
          </w:p>
        </w:tc>
        <w:tc>
          <w:tcPr>
            <w:tcW w:w="2800" w:type="dxa"/>
            <w:vAlign w:val="bottom"/>
          </w:tcPr>
          <w:p>
            <w:pPr>
              <w:jc w:val="center"/>
              <w:ind w:left="1450"/>
              <w:spacing w:after="0"/>
              <w:rPr>
                <w:sz w:val="20"/>
                <w:szCs w:val="20"/>
                <w:color w:val="auto"/>
              </w:rPr>
            </w:pPr>
            <w:r>
              <w:rPr>
                <w:rFonts w:ascii="Arial" w:cs="Arial" w:eastAsia="Arial" w:hAnsi="Arial"/>
                <w:sz w:val="18"/>
                <w:szCs w:val="18"/>
                <w:color w:val="auto"/>
                <w:w w:val="89"/>
              </w:rPr>
              <w:t>112,889</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John P. Schmid, M.B.A.</w:t>
            </w:r>
            <w:r>
              <w:rPr>
                <w:rFonts w:ascii="Arial" w:cs="Arial" w:eastAsia="Arial" w:hAnsi="Arial"/>
                <w:sz w:val="23"/>
                <w:szCs w:val="23"/>
                <w:color w:val="auto"/>
                <w:vertAlign w:val="superscript"/>
              </w:rPr>
              <w:t>(10)</w:t>
            </w:r>
          </w:p>
        </w:tc>
        <w:tc>
          <w:tcPr>
            <w:tcW w:w="280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104,070</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James N. Topper, M.D., Ph.D.</w:t>
            </w:r>
            <w:r>
              <w:rPr>
                <w:rFonts w:ascii="Arial" w:cs="Arial" w:eastAsia="Arial" w:hAnsi="Arial"/>
                <w:sz w:val="23"/>
                <w:szCs w:val="23"/>
                <w:color w:val="auto"/>
                <w:vertAlign w:val="superscript"/>
              </w:rPr>
              <w:t>(11)</w:t>
            </w:r>
          </w:p>
        </w:tc>
        <w:tc>
          <w:tcPr>
            <w:tcW w:w="2800" w:type="dxa"/>
            <w:vAlign w:val="bottom"/>
          </w:tcPr>
          <w:p>
            <w:pPr>
              <w:jc w:val="center"/>
              <w:ind w:left="1430"/>
              <w:spacing w:after="0"/>
              <w:rPr>
                <w:sz w:val="20"/>
                <w:szCs w:val="20"/>
                <w:color w:val="auto"/>
              </w:rPr>
            </w:pPr>
            <w:r>
              <w:rPr>
                <w:rFonts w:ascii="Arial" w:cs="Arial" w:eastAsia="Arial" w:hAnsi="Arial"/>
                <w:sz w:val="18"/>
                <w:szCs w:val="18"/>
                <w:color w:val="auto"/>
                <w:w w:val="89"/>
              </w:rPr>
              <w:t>1,042,245</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Anthony Ware, M.D.</w:t>
            </w:r>
            <w:r>
              <w:rPr>
                <w:rFonts w:ascii="Arial" w:cs="Arial" w:eastAsia="Arial" w:hAnsi="Arial"/>
                <w:sz w:val="23"/>
                <w:szCs w:val="23"/>
                <w:color w:val="auto"/>
                <w:vertAlign w:val="superscript"/>
              </w:rPr>
              <w:t>(12)</w:t>
            </w:r>
          </w:p>
        </w:tc>
        <w:tc>
          <w:tcPr>
            <w:tcW w:w="280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0"/>
              </w:rPr>
              <w:t>89,598</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Arial" w:cs="Arial" w:eastAsia="Arial" w:hAnsi="Arial"/>
                <w:sz w:val="18"/>
                <w:szCs w:val="18"/>
                <w:b w:val="1"/>
                <w:bCs w:val="1"/>
                <w:color w:val="auto"/>
              </w:rPr>
              <w:t>Total Executive Officers and Directors as a Group (12 people)</w:t>
            </w:r>
            <w:r>
              <w:rPr>
                <w:rFonts w:ascii="Arial" w:cs="Arial" w:eastAsia="Arial" w:hAnsi="Arial"/>
                <w:sz w:val="23"/>
                <w:szCs w:val="23"/>
                <w:b w:val="1"/>
                <w:bCs w:val="1"/>
                <w:color w:val="auto"/>
                <w:vertAlign w:val="superscript"/>
              </w:rPr>
              <w:t>(13)</w:t>
            </w:r>
          </w:p>
        </w:tc>
        <w:tc>
          <w:tcPr>
            <w:tcW w:w="28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9,658,948</w:t>
            </w:r>
          </w:p>
        </w:tc>
        <w:tc>
          <w:tcPr>
            <w:tcW w:w="1700" w:type="dxa"/>
            <w:vAlign w:val="bottom"/>
          </w:tcPr>
          <w:p>
            <w:pPr>
              <w:jc w:val="center"/>
              <w:ind w:left="30"/>
              <w:spacing w:after="0"/>
              <w:rPr>
                <w:sz w:val="20"/>
                <w:szCs w:val="20"/>
                <w:color w:val="auto"/>
              </w:rPr>
            </w:pPr>
            <w:r>
              <w:rPr>
                <w:rFonts w:ascii="Arial" w:cs="Arial" w:eastAsia="Arial" w:hAnsi="Arial"/>
                <w:sz w:val="18"/>
                <w:szCs w:val="18"/>
                <w:b w:val="1"/>
                <w:bCs w:val="1"/>
                <w:color w:val="auto"/>
                <w:w w:val="85"/>
              </w:rPr>
              <w:t>35.5</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60" w:type="dxa"/>
            <w:vAlign w:val="bottom"/>
            <w:gridSpan w:val="3"/>
          </w:tcPr>
          <w:p>
            <w:pPr>
              <w:spacing w:after="0" w:line="189" w:lineRule="exact"/>
              <w:rPr>
                <w:sz w:val="20"/>
                <w:szCs w:val="20"/>
                <w:color w:val="auto"/>
              </w:rPr>
            </w:pPr>
            <w:r>
              <w:rPr>
                <w:rFonts w:ascii="Arial" w:cs="Arial" w:eastAsia="Arial" w:hAnsi="Arial"/>
                <w:sz w:val="18"/>
                <w:szCs w:val="18"/>
                <w:b w:val="1"/>
                <w:bCs w:val="1"/>
                <w:i w:val="1"/>
                <w:iCs w:val="1"/>
                <w:color w:val="auto"/>
              </w:rPr>
              <w:t>5% Stockholders</w:t>
            </w:r>
          </w:p>
        </w:tc>
        <w:tc>
          <w:tcPr>
            <w:tcW w:w="2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EcoR1 Capital LLC</w:t>
            </w:r>
            <w:r>
              <w:rPr>
                <w:rFonts w:ascii="Arial" w:cs="Arial" w:eastAsia="Arial" w:hAnsi="Arial"/>
                <w:sz w:val="23"/>
                <w:szCs w:val="23"/>
                <w:color w:val="auto"/>
                <w:vertAlign w:val="superscript"/>
              </w:rPr>
              <w:t>(14)</w:t>
            </w:r>
          </w:p>
        </w:tc>
        <w:tc>
          <w:tcPr>
            <w:tcW w:w="28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89"/>
              </w:rPr>
              <w:t>7,520,424</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27.7</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Arial" w:cs="Arial" w:eastAsia="Arial" w:hAnsi="Arial"/>
                <w:sz w:val="18"/>
                <w:szCs w:val="18"/>
                <w:color w:val="auto"/>
              </w:rPr>
              <w:t>Tang Capital Partners, LP</w:t>
            </w:r>
            <w:r>
              <w:rPr>
                <w:rFonts w:ascii="Arial" w:cs="Arial" w:eastAsia="Arial" w:hAnsi="Arial"/>
                <w:sz w:val="23"/>
                <w:szCs w:val="23"/>
                <w:color w:val="auto"/>
                <w:vertAlign w:val="superscript"/>
              </w:rPr>
              <w:t>(15)</w:t>
            </w:r>
          </w:p>
        </w:tc>
        <w:tc>
          <w:tcPr>
            <w:tcW w:w="2800" w:type="dxa"/>
            <w:vAlign w:val="bottom"/>
          </w:tcPr>
          <w:p>
            <w:pPr>
              <w:jc w:val="center"/>
              <w:ind w:left="1430"/>
              <w:spacing w:after="0"/>
              <w:rPr>
                <w:sz w:val="20"/>
                <w:szCs w:val="20"/>
                <w:color w:val="auto"/>
              </w:rPr>
            </w:pPr>
            <w:r>
              <w:rPr>
                <w:rFonts w:ascii="Arial" w:cs="Arial" w:eastAsia="Arial" w:hAnsi="Arial"/>
                <w:sz w:val="18"/>
                <w:szCs w:val="18"/>
                <w:color w:val="auto"/>
                <w:w w:val="89"/>
              </w:rPr>
              <w:t>2,628,678</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87"/>
              </w:rPr>
              <w:t>9.7</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8"/>
                <w:szCs w:val="18"/>
                <w:color w:val="auto"/>
              </w:rPr>
              <w:t>Point72 Asset Management, L.P.</w:t>
            </w:r>
            <w:r>
              <w:rPr>
                <w:rFonts w:ascii="Arial" w:cs="Arial" w:eastAsia="Arial" w:hAnsi="Arial"/>
                <w:sz w:val="23"/>
                <w:szCs w:val="23"/>
                <w:color w:val="auto"/>
                <w:vertAlign w:val="superscript"/>
              </w:rPr>
              <w:t>(16)</w:t>
            </w:r>
          </w:p>
        </w:tc>
        <w:tc>
          <w:tcPr>
            <w:tcW w:w="28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89"/>
              </w:rPr>
              <w:t>2,124,200</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r>
        <w:trPr>
          <w:trHeight w:val="229"/>
        </w:trPr>
        <w:tc>
          <w:tcPr>
            <w:tcW w:w="6700" w:type="dxa"/>
            <w:vAlign w:val="bottom"/>
            <w:gridSpan w:val="4"/>
          </w:tcPr>
          <w:p>
            <w:pPr>
              <w:ind w:left="40"/>
              <w:spacing w:after="0" w:line="230"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(17)</w:t>
            </w:r>
          </w:p>
        </w:tc>
        <w:tc>
          <w:tcPr>
            <w:tcW w:w="2800" w:type="dxa"/>
            <w:vAlign w:val="bottom"/>
          </w:tcPr>
          <w:p>
            <w:pPr>
              <w:jc w:val="center"/>
              <w:ind w:left="1430"/>
              <w:spacing w:after="0"/>
              <w:rPr>
                <w:sz w:val="20"/>
                <w:szCs w:val="20"/>
                <w:color w:val="auto"/>
              </w:rPr>
            </w:pPr>
            <w:r>
              <w:rPr>
                <w:rFonts w:ascii="Arial" w:cs="Arial" w:eastAsia="Arial" w:hAnsi="Arial"/>
                <w:sz w:val="18"/>
                <w:szCs w:val="18"/>
                <w:color w:val="auto"/>
                <w:w w:val="89"/>
              </w:rPr>
              <w:t>1,856,266</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(18)</w:t>
            </w:r>
          </w:p>
        </w:tc>
        <w:tc>
          <w:tcPr>
            <w:tcW w:w="28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89"/>
              </w:rPr>
              <w:t>1,776,908</w:t>
            </w:r>
          </w:p>
        </w:tc>
        <w:tc>
          <w:tcPr>
            <w:tcW w:w="1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99"/>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Federated Hermes, Inc.</w:t>
            </w:r>
            <w:r>
              <w:rPr>
                <w:rFonts w:ascii="Arial" w:cs="Arial" w:eastAsia="Arial" w:hAnsi="Arial"/>
                <w:sz w:val="23"/>
                <w:szCs w:val="23"/>
                <w:color w:val="auto"/>
                <w:vertAlign w:val="superscript"/>
              </w:rPr>
              <w:t>(19)</w:t>
            </w:r>
          </w:p>
        </w:tc>
        <w:tc>
          <w:tcPr>
            <w:tcW w:w="2800" w:type="dxa"/>
            <w:vAlign w:val="bottom"/>
          </w:tcPr>
          <w:p>
            <w:pPr>
              <w:jc w:val="center"/>
              <w:ind w:left="1430"/>
              <w:spacing w:after="0"/>
              <w:rPr>
                <w:sz w:val="20"/>
                <w:szCs w:val="20"/>
                <w:color w:val="auto"/>
              </w:rPr>
            </w:pPr>
            <w:r>
              <w:rPr>
                <w:rFonts w:ascii="Arial" w:cs="Arial" w:eastAsia="Arial" w:hAnsi="Arial"/>
                <w:sz w:val="18"/>
                <w:szCs w:val="18"/>
                <w:color w:val="auto"/>
                <w:w w:val="89"/>
              </w:rPr>
              <w:t>1,401,559</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w:t>
      </w:r>
    </w:p>
    <w:p>
      <w:pPr>
        <w:spacing w:after="0" w:line="7"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Represents beneficial ownership of 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61" w:right="339" w:bottom="1440" w:gutter="0" w:footer="0" w:header="0"/>
        </w:sectPr>
      </w:pPr>
    </w:p>
    <w:bookmarkStart w:id="23" w:name="page24"/>
    <w:bookmarkEnd w:id="23"/>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Consists of 16,715 shares of common stock issuable to Mr. Faga upon the exercise of stock options that are exercisable within 60 days of March 24, 2023.</w:t>
      </w:r>
    </w:p>
    <w:p>
      <w:pPr>
        <w:spacing w:after="0" w:line="124" w:lineRule="exact"/>
        <w:rPr>
          <w:rFonts w:ascii="Arial" w:cs="Arial" w:eastAsia="Arial" w:hAnsi="Arial"/>
          <w:sz w:val="15"/>
          <w:szCs w:val="15"/>
          <w:color w:val="auto"/>
        </w:rPr>
      </w:pPr>
    </w:p>
    <w:p>
      <w:pPr>
        <w:ind w:left="332" w:right="340" w:hanging="332"/>
        <w:spacing w:after="0" w:line="293"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(a) 1,751 shares of common stock held directly by Dr. Lizzul and (b) 119,063 shares of common stock issuable to Dr. Lizzul upon the exercise of stock options that are exercisable within 60 days of March 24, 2023.</w:t>
      </w:r>
    </w:p>
    <w:p>
      <w:pPr>
        <w:spacing w:after="0" w:line="50"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221,885 shares of common stock issuable to Mr. Loumeau upon the exercise of stock options that are exercisable within 60 days of March 24, 2023.</w:t>
      </w:r>
    </w:p>
    <w:p>
      <w:pPr>
        <w:spacing w:after="0" w:line="124" w:lineRule="exact"/>
        <w:rPr>
          <w:rFonts w:ascii="Arial" w:cs="Arial" w:eastAsia="Arial" w:hAnsi="Arial"/>
          <w:sz w:val="15"/>
          <w:szCs w:val="15"/>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301,994 shares of common stock issuable to Mr. Suria upon the exercise of stock options that are exercisable within 60 days of March 24, 2023.</w:t>
      </w:r>
    </w:p>
    <w:p>
      <w:pPr>
        <w:spacing w:after="0" w:line="138" w:lineRule="exact"/>
        <w:rPr>
          <w:rFonts w:ascii="Arial" w:cs="Arial" w:eastAsia="Arial" w:hAnsi="Arial"/>
          <w:sz w:val="15"/>
          <w:szCs w:val="15"/>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52,240 shares of common stock issuable to Dr. Fenton upon the exercise of stock options that are exercisable within 60 days of March 24, 2023.</w:t>
      </w:r>
    </w:p>
    <w:p>
      <w:pPr>
        <w:spacing w:after="0" w:line="124" w:lineRule="exact"/>
        <w:rPr>
          <w:rFonts w:ascii="Arial" w:cs="Arial" w:eastAsia="Arial" w:hAnsi="Arial"/>
          <w:sz w:val="15"/>
          <w:szCs w:val="15"/>
          <w:color w:val="auto"/>
        </w:rPr>
      </w:pPr>
    </w:p>
    <w:p>
      <w:pPr>
        <w:ind w:left="332" w:right="460" w:hanging="332"/>
        <w:spacing w:after="0" w:line="293"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43,001 shares of common stock issuable to Ms. Hamill upon the exercise of stock options that are exercisable within 60 days of March 24, 2023. Ms. Hamill resigned from our Board, effective April 1, 2023.</w:t>
      </w:r>
    </w:p>
    <w:p>
      <w:pPr>
        <w:spacing w:after="0" w:line="50"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33,073 shares of common stock issuable to Dr. Marquet upon the exercise of stock options that are exercisable within 60 days of March 24, 2023.</w:t>
      </w:r>
    </w:p>
    <w:p>
      <w:pPr>
        <w:spacing w:after="0" w:line="124" w:lineRule="exact"/>
        <w:rPr>
          <w:rFonts w:ascii="Arial" w:cs="Arial" w:eastAsia="Arial" w:hAnsi="Arial"/>
          <w:sz w:val="15"/>
          <w:szCs w:val="15"/>
          <w:color w:val="auto"/>
        </w:rPr>
      </w:pPr>
    </w:p>
    <w:p>
      <w:pPr>
        <w:ind w:left="332" w:right="80" w:hanging="332"/>
        <w:spacing w:after="0" w:line="293"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the shares of common stock described in footnote 14 below. Mr. Nodelman joined our board of directors in April 2021, and disclaims beneficial ownership of such shares, except to the extent of his pecuniary interest therein.</w:t>
      </w:r>
    </w:p>
    <w:p>
      <w:pPr>
        <w:spacing w:after="0" w:line="50"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112,889 shares of common stock issuable to Mr. Renton upon the exercise of stock options that are exercisable within 60 days of March 24, 2023.</w:t>
      </w:r>
    </w:p>
    <w:p>
      <w:pPr>
        <w:spacing w:after="0" w:line="124" w:lineRule="exact"/>
        <w:rPr>
          <w:rFonts w:ascii="Arial" w:cs="Arial" w:eastAsia="Arial" w:hAnsi="Arial"/>
          <w:sz w:val="15"/>
          <w:szCs w:val="15"/>
          <w:color w:val="auto"/>
        </w:rPr>
      </w:pPr>
    </w:p>
    <w:p>
      <w:pPr>
        <w:ind w:left="332" w:hanging="332"/>
        <w:spacing w:after="0"/>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104,070 shares of common stock issuable to Mr. Schmid upon the exercise of stock options that are exercisable within 60 days of March 24, 2023.</w:t>
      </w:r>
    </w:p>
    <w:p>
      <w:pPr>
        <w:spacing w:after="0" w:line="138" w:lineRule="exact"/>
        <w:rPr>
          <w:rFonts w:ascii="Arial" w:cs="Arial" w:eastAsia="Arial" w:hAnsi="Arial"/>
          <w:sz w:val="15"/>
          <w:szCs w:val="15"/>
          <w:color w:val="auto"/>
        </w:rPr>
      </w:pPr>
    </w:p>
    <w:p>
      <w:pPr>
        <w:ind w:left="332" w:right="380" w:hanging="332"/>
        <w:spacing w:after="0" w:line="269"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(a) 899,700 shares of common stock held directly by Frazier Healthcare V, L.P based on Schedule 13-D/A filed on November 18, 2020 and (b) 80,812 shares of common stock held directly by Dr. Topper and (c) 61,733 shares of common stock issuable to Dr. Topper upon the exercise of stock options that are exercisable within 60 days of March 24, 2023.</w:t>
      </w:r>
    </w:p>
    <w:p>
      <w:pPr>
        <w:spacing w:after="0" w:line="69" w:lineRule="exact"/>
        <w:rPr>
          <w:rFonts w:ascii="Arial" w:cs="Arial" w:eastAsia="Arial" w:hAnsi="Arial"/>
          <w:sz w:val="16"/>
          <w:szCs w:val="16"/>
          <w:color w:val="auto"/>
        </w:rPr>
      </w:pPr>
    </w:p>
    <w:p>
      <w:pPr>
        <w:ind w:left="332" w:right="40" w:hanging="332"/>
        <w:spacing w:after="0" w:line="275"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(a) 3,600 shares of common stock held directly by Dr. Ware and (b) 85,998 shares of common stock issuable to Dr. Ware upon the exercise of stock options that are exercisable within 60 days of March 24, 2023.</w:t>
      </w:r>
    </w:p>
    <w:p>
      <w:pPr>
        <w:spacing w:after="0" w:line="77" w:lineRule="exact"/>
        <w:rPr>
          <w:rFonts w:ascii="Arial" w:cs="Arial" w:eastAsia="Arial" w:hAnsi="Arial"/>
          <w:sz w:val="16"/>
          <w:szCs w:val="16"/>
          <w:color w:val="auto"/>
        </w:rPr>
      </w:pPr>
    </w:p>
    <w:p>
      <w:pPr>
        <w:ind w:left="332" w:right="340" w:hanging="332"/>
        <w:spacing w:after="0" w:line="275"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8,506,987 shares of common stock and (b) 1,152,661 shares of common stock issuable upon the exercise of stock options that are exercisable within 60 days of March 24, 2023.</w:t>
      </w:r>
    </w:p>
    <w:p>
      <w:pPr>
        <w:spacing w:after="0" w:line="77" w:lineRule="exact"/>
        <w:rPr>
          <w:rFonts w:ascii="Arial" w:cs="Arial" w:eastAsia="Arial" w:hAnsi="Arial"/>
          <w:sz w:val="16"/>
          <w:szCs w:val="16"/>
          <w:color w:val="auto"/>
        </w:rPr>
      </w:pPr>
    </w:p>
    <w:p>
      <w:pPr>
        <w:jc w:val="both"/>
        <w:ind w:left="332" w:right="160" w:hanging="332"/>
        <w:spacing w:after="0" w:line="261"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7,520,424 shares of common stock held directly by EcoR1 Capital Fund Qualified, L.P. Each of EcoR1 Capital Fund Qualified, L.P., EcoR1 Capital, LLC and Oleg Nodelman have shared voting and dispositive power over such shares. The address of each of EcoR1 Capital Fund Qualified, L.P., EcoR1 Capital, LLC and Mr. Nodelman is 357 Tehama Street #3, San Francisco, California 94103.</w:t>
      </w:r>
    </w:p>
    <w:p>
      <w:pPr>
        <w:spacing w:after="0" w:line="88" w:lineRule="exact"/>
        <w:rPr>
          <w:rFonts w:ascii="Arial" w:cs="Arial" w:eastAsia="Arial" w:hAnsi="Arial"/>
          <w:sz w:val="16"/>
          <w:szCs w:val="16"/>
          <w:color w:val="auto"/>
        </w:rPr>
      </w:pPr>
    </w:p>
    <w:p>
      <w:pPr>
        <w:ind w:left="332" w:right="340" w:hanging="332"/>
        <w:spacing w:after="0" w:line="275"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Schedule 13-G/A filed by Tang Capital Partners, L.P. on February 16, 2021. Consists of 2,628,678 shares of common stock held directly by Tang Capital Partners L.P. The address of Tang Capital Partners L.P. is 4747 Executive Drive, Suite 210, San Diego, CA 92121.</w:t>
      </w:r>
    </w:p>
    <w:p>
      <w:pPr>
        <w:spacing w:after="0" w:line="77" w:lineRule="exact"/>
        <w:rPr>
          <w:rFonts w:ascii="Arial" w:cs="Arial" w:eastAsia="Arial" w:hAnsi="Arial"/>
          <w:sz w:val="16"/>
          <w:szCs w:val="16"/>
          <w:color w:val="auto"/>
        </w:rPr>
      </w:pPr>
    </w:p>
    <w:p>
      <w:pPr>
        <w:ind w:left="332" w:right="220" w:hanging="332"/>
        <w:spacing w:after="0" w:line="310" w:lineRule="auto"/>
        <w:tabs>
          <w:tab w:leader="none" w:pos="3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Schedule 13-G/A filed by Point72 Asset Management, L.P. (“Point72”) filed on February 14, 2023. Consists of 2,124,200 shares of common stock held by Point72 Capital Advisors, Inc., Point72 Associates, LLC and Steven A. Cohen. Point72’s address is 72 Cummings Point Road, Stamford, CT 06902.</w:t>
      </w:r>
    </w:p>
    <w:p>
      <w:pPr>
        <w:spacing w:after="0" w:line="40" w:lineRule="exact"/>
        <w:rPr>
          <w:rFonts w:ascii="Arial" w:cs="Arial" w:eastAsia="Arial" w:hAnsi="Arial"/>
          <w:sz w:val="15"/>
          <w:szCs w:val="15"/>
          <w:color w:val="auto"/>
        </w:rPr>
      </w:pPr>
    </w:p>
    <w:p>
      <w:pPr>
        <w:ind w:left="332" w:right="20" w:hanging="332"/>
        <w:spacing w:after="0" w:line="259"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Schedule 13-G/A filed by BlackRock, Inc. (“Blackrock”) on February 1, 2023. Consists of 1,856,266 shares of common stock held by the following subsidiaries of BlackRock, Inc, or BlackRock: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Blackrock’s address is 55 East 52nd Street, New York, New York 10055.</w:t>
      </w:r>
    </w:p>
    <w:p>
      <w:pPr>
        <w:spacing w:after="0" w:line="91" w:lineRule="exact"/>
        <w:rPr>
          <w:rFonts w:ascii="Arial" w:cs="Arial" w:eastAsia="Arial" w:hAnsi="Arial"/>
          <w:sz w:val="16"/>
          <w:szCs w:val="16"/>
          <w:color w:val="auto"/>
        </w:rPr>
      </w:pPr>
    </w:p>
    <w:p>
      <w:pPr>
        <w:jc w:val="both"/>
        <w:ind w:left="332" w:hanging="332"/>
        <w:spacing w:after="0" w:line="262"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Schedule 13-G/A filed by The Vanguard Group on February 9, 2023. Consists of 1,776,908 shares of common stock held by the following subsidiaries of The Vanguard Group: Vanguard Asset Management, Limited, Vanguard Fiduciary Trust Company, Vanguard Global Advisors, Vanguard Group (Ireland) Limited, Vanguard Investments Australia Ltd, Vanguard Investments Canada Inc., Vanguard Investments Hong Kong Limited, and Vanguard Investments UK, Limited. The address of The Vanguard Group is 100 Vanguard Blvd. Malvern, Pennsylvania 19355.</w:t>
      </w:r>
    </w:p>
    <w:p>
      <w:pPr>
        <w:spacing w:after="0" w:line="60" w:lineRule="exact"/>
        <w:rPr>
          <w:rFonts w:ascii="Arial" w:cs="Arial" w:eastAsia="Arial" w:hAnsi="Arial"/>
          <w:sz w:val="16"/>
          <w:szCs w:val="16"/>
          <w:color w:val="auto"/>
        </w:rPr>
      </w:pPr>
    </w:p>
    <w:p>
      <w:pPr>
        <w:ind w:left="332" w:right="320" w:hanging="332"/>
        <w:spacing w:after="0" w:line="230"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Schedule 13-G/A filed by Federated Hermes, Inc.(“FHI”) on February 9, 2023. Consists of 1,401,559 shares of common stock held by Federated Equity Management Company of Pennsylvania and Federated Global Investment Management Corp., which are wholly owned subsidiaries of FII Holdings, Inc., which is wholly owned subsidiary of FHI. All of FHI’s. outstanding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12"/>
          </w:cols>
          <w:pgMar w:left="328" w:top="1169"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stock is held in the Voting Shares Irrevocable Trust for which Thomas R. Donahue, Rhodora J. Donahue and J. Christopher Donahue act as trustees. FHI’s address is 1001 Liberty Avenue, Pittsburgh, PA 15222.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60"/>
          </w:cols>
          <w:pgMar w:left="660" w:top="1156" w:right="579" w:bottom="1440" w:gutter="0" w:footer="0" w:header="0"/>
        </w:sectPr>
      </w:pPr>
    </w:p>
    <w:bookmarkStart w:id="25" w:name="page26"/>
    <w:bookmarkEnd w:id="25"/>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executive officers as of March 31, 2023:</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Name</w:t>
            </w:r>
          </w:p>
        </w:tc>
        <w:tc>
          <w:tcPr>
            <w:tcW w:w="2400" w:type="dxa"/>
            <w:vAlign w:val="bottom"/>
            <w:tcBorders>
              <w:bottom w:val="single" w:sz="8" w:color="auto"/>
            </w:tcBorders>
            <w:shd w:val="clear" w:color="auto" w:fill="CCEEFF"/>
          </w:tcPr>
          <w:p>
            <w:pPr>
              <w:jc w:val="center"/>
              <w:ind w:left="1832"/>
              <w:spacing w:after="0"/>
              <w:rPr>
                <w:sz w:val="20"/>
                <w:szCs w:val="20"/>
                <w:color w:val="auto"/>
              </w:rPr>
            </w:pPr>
            <w:r>
              <w:rPr>
                <w:rFonts w:ascii="Arial" w:cs="Arial" w:eastAsia="Arial" w:hAnsi="Arial"/>
                <w:sz w:val="16"/>
                <w:szCs w:val="16"/>
                <w:b w:val="1"/>
                <w:bCs w:val="1"/>
                <w:color w:val="auto"/>
                <w:w w:val="92"/>
              </w:rPr>
              <w:t>Age</w:t>
            </w:r>
          </w:p>
        </w:tc>
        <w:tc>
          <w:tcPr>
            <w:tcW w:w="5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Position</w:t>
            </w:r>
          </w:p>
        </w:tc>
      </w:tr>
      <w:tr>
        <w:trPr>
          <w:trHeight w:val="223"/>
        </w:trPr>
        <w:tc>
          <w:tcPr>
            <w:tcW w:w="3160" w:type="dxa"/>
            <w:vAlign w:val="bottom"/>
          </w:tcPr>
          <w:p>
            <w:pPr>
              <w:ind w:left="40"/>
              <w:spacing w:after="0"/>
              <w:rPr>
                <w:sz w:val="20"/>
                <w:szCs w:val="20"/>
                <w:color w:val="auto"/>
              </w:rPr>
            </w:pPr>
            <w:r>
              <w:rPr>
                <w:rFonts w:ascii="Arial" w:cs="Arial" w:eastAsia="Arial" w:hAnsi="Arial"/>
                <w:sz w:val="18"/>
                <w:szCs w:val="18"/>
                <w:color w:val="auto"/>
              </w:rPr>
              <w:t>Daniel Faga</w:t>
            </w:r>
          </w:p>
        </w:tc>
        <w:tc>
          <w:tcPr>
            <w:tcW w:w="2400" w:type="dxa"/>
            <w:vAlign w:val="bottom"/>
          </w:tcPr>
          <w:p>
            <w:pPr>
              <w:jc w:val="center"/>
              <w:ind w:left="1812"/>
              <w:spacing w:after="0"/>
              <w:rPr>
                <w:sz w:val="20"/>
                <w:szCs w:val="20"/>
                <w:color w:val="auto"/>
              </w:rPr>
            </w:pPr>
            <w:r>
              <w:rPr>
                <w:rFonts w:ascii="Arial" w:cs="Arial" w:eastAsia="Arial" w:hAnsi="Arial"/>
                <w:sz w:val="18"/>
                <w:szCs w:val="18"/>
                <w:color w:val="auto"/>
                <w:w w:val="89"/>
              </w:rPr>
              <w:t>43</w:t>
            </w:r>
          </w:p>
        </w:tc>
        <w:tc>
          <w:tcPr>
            <w:tcW w:w="5640" w:type="dxa"/>
            <w:vAlign w:val="bottom"/>
          </w:tcPr>
          <w:p>
            <w:pPr>
              <w:ind w:left="120"/>
              <w:spacing w:after="0"/>
              <w:rPr>
                <w:sz w:val="20"/>
                <w:szCs w:val="20"/>
                <w:color w:val="auto"/>
              </w:rPr>
            </w:pPr>
            <w:r>
              <w:rPr>
                <w:rFonts w:ascii="Arial" w:cs="Arial" w:eastAsia="Arial" w:hAnsi="Arial"/>
                <w:sz w:val="18"/>
                <w:szCs w:val="18"/>
                <w:color w:val="auto"/>
              </w:rPr>
              <w:t>Interim President and Chief Executive Officer and Director</w:t>
            </w:r>
          </w:p>
        </w:tc>
      </w:tr>
      <w:tr>
        <w:trPr>
          <w:trHeight w:val="230"/>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Eric Loumeau</w:t>
            </w:r>
          </w:p>
        </w:tc>
        <w:tc>
          <w:tcPr>
            <w:tcW w:w="24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89"/>
              </w:rPr>
              <w:t>60</w:t>
            </w: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Operating Officer and General Counsel</w:t>
            </w: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rPr>
              <w:t>Paul Lizzul</w:t>
            </w:r>
          </w:p>
        </w:tc>
        <w:tc>
          <w:tcPr>
            <w:tcW w:w="2400" w:type="dxa"/>
            <w:vAlign w:val="bottom"/>
          </w:tcPr>
          <w:p>
            <w:pPr>
              <w:jc w:val="center"/>
              <w:ind w:left="1812"/>
              <w:spacing w:after="0"/>
              <w:rPr>
                <w:sz w:val="20"/>
                <w:szCs w:val="20"/>
                <w:color w:val="auto"/>
              </w:rPr>
            </w:pPr>
            <w:r>
              <w:rPr>
                <w:rFonts w:ascii="Arial" w:cs="Arial" w:eastAsia="Arial" w:hAnsi="Arial"/>
                <w:sz w:val="18"/>
                <w:szCs w:val="18"/>
                <w:color w:val="auto"/>
                <w:w w:val="89"/>
              </w:rPr>
              <w:t>48</w:t>
            </w:r>
          </w:p>
        </w:tc>
        <w:tc>
          <w:tcPr>
            <w:tcW w:w="5640" w:type="dxa"/>
            <w:vAlign w:val="bottom"/>
          </w:tcPr>
          <w:p>
            <w:pPr>
              <w:ind w:left="120"/>
              <w:spacing w:after="0"/>
              <w:rPr>
                <w:sz w:val="20"/>
                <w:szCs w:val="20"/>
                <w:color w:val="auto"/>
              </w:rPr>
            </w:pPr>
            <w:r>
              <w:rPr>
                <w:rFonts w:ascii="Arial" w:cs="Arial" w:eastAsia="Arial" w:hAnsi="Arial"/>
                <w:sz w:val="18"/>
                <w:szCs w:val="18"/>
                <w:color w:val="auto"/>
              </w:rPr>
              <w:t>Chief Medical Officer</w:t>
            </w: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Dennis Mulroy</w:t>
            </w:r>
          </w:p>
        </w:tc>
        <w:tc>
          <w:tcPr>
            <w:tcW w:w="24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89"/>
              </w:rPr>
              <w:t>68</w:t>
            </w: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3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Mr. Faga’s biographical information is set forth above under the heading “Proposal No. 1 Election of Class III Directors - Directors not Standing for Election”.</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Eric Loumeau, J.D. </w:t>
      </w:r>
      <w:r>
        <w:rPr>
          <w:rFonts w:ascii="Arial" w:cs="Arial" w:eastAsia="Arial" w:hAnsi="Arial"/>
          <w:sz w:val="17"/>
          <w:szCs w:val="17"/>
          <w:color w:val="auto"/>
        </w:rPr>
        <w:t>has served as our Chief Operating Officer since July 2020 and as our General Counsel since August 2018. Mr. Loumeau also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Paul Lizzul M.D., Ph.D., M.P.H., M.B.A. </w:t>
      </w:r>
      <w:r>
        <w:rPr>
          <w:rFonts w:ascii="Arial" w:cs="Arial" w:eastAsia="Arial" w:hAnsi="Arial"/>
          <w:sz w:val="16"/>
          <w:szCs w:val="16"/>
          <w:color w:val="auto"/>
        </w:rPr>
        <w:t>joined our Company as our Chief Medical Officer in July 2020. Dr. Lizzul previously served as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Director of Amgen Inc, a pharmaceutical company, from January 2020 to July 2020. Before joining Amgen, he served as Chief Medical Officer of Sienna Biopharmaceuticals, Inc. from 2016 to January 2020. Previously, he served as Senior Medical Director and Head of Safety at Kythera Biopharmaceuticals, Inc., and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Dennis Mulroy </w:t>
      </w:r>
      <w:r>
        <w:rPr>
          <w:rFonts w:ascii="Arial" w:cs="Arial" w:eastAsia="Arial" w:hAnsi="Arial"/>
          <w:sz w:val="18"/>
          <w:szCs w:val="18"/>
          <w:color w:val="auto"/>
        </w:rPr>
        <w:t>has served as our Chief Financial Officer since July 2020. Mr. Mulroy previously served as Chief Financial Officer for La Jolla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Company from April 2015 to May 2020. Before joining La Jolla Pharmaceutical, he served as Chief Financial Officer of Taxus Cardium Pharmaceuticals Group, Inc., and Chief Financial Officer of Molecular Imaging, Inc., Chief Financial Officer of SeraCare Life Sciences, Inc. Mr. Mulroy began his career at Ernst &amp; Young LLP. Mr. Mulroy received a B.S. degree in business administration, with an emphasis in accounting, from the University of San Diego and is a Certified Public Accountant (inactive) in the state of California.</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147" w:right="359" w:bottom="1440" w:gutter="0" w:footer="0" w:header="0"/>
        </w:sectPr>
      </w:pPr>
    </w:p>
    <w:bookmarkStart w:id="26" w:name="page27"/>
    <w:bookmarkEnd w:id="26"/>
    <w:p>
      <w:pPr>
        <w:ind w:right="620"/>
        <w:spacing w:after="0" w:line="277" w:lineRule="auto"/>
        <w:rPr>
          <w:sz w:val="20"/>
          <w:szCs w:val="20"/>
          <w:color w:val="auto"/>
        </w:rPr>
      </w:pPr>
      <w:r>
        <w:rPr>
          <w:rFonts w:ascii="Arial" w:cs="Arial" w:eastAsia="Arial" w:hAnsi="Arial"/>
          <w:sz w:val="18"/>
          <w:szCs w:val="18"/>
          <w:color w:val="auto"/>
        </w:rPr>
        <w:t>business and the market in which we compete for executive talent. The following summarizes our executive compensation and related policies and practices: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What We Do</w:t>
      </w:r>
    </w:p>
    <w:p>
      <w:pPr>
        <w:spacing w:after="0" w:line="229" w:lineRule="exact"/>
        <w:rPr>
          <w:sz w:val="20"/>
          <w:szCs w:val="20"/>
          <w:color w:val="auto"/>
        </w:rPr>
      </w:pPr>
    </w:p>
    <w:p>
      <w:pPr>
        <w:ind w:left="980" w:right="2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 Independent Compensation Committee. </w:t>
      </w:r>
      <w:r>
        <w:rPr>
          <w:rFonts w:ascii="Arial" w:cs="Arial" w:eastAsia="Arial" w:hAnsi="Arial"/>
          <w:sz w:val="18"/>
          <w:szCs w:val="18"/>
          <w:color w:val="auto"/>
        </w:rPr>
        <w:t>Our compensation committee consists solely of independent directors who establish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practices.</w:t>
      </w:r>
    </w:p>
    <w:p>
      <w:pPr>
        <w:spacing w:after="0" w:line="102" w:lineRule="exact"/>
        <w:rPr>
          <w:rFonts w:ascii="Arial" w:cs="Arial" w:eastAsia="Arial" w:hAnsi="Arial"/>
          <w:sz w:val="18"/>
          <w:szCs w:val="18"/>
          <w:color w:val="auto"/>
        </w:rPr>
      </w:pPr>
    </w:p>
    <w:p>
      <w:pPr>
        <w:ind w:left="980" w:right="4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an Independent Compensation Advisor. </w:t>
      </w:r>
      <w:r>
        <w:rPr>
          <w:rFonts w:ascii="Arial" w:cs="Arial" w:eastAsia="Arial" w:hAnsi="Arial"/>
          <w:sz w:val="18"/>
          <w:szCs w:val="18"/>
          <w:color w:val="auto"/>
        </w:rPr>
        <w:t>Our compensation committee has engaged its own compensation consultant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analysis, and other advice on executive compensation independent of management. This consultant performed no other consulting or other services for us in 2022.</w:t>
      </w:r>
    </w:p>
    <w:p>
      <w:pPr>
        <w:spacing w:after="0" w:line="102" w:lineRule="exact"/>
        <w:rPr>
          <w:rFonts w:ascii="Arial" w:cs="Arial" w:eastAsia="Arial" w:hAnsi="Arial"/>
          <w:sz w:val="18"/>
          <w:szCs w:val="18"/>
          <w:color w:val="auto"/>
        </w:rPr>
      </w:pPr>
    </w:p>
    <w:p>
      <w:pPr>
        <w:ind w:left="980" w:right="100" w:hanging="324"/>
        <w:spacing w:after="0" w:line="301"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Executive Compensation Review. </w:t>
      </w:r>
      <w:r>
        <w:rPr>
          <w:rFonts w:ascii="Arial" w:cs="Arial" w:eastAsia="Arial" w:hAnsi="Arial"/>
          <w:sz w:val="16"/>
          <w:szCs w:val="16"/>
          <w:color w:val="auto"/>
        </w:rPr>
        <w:t>Our compensation committee conducts an annual review and approval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89" w:lineRule="exact"/>
        <w:rPr>
          <w:rFonts w:ascii="Arial" w:cs="Arial" w:eastAsia="Arial" w:hAnsi="Arial"/>
          <w:sz w:val="16"/>
          <w:szCs w:val="16"/>
          <w:color w:val="auto"/>
        </w:rPr>
      </w:pPr>
    </w:p>
    <w:p>
      <w:pPr>
        <w:ind w:left="980" w:right="24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 of each of our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compensation is “at-risk” based on corporate performance, as well as equity-based, to align the interests of our executive officers and stockholders.</w:t>
      </w:r>
    </w:p>
    <w:p>
      <w:pPr>
        <w:spacing w:after="0" w:line="116" w:lineRule="exact"/>
        <w:rPr>
          <w:rFonts w:ascii="Arial" w:cs="Arial" w:eastAsia="Arial" w:hAnsi="Arial"/>
          <w:sz w:val="18"/>
          <w:szCs w:val="18"/>
          <w:color w:val="auto"/>
        </w:rPr>
      </w:pPr>
    </w:p>
    <w:p>
      <w:pPr>
        <w:ind w:left="980" w:right="100" w:hanging="324"/>
        <w:spacing w:after="0" w:line="279"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 a “Pay-for-Performance” Philosophy. </w:t>
      </w:r>
      <w:r>
        <w:rPr>
          <w:rFonts w:ascii="Arial" w:cs="Arial" w:eastAsia="Arial" w:hAnsi="Arial"/>
          <w:sz w:val="17"/>
          <w:szCs w:val="17"/>
          <w:color w:val="auto"/>
        </w:rPr>
        <w:t>The majority of our Named Executive Officers’ compensation is directly linked to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90" w:lineRule="exact"/>
        <w:rPr>
          <w:rFonts w:ascii="Arial" w:cs="Arial" w:eastAsia="Arial" w:hAnsi="Arial"/>
          <w:sz w:val="17"/>
          <w:szCs w:val="17"/>
          <w:color w:val="auto"/>
        </w:rPr>
      </w:pPr>
    </w:p>
    <w:p>
      <w:pPr>
        <w:ind w:left="980" w:right="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On an as-needed basis, we review the risks associated with our Named Executive Officer positions to ensure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succession plans are in place.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What We Do Not Do</w:t>
      </w:r>
    </w:p>
    <w:p>
      <w:pPr>
        <w:spacing w:after="0" w:line="18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Guaranteed Bonuses. </w:t>
      </w:r>
      <w:r>
        <w:rPr>
          <w:rFonts w:ascii="Arial" w:cs="Arial" w:eastAsia="Arial" w:hAnsi="Arial"/>
          <w:sz w:val="18"/>
          <w:szCs w:val="18"/>
          <w:color w:val="auto"/>
        </w:rPr>
        <w:t>We do not provide guaranteed bonuses to our Named Executive Officers.</w:t>
      </w:r>
    </w:p>
    <w:p>
      <w:pPr>
        <w:spacing w:after="0" w:line="157"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Executive Retirement Plans. </w:t>
      </w:r>
      <w:r>
        <w:rPr>
          <w:rFonts w:ascii="Arial" w:cs="Arial" w:eastAsia="Arial" w:hAnsi="Arial"/>
          <w:sz w:val="16"/>
          <w:szCs w:val="16"/>
          <w:color w:val="auto"/>
        </w:rPr>
        <w:t>We do not currently offer defined benefit pension plans or any non-qualified deferred compensation plans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to our Named Executive Officers other than the plans and arrangements that are available to employees generally.</w:t>
      </w:r>
    </w:p>
    <w:p>
      <w:pPr>
        <w:spacing w:after="0" w:line="42"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Hedging or Pledging. </w:t>
      </w:r>
      <w:r>
        <w:rPr>
          <w:rFonts w:ascii="Arial" w:cs="Arial" w:eastAsia="Arial" w:hAnsi="Arial"/>
          <w:sz w:val="18"/>
          <w:szCs w:val="18"/>
          <w:color w:val="auto"/>
        </w:rPr>
        <w:t>We prohibit our employees (including our Named Executive Officers) and the non-employee members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from hedging or pledging our securities.</w:t>
      </w:r>
    </w:p>
    <w:p>
      <w:pPr>
        <w:spacing w:after="0" w:line="10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Special Welfare or Health Benefits. </w:t>
      </w:r>
      <w:r>
        <w:rPr>
          <w:rFonts w:ascii="Arial" w:cs="Arial" w:eastAsia="Arial" w:hAnsi="Arial"/>
          <w:sz w:val="18"/>
          <w:szCs w:val="18"/>
          <w:color w:val="auto"/>
        </w:rPr>
        <w:t>We do not provide our Named Executive Officers with any welfare or health benefit programs,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participation in our broad-based employee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Advisory Vote to Approve Named Executive Officer Compensation</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our 2022 Annual Meeting of Stockholders, we conducted our non-binding stockholder advisory vote on the compensation of our named executive officers (commonly known as a “Say-on-Pay” vote). Approximately 95% of the votes cast approved our executive compensation program for 2021. Our board of directors and our compensation committee consider the result of the Say-on-Pay vote in determining the compensation of our executive officers, including our named executive officers. Based on the strong level of support for our executive compensation program demonstrated by the result of last year’s Say-on-Pay vote, among other factors, our board of directors and our compensation committee determined not to implement significant changes to our executive compensation program for 2022.</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value the opinion of our stockholders. Our board of directors and our compensation committee will continue to consider the result of the Say-on-Pay vote, as well as feedback received throughout the year, when making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165" w:right="37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In addition, consistent with the recommendation of our board of directors and the preference of our stockholders as reflected in the non-binding stockholder advisory vote on the frequency of future Say-on-Pay votes held at our 2019 Annual Meeting of Stockholders, we continue to hold future Say-on-Pay votes on an annual basis. Accordingly, after the vote at the Annual Meeting to which this Proxy Statement relates, our next Say-on-Pay vote will be conducted at our 2024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objectives of our executive compensation program, policies, and practices are to:</w:t>
      </w:r>
    </w:p>
    <w:p>
      <w:pPr>
        <w:spacing w:after="0" w:line="19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competitive compensation which enables us to attract and retain high-caliber executives;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reward the achievement of our business objectives by directly linking annual bonuses to the achievement of objectives that build long-term stockholder value;</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aligning the interests of our executives with those of our stockholders by incentivizing and rewarding the creation of stockholder value.</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long-term incentive compensation, we have also implemented an annual performance-based cash bonus plan for our Named Executive Officers. Payments under this cash bonus plan are based primarily on our level of achievement of pre-established corporate performance goals to reflect the fact that our Named Executive Officers make the key strategic decisions influencing our Company as a whole.</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8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spacing w:after="0" w:line="1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2022,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Positioning</w:t>
      </w:r>
    </w:p>
    <w:p>
      <w:pPr>
        <w:spacing w:after="0" w:line="1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2022,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65" w:right="33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t>inflammation, immune-oncology, and other antibody-based therapies; (ii) with lead drugs in phase II or III or pending approval; (iii) 25 - 230 employees; and (iv) a market capitalization of 0.33x to 3.0x our market capitalization.</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a review of the analysis prepared by Compensia, in September 2022 our compensation committee approved an updated compensation peer group, referred to as the 2022 peer group, consisting of the following companies: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Aeglea BioTherapeutics</w:t>
            </w:r>
          </w:p>
        </w:tc>
        <w:tc>
          <w:tcPr>
            <w:tcW w:w="3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CytomX Therapeutics</w:t>
            </w:r>
          </w:p>
        </w:tc>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Prothena</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Arcus Biosciences</w:t>
            </w:r>
          </w:p>
        </w:tc>
        <w:tc>
          <w:tcPr>
            <w:tcW w:w="3320" w:type="dxa"/>
            <w:vAlign w:val="bottom"/>
          </w:tcPr>
          <w:p>
            <w:pPr>
              <w:ind w:left="680"/>
              <w:spacing w:after="0"/>
              <w:rPr>
                <w:sz w:val="20"/>
                <w:szCs w:val="20"/>
                <w:color w:val="auto"/>
              </w:rPr>
            </w:pPr>
            <w:r>
              <w:rPr>
                <w:rFonts w:ascii="Arial" w:cs="Arial" w:eastAsia="Arial" w:hAnsi="Arial"/>
                <w:sz w:val="18"/>
                <w:szCs w:val="18"/>
                <w:color w:val="auto"/>
              </w:rPr>
              <w:t>Five Prime Therapeutics</w:t>
            </w:r>
          </w:p>
        </w:tc>
        <w:tc>
          <w:tcPr>
            <w:tcW w:w="4360" w:type="dxa"/>
            <w:vAlign w:val="bottom"/>
          </w:tcPr>
          <w:p>
            <w:pPr>
              <w:ind w:left="880"/>
              <w:spacing w:after="0"/>
              <w:rPr>
                <w:sz w:val="20"/>
                <w:szCs w:val="20"/>
                <w:color w:val="auto"/>
              </w:rPr>
            </w:pPr>
            <w:r>
              <w:rPr>
                <w:rFonts w:ascii="Arial" w:cs="Arial" w:eastAsia="Arial" w:hAnsi="Arial"/>
                <w:sz w:val="18"/>
                <w:szCs w:val="18"/>
                <w:color w:val="auto"/>
              </w:rPr>
              <w:t>Sangamo Therapeutics</w:t>
            </w:r>
          </w:p>
        </w:tc>
      </w:tr>
      <w:tr>
        <w:trPr>
          <w:trHeight w:val="23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Atara Biotherapeutics</w:t>
            </w:r>
          </w:p>
        </w:tc>
        <w:tc>
          <w:tcPr>
            <w:tcW w:w="3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Gossamer Bio</w:t>
            </w:r>
          </w:p>
        </w:tc>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Seres Therapeutics</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Calthera Biosciences</w:t>
            </w:r>
          </w:p>
        </w:tc>
        <w:tc>
          <w:tcPr>
            <w:tcW w:w="3320" w:type="dxa"/>
            <w:vAlign w:val="bottom"/>
          </w:tcPr>
          <w:p>
            <w:pPr>
              <w:ind w:left="680"/>
              <w:spacing w:after="0"/>
              <w:rPr>
                <w:sz w:val="20"/>
                <w:szCs w:val="20"/>
                <w:color w:val="auto"/>
              </w:rPr>
            </w:pPr>
            <w:r>
              <w:rPr>
                <w:rFonts w:ascii="Arial" w:cs="Arial" w:eastAsia="Arial" w:hAnsi="Arial"/>
                <w:sz w:val="18"/>
                <w:szCs w:val="18"/>
                <w:color w:val="auto"/>
              </w:rPr>
              <w:t>ImmunoGen</w:t>
            </w:r>
          </w:p>
        </w:tc>
        <w:tc>
          <w:tcPr>
            <w:tcW w:w="4360" w:type="dxa"/>
            <w:vAlign w:val="bottom"/>
          </w:tcPr>
          <w:p>
            <w:pPr>
              <w:ind w:left="880"/>
              <w:spacing w:after="0"/>
              <w:rPr>
                <w:sz w:val="20"/>
                <w:szCs w:val="20"/>
                <w:color w:val="auto"/>
              </w:rPr>
            </w:pPr>
            <w:r>
              <w:rPr>
                <w:rFonts w:ascii="Arial" w:cs="Arial" w:eastAsia="Arial" w:hAnsi="Arial"/>
                <w:sz w:val="18"/>
                <w:szCs w:val="18"/>
                <w:color w:val="auto"/>
              </w:rPr>
              <w:t>Syndax Pharmaceuticals</w:t>
            </w: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Constellation Pharmaceuticals</w:t>
            </w:r>
          </w:p>
        </w:tc>
        <w:tc>
          <w:tcPr>
            <w:tcW w:w="3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Jounce Therapeutics</w:t>
            </w:r>
          </w:p>
        </w:tc>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Voyager Therapeutics</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Corbus Pharmaceuticals</w:t>
            </w:r>
          </w:p>
        </w:tc>
        <w:tc>
          <w:tcPr>
            <w:tcW w:w="3320" w:type="dxa"/>
            <w:vAlign w:val="bottom"/>
          </w:tcPr>
          <w:p>
            <w:pPr>
              <w:ind w:left="680"/>
              <w:spacing w:after="0"/>
              <w:rPr>
                <w:sz w:val="20"/>
                <w:szCs w:val="20"/>
                <w:color w:val="auto"/>
              </w:rPr>
            </w:pPr>
            <w:r>
              <w:rPr>
                <w:rFonts w:ascii="Arial" w:cs="Arial" w:eastAsia="Arial" w:hAnsi="Arial"/>
                <w:sz w:val="18"/>
                <w:szCs w:val="18"/>
                <w:color w:val="auto"/>
              </w:rPr>
              <w:t>Kura Oncology</w:t>
            </w:r>
          </w:p>
        </w:tc>
        <w:tc>
          <w:tcPr>
            <w:tcW w:w="4360" w:type="dxa"/>
            <w:vAlign w:val="bottom"/>
          </w:tcPr>
          <w:p>
            <w:pPr>
              <w:ind w:left="880"/>
              <w:spacing w:after="0"/>
              <w:rPr>
                <w:sz w:val="20"/>
                <w:szCs w:val="20"/>
                <w:color w:val="auto"/>
              </w:rPr>
            </w:pPr>
            <w:r>
              <w:rPr>
                <w:rFonts w:ascii="Arial" w:cs="Arial" w:eastAsia="Arial" w:hAnsi="Arial"/>
                <w:sz w:val="18"/>
                <w:szCs w:val="18"/>
                <w:color w:val="auto"/>
              </w:rPr>
              <w:t>ZIOPHARM Oncology</w:t>
            </w: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CymaBay Therapeutics</w:t>
            </w:r>
          </w:p>
        </w:tc>
        <w:tc>
          <w:tcPr>
            <w:tcW w:w="3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MacroGenics</w:t>
            </w:r>
          </w:p>
        </w:tc>
        <w:tc>
          <w:tcPr>
            <w:tcW w:w="436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used this compensation peer group as a reference for its compensation decisions in December 2022.</w:t>
      </w:r>
    </w:p>
    <w:p>
      <w:pPr>
        <w:spacing w:after="0" w:line="185"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The compensation practices of the applicable compensation peer group was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165" w:right="3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certain of our executive officers during the years ended December 31, 2022 and 2021. These executive officers, who include our principal executive officer, our former principal executive officer, and the two most highly-compensated executive officers (other than our principal executive officers) who were serving as executive officers at the end of the fiscal year ended December 31, 2022, were:</w:t>
      </w:r>
    </w:p>
    <w:p>
      <w:pPr>
        <w:spacing w:after="0" w:line="16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Daniel Faga, Interim President and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Hamza Suria, Former President, Chief Executive Officer and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Paul F. Lizzul, Chief Medical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Eric Loumeau, Chief Operating Officer and General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these individuals as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2022 and 2021.</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Salary</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Option Awards</w:t>
            </w:r>
            <w:r>
              <w:rPr>
                <w:rFonts w:ascii="Arial" w:cs="Arial" w:eastAsia="Arial" w:hAnsi="Arial"/>
                <w:sz w:val="18"/>
                <w:szCs w:val="18"/>
                <w:b w:val="1"/>
                <w:bCs w:val="1"/>
                <w:color w:val="auto"/>
                <w:w w:val="90"/>
                <w:vertAlign w:val="superscript"/>
              </w:rPr>
              <w:t>(1)</w:t>
            </w: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RSU Awards</w:t>
            </w:r>
            <w:r>
              <w:rPr>
                <w:rFonts w:ascii="Arial" w:cs="Arial" w:eastAsia="Arial" w:hAnsi="Arial"/>
                <w:sz w:val="18"/>
                <w:szCs w:val="18"/>
                <w:b w:val="1"/>
                <w:bCs w:val="1"/>
                <w:color w:val="auto"/>
                <w:w w:val="95"/>
                <w:vertAlign w:val="superscript"/>
              </w:rPr>
              <w:t>(1)</w:t>
            </w: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Non-Equity</w:t>
            </w:r>
          </w:p>
        </w:tc>
        <w:tc>
          <w:tcPr>
            <w:tcW w:w="1380" w:type="dxa"/>
            <w:vAlign w:val="bottom"/>
          </w:tcPr>
          <w:p>
            <w:pPr>
              <w:jc w:val="center"/>
              <w:ind w:right="228"/>
              <w:spacing w:after="0"/>
              <w:rPr>
                <w:sz w:val="20"/>
                <w:szCs w:val="20"/>
                <w:color w:val="auto"/>
              </w:rPr>
            </w:pPr>
            <w:r>
              <w:rPr>
                <w:rFonts w:ascii="Arial" w:cs="Arial" w:eastAsia="Arial" w:hAnsi="Arial"/>
                <w:sz w:val="14"/>
                <w:szCs w:val="14"/>
                <w:b w:val="1"/>
                <w:bCs w:val="1"/>
                <w:color w:val="auto"/>
              </w:rPr>
              <w:t>All Other</w:t>
            </w:r>
          </w:p>
        </w:tc>
        <w:tc>
          <w:tcPr>
            <w:tcW w:w="10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0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8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CCEEF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CCEEF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CCEEF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CCEEFF"/>
            </w:tcBorders>
          </w:tcPr>
          <w:p>
            <w:pPr>
              <w:jc w:val="center"/>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CCEEFF"/>
            </w:tcBorders>
          </w:tcPr>
          <w:p>
            <w:pPr>
              <w:jc w:val="center"/>
              <w:ind w:right="228"/>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CCEEF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Daniel Faga</w:t>
            </w:r>
            <w:r>
              <w:rPr>
                <w:rFonts w:ascii="Arial" w:cs="Arial" w:eastAsia="Arial" w:hAnsi="Arial"/>
                <w:sz w:val="18"/>
                <w:szCs w:val="18"/>
                <w:color w:val="auto"/>
                <w:vertAlign w:val="superscript"/>
              </w:rPr>
              <w:t>(2)</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4"/>
                <w:szCs w:val="14"/>
                <w:color w:val="auto"/>
              </w:rPr>
              <w:t>483,578</w:t>
            </w:r>
            <w:r>
              <w:rPr>
                <w:rFonts w:ascii="Arial" w:cs="Arial" w:eastAsia="Arial" w:hAnsi="Arial"/>
                <w:sz w:val="18"/>
                <w:szCs w:val="18"/>
                <w:color w:val="auto"/>
                <w:vertAlign w:val="superscript"/>
              </w:rPr>
              <w:t>(3)</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4"/>
                <w:szCs w:val="14"/>
                <w:color w:val="auto"/>
              </w:rPr>
              <w:t>200,618</w:t>
            </w:r>
            <w:r>
              <w:rPr>
                <w:rFonts w:ascii="Arial" w:cs="Arial" w:eastAsia="Arial" w:hAnsi="Arial"/>
                <w:sz w:val="18"/>
                <w:szCs w:val="18"/>
                <w:color w:val="auto"/>
                <w:vertAlign w:val="superscript"/>
              </w:rPr>
              <w:t>(4)</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23,506,640</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240,609</w:t>
            </w:r>
          </w:p>
        </w:tc>
        <w:tc>
          <w:tcPr>
            <w:tcW w:w="1380" w:type="dxa"/>
            <w:vAlign w:val="bottom"/>
            <w:shd w:val="clear" w:color="auto" w:fill="CCEEFF"/>
          </w:tcPr>
          <w:p>
            <w:pPr>
              <w:jc w:val="right"/>
              <w:ind w:right="168"/>
              <w:spacing w:after="0" w:line="202" w:lineRule="exact"/>
              <w:rPr>
                <w:sz w:val="20"/>
                <w:szCs w:val="20"/>
                <w:color w:val="auto"/>
              </w:rPr>
            </w:pPr>
            <w:r>
              <w:rPr>
                <w:rFonts w:ascii="Arial" w:cs="Arial" w:eastAsia="Arial" w:hAnsi="Arial"/>
                <w:sz w:val="14"/>
                <w:szCs w:val="14"/>
                <w:color w:val="auto"/>
              </w:rPr>
              <w:t>8,905</w:t>
            </w:r>
            <w:r>
              <w:rPr>
                <w:rFonts w:ascii="Arial" w:cs="Arial" w:eastAsia="Arial" w:hAnsi="Arial"/>
                <w:sz w:val="18"/>
                <w:szCs w:val="18"/>
                <w:color w:val="auto"/>
                <w:vertAlign w:val="superscript"/>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24,440,350</w:t>
            </w:r>
          </w:p>
        </w:tc>
        <w:tc>
          <w:tcPr>
            <w:tcW w:w="0" w:type="dxa"/>
            <w:vAlign w:val="bottom"/>
          </w:tcPr>
          <w:p>
            <w:pPr>
              <w:spacing w:after="0"/>
              <w:rPr>
                <w:sz w:val="1"/>
                <w:szCs w:val="1"/>
                <w:color w:val="auto"/>
              </w:rPr>
            </w:pPr>
          </w:p>
        </w:tc>
      </w:tr>
      <w:tr>
        <w:trPr>
          <w:trHeight w:val="182"/>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w w:val="95"/>
              </w:rPr>
              <w:t>Interim President and Chief Executive Officer and Director</w:t>
            </w:r>
          </w:p>
        </w:tc>
        <w:tc>
          <w:tcPr>
            <w:tcW w:w="700" w:type="dxa"/>
            <w:vAlign w:val="bottom"/>
          </w:tcPr>
          <w:p>
            <w:pPr>
              <w:ind w:left="140"/>
              <w:spacing w:after="0"/>
              <w:rPr>
                <w:sz w:val="20"/>
                <w:szCs w:val="20"/>
                <w:color w:val="auto"/>
              </w:rPr>
            </w:pPr>
            <w:r>
              <w:rPr>
                <w:rFonts w:ascii="Arial" w:cs="Arial" w:eastAsia="Arial" w:hAnsi="Arial"/>
                <w:sz w:val="14"/>
                <w:szCs w:val="14"/>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Hamza Suria</w:t>
            </w:r>
            <w:r>
              <w:rPr>
                <w:rFonts w:ascii="Arial" w:cs="Arial" w:eastAsia="Arial" w:hAnsi="Arial"/>
                <w:sz w:val="18"/>
                <w:szCs w:val="18"/>
                <w:color w:val="auto"/>
                <w:vertAlign w:val="superscript"/>
              </w:rPr>
              <w:t>(6)</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672,769</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6,572,361</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68"/>
              <w:spacing w:after="0" w:line="202" w:lineRule="exact"/>
              <w:rPr>
                <w:sz w:val="20"/>
                <w:szCs w:val="20"/>
                <w:color w:val="auto"/>
              </w:rPr>
            </w:pPr>
            <w:r>
              <w:rPr>
                <w:rFonts w:ascii="Arial" w:cs="Arial" w:eastAsia="Arial" w:hAnsi="Arial"/>
                <w:sz w:val="14"/>
                <w:szCs w:val="14"/>
                <w:color w:val="auto"/>
              </w:rPr>
              <w:t>5,453</w:t>
            </w:r>
            <w:r>
              <w:rPr>
                <w:rFonts w:ascii="Arial" w:cs="Arial" w:eastAsia="Arial" w:hAnsi="Arial"/>
                <w:sz w:val="18"/>
                <w:szCs w:val="18"/>
                <w:color w:val="auto"/>
                <w:vertAlign w:val="superscript"/>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7,250,583</w:t>
            </w:r>
          </w:p>
        </w:tc>
        <w:tc>
          <w:tcPr>
            <w:tcW w:w="0" w:type="dxa"/>
            <w:vAlign w:val="bottom"/>
          </w:tcPr>
          <w:p>
            <w:pPr>
              <w:spacing w:after="0"/>
              <w:rPr>
                <w:sz w:val="1"/>
                <w:szCs w:val="1"/>
                <w:color w:val="auto"/>
              </w:rPr>
            </w:pPr>
          </w:p>
        </w:tc>
      </w:tr>
      <w:tr>
        <w:trPr>
          <w:trHeight w:val="203"/>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Former President, Chief Executive Officer and Director</w:t>
            </w:r>
          </w:p>
        </w:tc>
        <w:tc>
          <w:tcPr>
            <w:tcW w:w="700" w:type="dxa"/>
            <w:vAlign w:val="bottom"/>
          </w:tcPr>
          <w:p>
            <w:pPr>
              <w:ind w:left="140"/>
              <w:spacing w:after="0"/>
              <w:rPr>
                <w:sz w:val="20"/>
                <w:szCs w:val="20"/>
                <w:color w:val="auto"/>
              </w:rPr>
            </w:pPr>
            <w:r>
              <w:rPr>
                <w:rFonts w:ascii="Arial" w:cs="Arial" w:eastAsia="Arial" w:hAnsi="Arial"/>
                <w:sz w:val="14"/>
                <w:szCs w:val="14"/>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color w:val="auto"/>
              </w:rPr>
              <w:t>586,000</w:t>
            </w:r>
          </w:p>
        </w:tc>
        <w:tc>
          <w:tcPr>
            <w:tcW w:w="1160" w:type="dxa"/>
            <w:vAlign w:val="bottom"/>
          </w:tcPr>
          <w:p>
            <w:pPr>
              <w:jc w:val="right"/>
              <w:spacing w:after="0"/>
              <w:rPr>
                <w:sz w:val="20"/>
                <w:szCs w:val="20"/>
                <w:color w:val="auto"/>
              </w:rPr>
            </w:pPr>
            <w:r>
              <w:rPr>
                <w:rFonts w:ascii="Arial" w:cs="Arial" w:eastAsia="Arial" w:hAnsi="Arial"/>
                <w:sz w:val="14"/>
                <w:szCs w:val="14"/>
                <w:color w:val="auto"/>
              </w:rPr>
              <w:t>3,733,836</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273,955</w:t>
            </w:r>
          </w:p>
        </w:tc>
        <w:tc>
          <w:tcPr>
            <w:tcW w:w="1380" w:type="dxa"/>
            <w:vAlign w:val="bottom"/>
          </w:tcPr>
          <w:p>
            <w:pPr>
              <w:jc w:val="right"/>
              <w:ind w:right="168"/>
              <w:spacing w:after="0" w:line="202" w:lineRule="exact"/>
              <w:rPr>
                <w:sz w:val="20"/>
                <w:szCs w:val="20"/>
                <w:color w:val="auto"/>
              </w:rPr>
            </w:pPr>
            <w:r>
              <w:rPr>
                <w:rFonts w:ascii="Arial" w:cs="Arial" w:eastAsia="Arial" w:hAnsi="Arial"/>
                <w:sz w:val="14"/>
                <w:szCs w:val="14"/>
                <w:color w:val="auto"/>
              </w:rPr>
              <w:t>8,810</w:t>
            </w:r>
            <w:r>
              <w:rPr>
                <w:rFonts w:ascii="Arial" w:cs="Arial" w:eastAsia="Arial" w:hAnsi="Arial"/>
                <w:sz w:val="18"/>
                <w:szCs w:val="18"/>
                <w:color w:val="auto"/>
                <w:vertAlign w:val="superscript"/>
              </w:rPr>
              <w:t>(7)</w:t>
            </w:r>
          </w:p>
        </w:tc>
        <w:tc>
          <w:tcPr>
            <w:tcW w:w="1020" w:type="dxa"/>
            <w:vAlign w:val="bottom"/>
          </w:tcPr>
          <w:p>
            <w:pPr>
              <w:jc w:val="right"/>
              <w:spacing w:after="0"/>
              <w:rPr>
                <w:sz w:val="20"/>
                <w:szCs w:val="20"/>
                <w:color w:val="auto"/>
              </w:rPr>
            </w:pPr>
            <w:r>
              <w:rPr>
                <w:rFonts w:ascii="Arial" w:cs="Arial" w:eastAsia="Arial" w:hAnsi="Arial"/>
                <w:sz w:val="14"/>
                <w:szCs w:val="14"/>
                <w:color w:val="auto"/>
              </w:rPr>
              <w:t>4,602,601</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Lizzul</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471,740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2,872,730</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283,440</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174,544</w:t>
            </w:r>
          </w:p>
        </w:tc>
        <w:tc>
          <w:tcPr>
            <w:tcW w:w="1380" w:type="dxa"/>
            <w:vAlign w:val="bottom"/>
            <w:shd w:val="clear" w:color="auto" w:fill="CCEEFF"/>
          </w:tcPr>
          <w:p>
            <w:pPr>
              <w:jc w:val="right"/>
              <w:ind w:right="168"/>
              <w:spacing w:after="0" w:line="202" w:lineRule="exact"/>
              <w:rPr>
                <w:sz w:val="20"/>
                <w:szCs w:val="20"/>
                <w:color w:val="auto"/>
              </w:rPr>
            </w:pPr>
            <w:r>
              <w:rPr>
                <w:rFonts w:ascii="Arial" w:cs="Arial" w:eastAsia="Arial" w:hAnsi="Arial"/>
                <w:sz w:val="14"/>
                <w:szCs w:val="14"/>
                <w:color w:val="auto"/>
              </w:rPr>
              <w:t>10,074</w:t>
            </w:r>
            <w:r>
              <w:rPr>
                <w:rFonts w:ascii="Arial" w:cs="Arial" w:eastAsia="Arial" w:hAnsi="Arial"/>
                <w:sz w:val="18"/>
                <w:szCs w:val="18"/>
                <w:color w:val="auto"/>
                <w:vertAlign w:val="superscript"/>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3,812,528</w:t>
            </w:r>
          </w:p>
        </w:tc>
        <w:tc>
          <w:tcPr>
            <w:tcW w:w="0" w:type="dxa"/>
            <w:vAlign w:val="bottom"/>
          </w:tcPr>
          <w:p>
            <w:pPr>
              <w:spacing w:after="0"/>
              <w:rPr>
                <w:sz w:val="1"/>
                <w:szCs w:val="1"/>
                <w:color w:val="auto"/>
              </w:rPr>
            </w:pPr>
          </w:p>
        </w:tc>
      </w:tr>
      <w:tr>
        <w:trPr>
          <w:trHeight w:val="202"/>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Chief Medical Officer</w:t>
            </w:r>
          </w:p>
        </w:tc>
        <w:tc>
          <w:tcPr>
            <w:tcW w:w="700" w:type="dxa"/>
            <w:vAlign w:val="bottom"/>
          </w:tcPr>
          <w:p>
            <w:pPr>
              <w:ind w:left="140"/>
              <w:spacing w:after="0"/>
              <w:rPr>
                <w:sz w:val="20"/>
                <w:szCs w:val="20"/>
                <w:color w:val="auto"/>
              </w:rPr>
            </w:pPr>
            <w:r>
              <w:rPr>
                <w:rFonts w:ascii="Arial" w:cs="Arial" w:eastAsia="Arial" w:hAnsi="Arial"/>
                <w:sz w:val="14"/>
                <w:szCs w:val="14"/>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color w:val="auto"/>
              </w:rPr>
              <w:t>458,000</w:t>
            </w:r>
          </w:p>
        </w:tc>
        <w:tc>
          <w:tcPr>
            <w:tcW w:w="1160" w:type="dxa"/>
            <w:vAlign w:val="bottom"/>
          </w:tcPr>
          <w:p>
            <w:pPr>
              <w:jc w:val="right"/>
              <w:spacing w:after="0"/>
              <w:rPr>
                <w:sz w:val="20"/>
                <w:szCs w:val="20"/>
                <w:color w:val="auto"/>
              </w:rPr>
            </w:pPr>
            <w:r>
              <w:rPr>
                <w:rFonts w:ascii="Arial" w:cs="Arial" w:eastAsia="Arial" w:hAnsi="Arial"/>
                <w:sz w:val="14"/>
                <w:szCs w:val="14"/>
                <w:color w:val="auto"/>
              </w:rPr>
              <w:t>1,461,489</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155,720</w:t>
            </w:r>
          </w:p>
        </w:tc>
        <w:tc>
          <w:tcPr>
            <w:tcW w:w="1380" w:type="dxa"/>
            <w:vAlign w:val="bottom"/>
          </w:tcPr>
          <w:p>
            <w:pPr>
              <w:jc w:val="right"/>
              <w:ind w:right="168"/>
              <w:spacing w:after="0" w:line="202" w:lineRule="exact"/>
              <w:rPr>
                <w:sz w:val="20"/>
                <w:szCs w:val="20"/>
                <w:color w:val="auto"/>
              </w:rPr>
            </w:pPr>
            <w:r>
              <w:rPr>
                <w:rFonts w:ascii="Arial" w:cs="Arial" w:eastAsia="Arial" w:hAnsi="Arial"/>
                <w:sz w:val="14"/>
                <w:szCs w:val="14"/>
                <w:color w:val="auto"/>
              </w:rPr>
              <w:t>8,810</w:t>
            </w:r>
            <w:r>
              <w:rPr>
                <w:rFonts w:ascii="Arial" w:cs="Arial" w:eastAsia="Arial" w:hAnsi="Arial"/>
                <w:sz w:val="18"/>
                <w:szCs w:val="18"/>
                <w:color w:val="auto"/>
                <w:vertAlign w:val="superscript"/>
              </w:rPr>
              <w:t>(8)</w:t>
            </w:r>
          </w:p>
        </w:tc>
        <w:tc>
          <w:tcPr>
            <w:tcW w:w="1020" w:type="dxa"/>
            <w:vAlign w:val="bottom"/>
          </w:tcPr>
          <w:p>
            <w:pPr>
              <w:jc w:val="right"/>
              <w:spacing w:after="0"/>
              <w:rPr>
                <w:sz w:val="20"/>
                <w:szCs w:val="20"/>
                <w:color w:val="auto"/>
              </w:rPr>
            </w:pPr>
            <w:r>
              <w:rPr>
                <w:rFonts w:ascii="Arial" w:cs="Arial" w:eastAsia="Arial" w:hAnsi="Arial"/>
                <w:sz w:val="14"/>
                <w:szCs w:val="14"/>
                <w:color w:val="auto"/>
              </w:rPr>
              <w:t>2,084,019</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Eric Loumeau</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474,830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2,872,730</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283,440</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197,648</w:t>
            </w:r>
          </w:p>
        </w:tc>
        <w:tc>
          <w:tcPr>
            <w:tcW w:w="1380" w:type="dxa"/>
            <w:vAlign w:val="bottom"/>
            <w:shd w:val="clear" w:color="auto" w:fill="CCEEFF"/>
          </w:tcPr>
          <w:p>
            <w:pPr>
              <w:jc w:val="right"/>
              <w:ind w:right="168"/>
              <w:spacing w:after="0" w:line="202" w:lineRule="exact"/>
              <w:rPr>
                <w:sz w:val="20"/>
                <w:szCs w:val="20"/>
                <w:color w:val="auto"/>
              </w:rPr>
            </w:pPr>
            <w:r>
              <w:rPr>
                <w:rFonts w:ascii="Arial" w:cs="Arial" w:eastAsia="Arial" w:hAnsi="Arial"/>
                <w:sz w:val="14"/>
                <w:szCs w:val="14"/>
                <w:color w:val="auto"/>
              </w:rPr>
              <w:t>13,115</w:t>
            </w:r>
            <w:r>
              <w:rPr>
                <w:rFonts w:ascii="Arial" w:cs="Arial" w:eastAsia="Arial" w:hAnsi="Arial"/>
                <w:sz w:val="18"/>
                <w:szCs w:val="18"/>
                <w:color w:val="auto"/>
                <w:vertAlign w:val="superscript"/>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3,841,763</w:t>
            </w:r>
          </w:p>
        </w:tc>
        <w:tc>
          <w:tcPr>
            <w:tcW w:w="0" w:type="dxa"/>
            <w:vAlign w:val="bottom"/>
          </w:tcPr>
          <w:p>
            <w:pPr>
              <w:spacing w:after="0"/>
              <w:rPr>
                <w:sz w:val="1"/>
                <w:szCs w:val="1"/>
                <w:color w:val="auto"/>
              </w:rPr>
            </w:pPr>
          </w:p>
        </w:tc>
      </w:tr>
      <w:tr>
        <w:trPr>
          <w:trHeight w:val="244"/>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Chief Operating Officer and General Counsel</w:t>
            </w:r>
          </w:p>
        </w:tc>
        <w:tc>
          <w:tcPr>
            <w:tcW w:w="700" w:type="dxa"/>
            <w:vAlign w:val="bottom"/>
          </w:tcPr>
          <w:p>
            <w:pPr>
              <w:ind w:left="140"/>
              <w:spacing w:after="0"/>
              <w:rPr>
                <w:sz w:val="20"/>
                <w:szCs w:val="20"/>
                <w:color w:val="auto"/>
              </w:rPr>
            </w:pPr>
            <w:r>
              <w:rPr>
                <w:rFonts w:ascii="Arial" w:cs="Arial" w:eastAsia="Arial" w:hAnsi="Arial"/>
                <w:sz w:val="14"/>
                <w:szCs w:val="14"/>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color w:val="auto"/>
              </w:rPr>
              <w:t>461,000</w:t>
            </w:r>
          </w:p>
        </w:tc>
        <w:tc>
          <w:tcPr>
            <w:tcW w:w="1160" w:type="dxa"/>
            <w:vAlign w:val="bottom"/>
          </w:tcPr>
          <w:p>
            <w:pPr>
              <w:jc w:val="right"/>
              <w:spacing w:after="0"/>
              <w:rPr>
                <w:sz w:val="20"/>
                <w:szCs w:val="20"/>
                <w:color w:val="auto"/>
              </w:rPr>
            </w:pPr>
            <w:r>
              <w:rPr>
                <w:rFonts w:ascii="Arial" w:cs="Arial" w:eastAsia="Arial" w:hAnsi="Arial"/>
                <w:sz w:val="14"/>
                <w:szCs w:val="14"/>
                <w:color w:val="auto"/>
              </w:rPr>
              <w:t>1,461,489</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176,333</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10,322</w:t>
            </w:r>
            <w:r>
              <w:rPr>
                <w:rFonts w:ascii="Arial" w:cs="Arial" w:eastAsia="Arial" w:hAnsi="Arial"/>
                <w:sz w:val="18"/>
                <w:szCs w:val="18"/>
                <w:color w:val="auto"/>
                <w:vertAlign w:val="superscript"/>
              </w:rPr>
              <w:t>(9)</w:t>
            </w:r>
          </w:p>
        </w:tc>
        <w:tc>
          <w:tcPr>
            <w:tcW w:w="1020" w:type="dxa"/>
            <w:vAlign w:val="bottom"/>
          </w:tcPr>
          <w:p>
            <w:pPr>
              <w:jc w:val="right"/>
              <w:spacing w:after="0"/>
              <w:rPr>
                <w:sz w:val="20"/>
                <w:szCs w:val="20"/>
                <w:color w:val="auto"/>
              </w:rPr>
            </w:pPr>
            <w:r>
              <w:rPr>
                <w:rFonts w:ascii="Arial" w:cs="Arial" w:eastAsia="Arial" w:hAnsi="Arial"/>
                <w:sz w:val="14"/>
                <w:szCs w:val="14"/>
                <w:color w:val="auto"/>
              </w:rPr>
              <w:t>2,109,144</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7" w:lineRule="exact"/>
        <w:rPr>
          <w:sz w:val="20"/>
          <w:szCs w:val="20"/>
          <w:color w:val="auto"/>
        </w:rPr>
      </w:pPr>
    </w:p>
    <w:p>
      <w:pPr>
        <w:ind w:left="340" w:hanging="332"/>
        <w:spacing w:after="0" w:line="259" w:lineRule="auto"/>
        <w:tabs>
          <w:tab w:leader="none" w:pos="3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reported in the Option and RSU Awards column represent the grant date fair value of the stock options and RSUs granted to the Named Executive Officers during the years ended December 31, 2022 and 2021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2022. Note that the amounts reported in this column reflect the accounting cost for these stock options, and do not correspond to the actual economic value that may be received by our Named Executive Officers from the options.</w:t>
      </w:r>
    </w:p>
    <w:p>
      <w:pPr>
        <w:spacing w:after="0" w:line="91"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Faga was appointed Interim President and Chief Executive Officer, effective March 21, 2022.</w:t>
      </w:r>
    </w:p>
    <w:p>
      <w:pPr>
        <w:spacing w:after="0" w:line="113" w:lineRule="exact"/>
        <w:rPr>
          <w:rFonts w:ascii="Arial" w:cs="Arial" w:eastAsia="Arial" w:hAnsi="Arial"/>
          <w:sz w:val="16"/>
          <w:szCs w:val="16"/>
          <w:color w:val="auto"/>
        </w:rPr>
      </w:pPr>
    </w:p>
    <w:p>
      <w:pPr>
        <w:ind w:left="340" w:right="280" w:hanging="332"/>
        <w:spacing w:after="0" w:line="328" w:lineRule="auto"/>
        <w:tabs>
          <w:tab w:leader="none" w:pos="3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$10,000 in director fees paid to Mr. Faga for his service as a director prior to his appointment Interim President and Chief Executive Officer on March 21, 2022. For Mr. Faga’s compensation as a director, see the section above titled “Election of Class III Directors — Non-Employee Director Compensation.”</w:t>
      </w:r>
    </w:p>
    <w:p>
      <w:pPr>
        <w:spacing w:after="0" w:line="28" w:lineRule="exact"/>
        <w:rPr>
          <w:rFonts w:ascii="Arial" w:cs="Arial" w:eastAsia="Arial" w:hAnsi="Arial"/>
          <w:sz w:val="15"/>
          <w:szCs w:val="15"/>
          <w:color w:val="auto"/>
        </w:rPr>
      </w:pPr>
    </w:p>
    <w:p>
      <w:pPr>
        <w:ind w:left="340" w:right="100" w:hanging="332"/>
        <w:spacing w:after="0" w:line="310" w:lineRule="auto"/>
        <w:tabs>
          <w:tab w:leader="none" w:pos="3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$200,618 of option awards granted to Mr. Faga for his service as a director prior to his appointment Interim President and Chief Executive Officer on March 21, 2022. For Mr. Faga’s compensation as a director, see the section above titled “Election of Class III Directors — Non-Employee Director Compensation.”</w:t>
      </w:r>
    </w:p>
    <w:p>
      <w:pPr>
        <w:spacing w:after="0" w:line="53" w:lineRule="exact"/>
        <w:rPr>
          <w:rFonts w:ascii="Arial" w:cs="Arial" w:eastAsia="Arial" w:hAnsi="Arial"/>
          <w:sz w:val="15"/>
          <w:szCs w:val="15"/>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Faga.</w:t>
      </w:r>
    </w:p>
    <w:p>
      <w:pPr>
        <w:spacing w:after="0" w:line="113" w:lineRule="exact"/>
        <w:rPr>
          <w:rFonts w:ascii="Arial" w:cs="Arial" w:eastAsia="Arial" w:hAnsi="Arial"/>
          <w:sz w:val="16"/>
          <w:szCs w:val="16"/>
          <w:color w:val="auto"/>
        </w:rPr>
      </w:pPr>
    </w:p>
    <w:p>
      <w:pPr>
        <w:ind w:left="340" w:right="80" w:hanging="332"/>
        <w:spacing w:after="0" w:line="275" w:lineRule="auto"/>
        <w:tabs>
          <w:tab w:leader="none" w:pos="3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Suria resigned from his position effective March 20, 2022. In accordance with the terms of Mr. Suria’s consulting agreement, all of Mr. Suria’s outstanding equity awards continued vesting pursuant to their terms during the term of his consultancy, which expired on March 21, 2023.</w:t>
      </w:r>
    </w:p>
    <w:p>
      <w:pPr>
        <w:spacing w:after="0" w:line="77"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Suria.</w:t>
      </w:r>
    </w:p>
    <w:p>
      <w:pPr>
        <w:spacing w:after="0" w:line="113"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Lizzul.</w:t>
      </w:r>
    </w:p>
    <w:p>
      <w:pPr>
        <w:spacing w:after="0" w:line="126"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Loumeau.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14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Pay-Versus-Performance</w:t>
      </w:r>
    </w:p>
    <w:p>
      <w:pPr>
        <w:spacing w:after="0" w:line="1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required by Section 953(a) of the Dodd-Frank Wall Street Reform and Consumer Protection Act and Item 402(v) of Regulation S-K, we are providing the following disclosure regarding executive compensation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 In 2022, there was a change to our executive management team with the departure of our tenured Chief Executive Officer, Hamza Suria (“PEO 2”), from the company on March 20, 2022. Upon the departure, Daniel Faga (“PEO 1”) was appointed our interim Chief Executive Officer. We provide the compensation actually paid during 2022 for both individuals providing service as Chief Executive Officer during 2022 in the following tables.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Pay-Versus-Performance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3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3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 Summary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ind w:right="26"/>
              <w:spacing w:after="0"/>
              <w:rPr>
                <w:sz w:val="20"/>
                <w:szCs w:val="20"/>
                <w:color w:val="auto"/>
              </w:rPr>
            </w:pPr>
            <w:r>
              <w:rPr>
                <w:rFonts w:ascii="Arial" w:cs="Arial" w:eastAsia="Arial" w:hAnsi="Arial"/>
                <w:sz w:val="14"/>
                <w:szCs w:val="14"/>
                <w:b w:val="1"/>
                <w:bCs w:val="1"/>
                <w:color w:val="auto"/>
                <w:w w:val="94"/>
              </w:rPr>
              <w:t>Value of Initial</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200" w:type="dxa"/>
            <w:vAlign w:val="bottom"/>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3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5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2"/>
              </w:rPr>
              <w:t>Fixed $100</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360" w:type="dxa"/>
            <w:vAlign w:val="bottom"/>
            <w:vMerge w:val="continue"/>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520" w:type="dxa"/>
            <w:vAlign w:val="bottom"/>
          </w:tcPr>
          <w:p>
            <w:pPr>
              <w:jc w:val="center"/>
              <w:ind w:right="26"/>
              <w:spacing w:after="0" w:line="145" w:lineRule="exact"/>
              <w:rPr>
                <w:sz w:val="20"/>
                <w:szCs w:val="20"/>
                <w:color w:val="auto"/>
              </w:rPr>
            </w:pPr>
            <w:r>
              <w:rPr>
                <w:rFonts w:ascii="Arial" w:cs="Arial" w:eastAsia="Arial" w:hAnsi="Arial"/>
                <w:sz w:val="14"/>
                <w:szCs w:val="14"/>
                <w:b w:val="1"/>
                <w:bCs w:val="1"/>
                <w:color w:val="auto"/>
                <w:w w:val="91"/>
              </w:rPr>
              <w:t>Investment Based</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9"/>
                <w:szCs w:val="9"/>
                <w:b w:val="1"/>
                <w:bCs w:val="1"/>
                <w:color w:val="auto"/>
              </w:rPr>
              <w:t>1</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Table Total for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Actually Paid for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Table Total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Actually Paid for</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Table Total for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Actually Paid for</w:t>
            </w:r>
          </w:p>
        </w:tc>
        <w:tc>
          <w:tcPr>
            <w:tcW w:w="15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on Total</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35"/>
        </w:trPr>
        <w:tc>
          <w:tcPr>
            <w:tcW w:w="66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PEO 1</w:t>
            </w:r>
            <w:r>
              <w:rPr>
                <w:rFonts w:ascii="Arial" w:cs="Arial" w:eastAsia="Arial" w:hAnsi="Arial"/>
                <w:sz w:val="9"/>
                <w:szCs w:val="9"/>
                <w:b w:val="1"/>
                <w:bCs w:val="1"/>
                <w:color w:val="auto"/>
                <w:w w:val="95"/>
              </w:rPr>
              <w:t>2</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PEO 1</w:t>
            </w:r>
            <w:r>
              <w:rPr>
                <w:rFonts w:ascii="Arial" w:cs="Arial" w:eastAsia="Arial" w:hAnsi="Arial"/>
                <w:sz w:val="15"/>
                <w:szCs w:val="15"/>
                <w:b w:val="1"/>
                <w:bCs w:val="1"/>
                <w:color w:val="auto"/>
                <w:vertAlign w:val="superscript"/>
              </w:rPr>
              <w:t>3</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PEO 2</w:t>
            </w:r>
            <w:r>
              <w:rPr>
                <w:rFonts w:ascii="Arial" w:cs="Arial" w:eastAsia="Arial" w:hAnsi="Arial"/>
                <w:sz w:val="9"/>
                <w:szCs w:val="9"/>
                <w:b w:val="1"/>
                <w:bCs w:val="1"/>
                <w:color w:val="auto"/>
                <w:w w:val="95"/>
              </w:rPr>
              <w:t>2</w:t>
            </w: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PEO 2</w:t>
            </w:r>
            <w:r>
              <w:rPr>
                <w:rFonts w:ascii="Arial" w:cs="Arial" w:eastAsia="Arial" w:hAnsi="Arial"/>
                <w:sz w:val="15"/>
                <w:szCs w:val="15"/>
                <w:b w:val="1"/>
                <w:bCs w:val="1"/>
                <w:color w:val="auto"/>
                <w:vertAlign w:val="superscript"/>
              </w:rPr>
              <w:t>3</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Non-PEO NEOs</w:t>
            </w:r>
            <w:r>
              <w:rPr>
                <w:rFonts w:ascii="Arial" w:cs="Arial" w:eastAsia="Arial" w:hAnsi="Arial"/>
                <w:sz w:val="9"/>
                <w:szCs w:val="9"/>
                <w:b w:val="1"/>
                <w:bCs w:val="1"/>
                <w:color w:val="auto"/>
                <w:w w:val="95"/>
              </w:rPr>
              <w:t>2</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Non-PEO NEOs</w:t>
            </w:r>
            <w:r>
              <w:rPr>
                <w:rFonts w:ascii="Arial" w:cs="Arial" w:eastAsia="Arial" w:hAnsi="Arial"/>
                <w:sz w:val="9"/>
                <w:szCs w:val="9"/>
                <w:b w:val="1"/>
                <w:bCs w:val="1"/>
                <w:color w:val="auto"/>
                <w:w w:val="95"/>
              </w:rPr>
              <w:t>4</w:t>
            </w:r>
          </w:p>
        </w:tc>
        <w:tc>
          <w:tcPr>
            <w:tcW w:w="1520" w:type="dxa"/>
            <w:vAlign w:val="bottom"/>
          </w:tcPr>
          <w:p>
            <w:pPr>
              <w:jc w:val="center"/>
              <w:ind w:right="26"/>
              <w:spacing w:after="0" w:line="135" w:lineRule="exact"/>
              <w:rPr>
                <w:sz w:val="20"/>
                <w:szCs w:val="20"/>
                <w:color w:val="auto"/>
              </w:rPr>
            </w:pPr>
            <w:r>
              <w:rPr>
                <w:rFonts w:ascii="Arial" w:cs="Arial" w:eastAsia="Arial" w:hAnsi="Arial"/>
                <w:sz w:val="14"/>
                <w:szCs w:val="14"/>
                <w:b w:val="1"/>
                <w:bCs w:val="1"/>
                <w:color w:val="auto"/>
                <w:w w:val="93"/>
              </w:rPr>
              <w:t>Shareholder Return</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5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9"/>
              </w:rPr>
              <w:t>(f)</w:t>
            </w:r>
          </w:p>
        </w:tc>
        <w:tc>
          <w:tcPr>
            <w:tcW w:w="14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(g)</w:t>
            </w:r>
          </w:p>
        </w:tc>
        <w:tc>
          <w:tcPr>
            <w:tcW w:w="0" w:type="dxa"/>
            <w:vAlign w:val="bottom"/>
          </w:tcPr>
          <w:p>
            <w:pPr>
              <w:spacing w:after="0"/>
              <w:rPr>
                <w:sz w:val="1"/>
                <w:szCs w:val="1"/>
                <w:color w:val="auto"/>
              </w:rPr>
            </w:pPr>
          </w:p>
        </w:tc>
      </w:tr>
      <w:tr>
        <w:trPr>
          <w:trHeight w:val="215"/>
        </w:trPr>
        <w:tc>
          <w:tcPr>
            <w:tcW w:w="66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w w:val="95"/>
              </w:rPr>
              <w:t>2022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$24,440,350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$28,514,763</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$7,250,583</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$3,714,536</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$3,827,145</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$2,228,110</w:t>
            </w:r>
          </w:p>
        </w:tc>
        <w:tc>
          <w:tcPr>
            <w:tcW w:w="1520" w:type="dxa"/>
            <w:vAlign w:val="bottom"/>
            <w:shd w:val="clear" w:color="auto" w:fill="CCEEFF"/>
          </w:tcPr>
          <w:p>
            <w:pPr>
              <w:jc w:val="center"/>
              <w:ind w:right="6"/>
              <w:spacing w:after="0"/>
              <w:rPr>
                <w:sz w:val="20"/>
                <w:szCs w:val="20"/>
                <w:color w:val="auto"/>
              </w:rPr>
            </w:pPr>
            <w:r>
              <w:rPr>
                <w:rFonts w:ascii="Arial" w:cs="Arial" w:eastAsia="Arial" w:hAnsi="Arial"/>
                <w:sz w:val="16"/>
                <w:szCs w:val="16"/>
                <w:color w:val="auto"/>
                <w:w w:val="89"/>
              </w:rPr>
              <w:t>$144</w:t>
            </w:r>
          </w:p>
        </w:tc>
        <w:tc>
          <w:tcPr>
            <w:tcW w:w="14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$-128,724,000</w:t>
            </w:r>
          </w:p>
        </w:tc>
        <w:tc>
          <w:tcPr>
            <w:tcW w:w="0" w:type="dxa"/>
            <w:vAlign w:val="bottom"/>
          </w:tcPr>
          <w:p>
            <w:pPr>
              <w:spacing w:after="0"/>
              <w:rPr>
                <w:sz w:val="1"/>
                <w:szCs w:val="1"/>
                <w:color w:val="auto"/>
              </w:rPr>
            </w:pPr>
          </w:p>
        </w:tc>
      </w:tr>
      <w:tr>
        <w:trPr>
          <w:trHeight w:val="210"/>
        </w:trPr>
        <w:tc>
          <w:tcPr>
            <w:tcW w:w="660" w:type="dxa"/>
            <w:vAlign w:val="bottom"/>
          </w:tcPr>
          <w:p>
            <w:pPr>
              <w:jc w:val="right"/>
              <w:ind w:right="224"/>
              <w:spacing w:after="0"/>
              <w:rPr>
                <w:sz w:val="20"/>
                <w:szCs w:val="20"/>
                <w:color w:val="auto"/>
              </w:rPr>
            </w:pPr>
            <w:r>
              <w:rPr>
                <w:rFonts w:ascii="Arial" w:cs="Arial" w:eastAsia="Arial" w:hAnsi="Arial"/>
                <w:sz w:val="16"/>
                <w:szCs w:val="16"/>
                <w:color w:val="auto"/>
                <w:w w:val="95"/>
              </w:rPr>
              <w:t>2021</w:t>
            </w: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Pr>
          <w:p>
            <w:pPr>
              <w:jc w:val="center"/>
              <w:spacing w:after="0"/>
              <w:rPr>
                <w:sz w:val="20"/>
                <w:szCs w:val="20"/>
                <w:color w:val="auto"/>
              </w:rPr>
            </w:pPr>
            <w:r>
              <w:rPr>
                <w:rFonts w:ascii="Arial" w:cs="Arial" w:eastAsia="Arial" w:hAnsi="Arial"/>
                <w:sz w:val="16"/>
                <w:szCs w:val="16"/>
                <w:color w:val="auto"/>
              </w:rPr>
              <w:t>N/A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$4,602,601</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$7,123,997</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$2,096,581</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$3,209,832</w:t>
            </w:r>
          </w:p>
        </w:tc>
        <w:tc>
          <w:tcPr>
            <w:tcW w:w="1520" w:type="dxa"/>
            <w:vAlign w:val="bottom"/>
          </w:tcPr>
          <w:p>
            <w:pPr>
              <w:jc w:val="center"/>
              <w:ind w:right="6"/>
              <w:spacing w:after="0"/>
              <w:rPr>
                <w:sz w:val="20"/>
                <w:szCs w:val="20"/>
                <w:color w:val="auto"/>
              </w:rPr>
            </w:pPr>
            <w:r>
              <w:rPr>
                <w:rFonts w:ascii="Arial" w:cs="Arial" w:eastAsia="Arial" w:hAnsi="Arial"/>
                <w:sz w:val="16"/>
                <w:szCs w:val="16"/>
                <w:color w:val="auto"/>
                <w:w w:val="89"/>
              </w:rPr>
              <w:t>$162</w:t>
            </w:r>
          </w:p>
        </w:tc>
        <w:tc>
          <w:tcPr>
            <w:tcW w:w="1400" w:type="dxa"/>
            <w:vAlign w:val="bottom"/>
          </w:tcPr>
          <w:p>
            <w:pPr>
              <w:jc w:val="right"/>
              <w:ind w:right="224"/>
              <w:spacing w:after="0"/>
              <w:rPr>
                <w:sz w:val="20"/>
                <w:szCs w:val="20"/>
                <w:color w:val="auto"/>
              </w:rPr>
            </w:pPr>
            <w:r>
              <w:rPr>
                <w:rFonts w:ascii="Arial" w:cs="Arial" w:eastAsia="Arial" w:hAnsi="Arial"/>
                <w:sz w:val="16"/>
                <w:szCs w:val="16"/>
                <w:color w:val="auto"/>
              </w:rPr>
              <w:t>$-57,796,000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PEOs for the applicable fiscal years were as follows:</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2021: Hamza Suria served as the principal executive officer for the entirety of 2021 (“PEO 2”)</w:t>
      </w:r>
    </w:p>
    <w:p>
      <w:pPr>
        <w:spacing w:after="0" w:line="19" w:lineRule="exact"/>
        <w:rPr>
          <w:rFonts w:ascii="Arial" w:cs="Arial" w:eastAsia="Arial" w:hAnsi="Arial"/>
          <w:sz w:val="16"/>
          <w:szCs w:val="16"/>
          <w:color w:val="auto"/>
        </w:rPr>
      </w:pPr>
    </w:p>
    <w:p>
      <w:pPr>
        <w:ind w:left="660" w:right="80" w:hanging="324"/>
        <w:spacing w:after="0" w:line="248" w:lineRule="auto"/>
        <w:rPr>
          <w:rFonts w:ascii="Arial" w:cs="Arial" w:eastAsia="Arial" w:hAnsi="Arial"/>
          <w:sz w:val="16"/>
          <w:szCs w:val="16"/>
          <w:color w:val="auto"/>
        </w:rPr>
      </w:pPr>
      <w:r>
        <w:rPr>
          <w:rFonts w:ascii="Arial" w:cs="Arial" w:eastAsia="Arial" w:hAnsi="Arial"/>
          <w:sz w:val="16"/>
          <w:szCs w:val="16"/>
          <w:color w:val="auto"/>
        </w:rPr>
        <w:t>– 2022: Hamza Suria served as the principal executive officer from January 1, 2022 through March 20, 2022 (“PEO 2”); Daniel Faga served as the interim principal executive officer from March 21, 2022 through December 31, 2022 (“PEO 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Paul Lizzul and Eric Loumeau served as the Company’s other NEOs for the entirety of 2021 and 2022</w:t>
      </w:r>
    </w:p>
    <w:p>
      <w:pPr>
        <w:spacing w:after="0" w:line="55" w:lineRule="exact"/>
        <w:rPr>
          <w:sz w:val="20"/>
          <w:szCs w:val="20"/>
          <w:color w:val="auto"/>
        </w:rPr>
      </w:pPr>
    </w:p>
    <w:p>
      <w:pPr>
        <w:ind w:left="340" w:right="80" w:hanging="332"/>
        <w:spacing w:after="0" w:line="258" w:lineRule="auto"/>
        <w:tabs>
          <w:tab w:leader="none" w:pos="4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(i) the amount of total compensation reported in the Summary Compensation Table for the applicable fiscal year for each of our PEOs and (ii) the average dollar amounts of total compensation reported in the Summary Compensation Table for the applicable fiscal year for our others NEOs as a group (excluding our PEOs).</w:t>
      </w:r>
    </w:p>
    <w:p>
      <w:pPr>
        <w:spacing w:after="0" w:line="1" w:lineRule="exact"/>
        <w:rPr>
          <w:rFonts w:ascii="Arial" w:cs="Arial" w:eastAsia="Arial" w:hAnsi="Arial"/>
          <w:sz w:val="16"/>
          <w:szCs w:val="16"/>
          <w:color w:val="auto"/>
        </w:rPr>
      </w:pPr>
    </w:p>
    <w:p>
      <w:pPr>
        <w:ind w:left="660" w:right="340" w:hanging="324"/>
        <w:spacing w:after="0" w:line="255" w:lineRule="auto"/>
        <w:rPr>
          <w:rFonts w:ascii="Arial" w:cs="Arial" w:eastAsia="Arial" w:hAnsi="Arial"/>
          <w:sz w:val="16"/>
          <w:szCs w:val="16"/>
          <w:color w:val="auto"/>
        </w:rPr>
      </w:pPr>
      <w:r>
        <w:rPr>
          <w:rFonts w:ascii="Arial" w:cs="Arial" w:eastAsia="Arial" w:hAnsi="Arial"/>
          <w:sz w:val="16"/>
          <w:szCs w:val="16"/>
          <w:color w:val="auto"/>
        </w:rPr>
        <w:t>– 2022 Summary Compensation Table total for Mr. Faga, PEO 1, includes fees paid for service as a non-employee director ($10,000 cash retainer and $200,618 stock option grant) prior to becoming our interim principal executive officer</w:t>
      </w:r>
    </w:p>
    <w:p>
      <w:pPr>
        <w:ind w:left="340" w:right="400" w:hanging="332"/>
        <w:spacing w:after="0" w:line="252" w:lineRule="auto"/>
        <w:tabs>
          <w:tab w:leader="none" w:pos="4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“compensation actually paid” to PEO 1 and PEO 2, as computed in accordance with Item 402(v) of Regulation S-K, based on their total compensation reported in the Summary Compensation Table for the applicable fiscal years and adjusted as shown in the table below:</w:t>
      </w:r>
    </w:p>
    <w:p>
      <w:pPr>
        <w:ind w:left="340"/>
        <w:spacing w:after="0"/>
        <w:rPr>
          <w:rFonts w:ascii="Arial" w:cs="Arial" w:eastAsia="Arial" w:hAnsi="Arial"/>
          <w:sz w:val="16"/>
          <w:szCs w:val="16"/>
          <w:color w:val="auto"/>
        </w:rPr>
      </w:pPr>
      <w:r>
        <w:rPr>
          <w:rFonts w:ascii="Arial" w:cs="Arial" w:eastAsia="Arial" w:hAnsi="Arial"/>
          <w:sz w:val="15"/>
          <w:szCs w:val="15"/>
          <w:color w:val="auto"/>
        </w:rPr>
        <w:t>–   2022 amounts for PEO 1 also include fees and equity awarded for service as a non-employee director prior to becoming our interim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47" w:right="339" w:bottom="1440" w:gutter="0" w:footer="0" w:header="0"/>
        </w:sectPr>
      </w:pPr>
    </w:p>
    <w:bookmarkStart w:id="31" w:name="page32"/>
    <w:bookmarkEnd w:id="31"/>
    <w:p>
      <w:pPr>
        <w:ind w:left="5180"/>
        <w:spacing w:after="0"/>
        <w:rPr>
          <w:sz w:val="20"/>
          <w:szCs w:val="20"/>
          <w:color w:val="auto"/>
        </w:rPr>
      </w:pPr>
      <w:r>
        <w:rPr>
          <w:rFonts w:ascii="Arial" w:cs="Arial" w:eastAsia="Arial" w:hAnsi="Arial"/>
          <w:sz w:val="18"/>
          <w:szCs w:val="18"/>
          <w:b w:val="1"/>
          <w:bCs w:val="1"/>
          <w:color w:val="auto"/>
        </w:rPr>
        <w:t>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2343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Summary Compensation Table - Total Compensation</w:t>
      </w:r>
    </w:p>
    <w:p>
      <w:pPr>
        <w:spacing w:after="0" w:line="45" w:lineRule="exact"/>
        <w:rPr>
          <w:sz w:val="20"/>
          <w:szCs w:val="20"/>
          <w:color w:val="auto"/>
        </w:rPr>
      </w:pPr>
    </w:p>
    <w:p>
      <w:pPr>
        <w:ind w:left="300" w:hanging="279"/>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6"/>
          <w:szCs w:val="16"/>
          <w:color w:val="auto"/>
        </w:rPr>
        <w:t>Grant Date Fair Value of Stock Awards and Option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-140970</wp:posOffset>
            </wp:positionV>
            <wp:extent cx="71234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300" w:hanging="300"/>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4"/>
          <w:szCs w:val="14"/>
          <w:color w:val="auto"/>
        </w:rPr>
        <w:t>Fair Value at Fiscal Year End of Outstanding and Unvested Stock Awards and Option Awards Granted in Fiscal Year</w:t>
      </w:r>
    </w:p>
    <w:p>
      <w:pPr>
        <w:spacing w:after="0" w:line="45" w:lineRule="exact"/>
        <w:rPr>
          <w:rFonts w:ascii="Arial" w:cs="Arial" w:eastAsia="Arial" w:hAnsi="Arial"/>
          <w:sz w:val="16"/>
          <w:szCs w:val="16"/>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5"/>
          <w:szCs w:val="15"/>
          <w:color w:val="auto"/>
        </w:rPr>
        <w:t>Change in Fair Value of Outstanding and Unvested Stock Awards and Option Awards Granted in Prior Fiscal Years</w:t>
      </w:r>
    </w:p>
    <w:p>
      <w:pPr>
        <w:spacing w:after="0" w:line="34" w:lineRule="exact"/>
        <w:rPr>
          <w:rFonts w:ascii="Arial" w:cs="Arial" w:eastAsia="Arial" w:hAnsi="Arial"/>
          <w:sz w:val="17"/>
          <w:szCs w:val="17"/>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5"/>
          <w:szCs w:val="15"/>
          <w:color w:val="auto"/>
        </w:rPr>
        <w:t>Fair Value at Vesting of Stock Awards and Option Awards Granted in Fiscal Year That Vested During Fiscal Year</w:t>
      </w:r>
    </w:p>
    <w:p>
      <w:pPr>
        <w:spacing w:after="0" w:line="20" w:lineRule="exact"/>
        <w:rPr>
          <w:rFonts w:ascii="Arial" w:cs="Arial" w:eastAsia="Arial" w:hAnsi="Arial"/>
          <w:sz w:val="17"/>
          <w:szCs w:val="17"/>
          <w:color w:val="auto"/>
        </w:rPr>
      </w:pPr>
    </w:p>
    <w:p>
      <w:pPr>
        <w:ind w:left="300" w:hanging="300"/>
        <w:spacing w:after="0" w:line="183" w:lineRule="auto"/>
        <w:tabs>
          <w:tab w:leader="none" w:pos="300" w:val="left"/>
        </w:tabs>
        <w:numPr>
          <w:ilvl w:val="0"/>
          <w:numId w:val="25"/>
        </w:numPr>
        <w:rPr>
          <w:rFonts w:ascii="Arial" w:cs="Arial" w:eastAsia="Arial" w:hAnsi="Arial"/>
          <w:sz w:val="28"/>
          <w:szCs w:val="28"/>
          <w:color w:val="auto"/>
          <w:vertAlign w:val="subscript"/>
        </w:rPr>
      </w:pPr>
      <w:r>
        <w:rPr>
          <w:rFonts w:ascii="Arial" w:cs="Arial" w:eastAsia="Arial" w:hAnsi="Arial"/>
          <w:sz w:val="14"/>
          <w:szCs w:val="14"/>
          <w:color w:val="auto"/>
        </w:rPr>
        <w:t>Change in Fair Value as of Vesting Date of Stock Awards and Option Awards 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-527050</wp:posOffset>
            </wp:positionV>
            <wp:extent cx="71234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-235585</wp:posOffset>
            </wp:positionV>
            <wp:extent cx="71234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ind w:left="300" w:right="100" w:hanging="279"/>
        <w:spacing w:after="0" w:line="183" w:lineRule="auto"/>
        <w:tabs>
          <w:tab w:leader="none" w:pos="300" w:val="left"/>
        </w:tabs>
        <w:numPr>
          <w:ilvl w:val="0"/>
          <w:numId w:val="26"/>
        </w:numPr>
        <w:rPr>
          <w:rFonts w:ascii="Arial" w:cs="Arial" w:eastAsia="Arial" w:hAnsi="Arial"/>
          <w:sz w:val="28"/>
          <w:szCs w:val="28"/>
          <w:color w:val="auto"/>
          <w:vertAlign w:val="subscript"/>
        </w:rPr>
      </w:pPr>
      <w:r>
        <w:rPr>
          <w:rFonts w:ascii="Arial" w:cs="Arial" w:eastAsia="Arial" w:hAnsi="Arial"/>
          <w:sz w:val="14"/>
          <w:szCs w:val="14"/>
          <w:color w:val="auto"/>
        </w:rPr>
        <w:t>Fair Value as of Prior Fiscal Year End of Stock Awards and Option Awards Granted in Prior Fiscal Years That Failed to Meet Applicable Vesting Conditions During Fiscal Year</w:t>
      </w:r>
    </w:p>
    <w:p>
      <w:pPr>
        <w:spacing w:after="0" w:line="36" w:lineRule="exact"/>
        <w:rPr>
          <w:sz w:val="20"/>
          <w:szCs w:val="20"/>
          <w:color w:val="auto"/>
        </w:rPr>
      </w:pPr>
    </w:p>
    <w:p>
      <w:pPr>
        <w:ind w:left="300" w:hanging="300"/>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6"/>
          <w:szCs w:val="16"/>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-149860</wp:posOffset>
            </wp:positionV>
            <wp:extent cx="71234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PEO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234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Summary Compensation Table - Total Compensation</w:t>
      </w:r>
    </w:p>
    <w:p>
      <w:pPr>
        <w:spacing w:after="0" w:line="45" w:lineRule="exact"/>
        <w:rPr>
          <w:sz w:val="20"/>
          <w:szCs w:val="20"/>
          <w:color w:val="auto"/>
        </w:rPr>
      </w:pPr>
    </w:p>
    <w:p>
      <w:pPr>
        <w:ind w:left="300" w:hanging="279"/>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6"/>
          <w:szCs w:val="16"/>
          <w:color w:val="auto"/>
        </w:rPr>
        <w:t>Grant Date Fair Value of Stock Awards and Option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234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300" w:hanging="300"/>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4"/>
          <w:szCs w:val="14"/>
          <w:color w:val="auto"/>
        </w:rPr>
        <w:t>Fair Value at Fiscal Year End of Outstanding and Unvested Stock Awards and Option Awards Granted in Fiscal Year</w:t>
      </w:r>
    </w:p>
    <w:p>
      <w:pPr>
        <w:spacing w:after="0" w:line="45" w:lineRule="exact"/>
        <w:rPr>
          <w:rFonts w:ascii="Arial" w:cs="Arial" w:eastAsia="Arial" w:hAnsi="Arial"/>
          <w:sz w:val="16"/>
          <w:szCs w:val="16"/>
          <w:color w:val="auto"/>
        </w:rPr>
      </w:pPr>
    </w:p>
    <w:p>
      <w:pPr>
        <w:ind w:left="300" w:hanging="300"/>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5"/>
          <w:szCs w:val="15"/>
          <w:color w:val="auto"/>
        </w:rPr>
        <w:t>Change in Fair Value of Outstanding and Unvested Stock Awards and Option Awards Granted in Prior Fiscal Years</w:t>
      </w:r>
    </w:p>
    <w:p>
      <w:pPr>
        <w:spacing w:after="0" w:line="34" w:lineRule="exact"/>
        <w:rPr>
          <w:rFonts w:ascii="Arial" w:cs="Arial" w:eastAsia="Arial" w:hAnsi="Arial"/>
          <w:sz w:val="17"/>
          <w:szCs w:val="17"/>
          <w:color w:val="auto"/>
        </w:rPr>
      </w:pPr>
    </w:p>
    <w:p>
      <w:pPr>
        <w:ind w:left="300" w:hanging="300"/>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5"/>
          <w:szCs w:val="15"/>
          <w:color w:val="auto"/>
        </w:rPr>
        <w:t>Fair Value at Vesting of Stock Awards and Option Awards Granted in Fiscal Year That Vested During Fiscal Year</w:t>
      </w:r>
    </w:p>
    <w:p>
      <w:pPr>
        <w:spacing w:after="0" w:line="20" w:lineRule="exact"/>
        <w:rPr>
          <w:rFonts w:ascii="Arial" w:cs="Arial" w:eastAsia="Arial" w:hAnsi="Arial"/>
          <w:sz w:val="17"/>
          <w:szCs w:val="17"/>
          <w:color w:val="auto"/>
        </w:rPr>
      </w:pPr>
    </w:p>
    <w:p>
      <w:pPr>
        <w:ind w:left="300" w:hanging="300"/>
        <w:spacing w:after="0" w:line="183" w:lineRule="auto"/>
        <w:tabs>
          <w:tab w:leader="none" w:pos="300" w:val="left"/>
        </w:tabs>
        <w:numPr>
          <w:ilvl w:val="0"/>
          <w:numId w:val="29"/>
        </w:numPr>
        <w:rPr>
          <w:rFonts w:ascii="Arial" w:cs="Arial" w:eastAsia="Arial" w:hAnsi="Arial"/>
          <w:sz w:val="28"/>
          <w:szCs w:val="28"/>
          <w:color w:val="auto"/>
          <w:vertAlign w:val="subscript"/>
        </w:rPr>
      </w:pPr>
      <w:r>
        <w:rPr>
          <w:rFonts w:ascii="Arial" w:cs="Arial" w:eastAsia="Arial" w:hAnsi="Arial"/>
          <w:sz w:val="14"/>
          <w:szCs w:val="14"/>
          <w:color w:val="auto"/>
        </w:rPr>
        <w:t>Change in Fair Value as of Vesting Date of Stock Awards and Option Awards 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-527050</wp:posOffset>
            </wp:positionV>
            <wp:extent cx="712343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-235585</wp:posOffset>
            </wp:positionV>
            <wp:extent cx="712343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ind w:left="300" w:right="100" w:hanging="279"/>
        <w:spacing w:after="0" w:line="183" w:lineRule="auto"/>
        <w:tabs>
          <w:tab w:leader="none" w:pos="300" w:val="left"/>
        </w:tabs>
        <w:numPr>
          <w:ilvl w:val="0"/>
          <w:numId w:val="30"/>
        </w:numPr>
        <w:rPr>
          <w:rFonts w:ascii="Arial" w:cs="Arial" w:eastAsia="Arial" w:hAnsi="Arial"/>
          <w:sz w:val="28"/>
          <w:szCs w:val="28"/>
          <w:color w:val="auto"/>
          <w:vertAlign w:val="subscript"/>
        </w:rPr>
      </w:pPr>
      <w:r>
        <w:rPr>
          <w:rFonts w:ascii="Arial" w:cs="Arial" w:eastAsia="Arial" w:hAnsi="Arial"/>
          <w:sz w:val="14"/>
          <w:szCs w:val="14"/>
          <w:color w:val="auto"/>
        </w:rPr>
        <w:t>Fair Value as of Prior Fiscal Year End of Stock Awards and Option Awards Granted in Prior Fiscal Years That Failed to Meet Applicable Vesting Conditions During Fiscal Year</w:t>
      </w:r>
    </w:p>
    <w:p>
      <w:pPr>
        <w:spacing w:after="0" w:line="36" w:lineRule="exact"/>
        <w:rPr>
          <w:sz w:val="20"/>
          <w:szCs w:val="20"/>
          <w:color w:val="auto"/>
        </w:rPr>
      </w:pPr>
    </w:p>
    <w:p>
      <w:pPr>
        <w:ind w:left="300" w:hanging="300"/>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6"/>
          <w:szCs w:val="16"/>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-149860</wp:posOffset>
            </wp:positionV>
            <wp:extent cx="71234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24,440,350</w:t>
            </w: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23,506,640</w:t>
            </w: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27,521,988</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(31,627)</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133,091</w:t>
            </w: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(42,399)</w:t>
            </w:r>
          </w:p>
        </w:tc>
      </w:tr>
      <w:tr>
        <w:trPr>
          <w:trHeight w:val="378"/>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1160" w:type="dxa"/>
            <w:vAlign w:val="bottom"/>
          </w:tcPr>
          <w:p>
            <w:pPr>
              <w:ind w:left="7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
        </w:trPr>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224"/>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28,514,763</w:t>
            </w: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4,602,601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7,250,583</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3,733,836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6,572,361</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4,048,641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5,526,693</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1,800,570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(663,937)</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(f)</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406,021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(1,219,039)</w:t>
            </w:r>
          </w:p>
        </w:tc>
      </w:tr>
      <w:tr>
        <w:trPr>
          <w:trHeight w:val="378"/>
        </w:trPr>
        <w:tc>
          <w:tcPr>
            <w:tcW w:w="380" w:type="dxa"/>
            <w:vAlign w:val="bottom"/>
          </w:tcPr>
          <w:p>
            <w:pPr>
              <w:spacing w:after="0"/>
              <w:rPr>
                <w:sz w:val="20"/>
                <w:szCs w:val="20"/>
                <w:color w:val="auto"/>
              </w:rPr>
            </w:pPr>
            <w:r>
              <w:rPr>
                <w:rFonts w:ascii="Arial" w:cs="Arial" w:eastAsia="Arial" w:hAnsi="Arial"/>
                <w:sz w:val="18"/>
                <w:szCs w:val="18"/>
                <w:color w:val="auto"/>
              </w:rPr>
              <w:t>(g)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607,403</w:t>
            </w:r>
          </w:p>
        </w:tc>
      </w:tr>
      <w:tr>
        <w:trPr>
          <w:trHeight w:val="81"/>
        </w:trPr>
        <w:tc>
          <w:tcPr>
            <w:tcW w:w="3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224"/>
        </w:trPr>
        <w:tc>
          <w:tcPr>
            <w:tcW w:w="3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7,123,997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3,714,536</w:t>
            </w:r>
          </w:p>
        </w:tc>
      </w:tr>
    </w:tbl>
    <w:p>
      <w:pPr>
        <w:spacing w:after="0" w:line="133" w:lineRule="exact"/>
        <w:rPr>
          <w:sz w:val="20"/>
          <w:szCs w:val="20"/>
          <w:color w:val="auto"/>
        </w:rPr>
      </w:pPr>
    </w:p>
    <w:p>
      <w:pPr>
        <w:sectPr>
          <w:pgSz w:w="11900" w:h="16838" w:orient="portrait"/>
          <w:cols w:equalWidth="0" w:num="2">
            <w:col w:w="7960" w:space="80"/>
            <w:col w:w="3000"/>
          </w:cols>
          <w:pgMar w:left="500" w:top="1309" w:right="359" w:bottom="1440" w:gutter="0" w:footer="0" w:header="0"/>
        </w:sectPr>
      </w:pPr>
    </w:p>
    <w:p>
      <w:pPr>
        <w:ind w:left="800" w:hanging="32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Total Compensation as reported in the Summary Compensation Table for the indicated fiscal year.</w:t>
      </w:r>
    </w:p>
    <w:p>
      <w:pPr>
        <w:spacing w:after="0" w:line="63" w:lineRule="exact"/>
        <w:rPr>
          <w:rFonts w:ascii="Arial" w:cs="Arial" w:eastAsia="Arial" w:hAnsi="Arial"/>
          <w:sz w:val="18"/>
          <w:szCs w:val="18"/>
          <w:color w:val="auto"/>
        </w:rPr>
      </w:pPr>
    </w:p>
    <w:p>
      <w:pPr>
        <w:ind w:left="800" w:right="440" w:hanging="324"/>
        <w:spacing w:after="0" w:line="298" w:lineRule="auto"/>
        <w:tabs>
          <w:tab w:leader="none" w:pos="7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total of the amounts reported in the “Stock Awards” and “Option Awards” columns in the Summary Compensation Table granted to each PEO during the indicated fiscal year, computed in accordance with FASB ASC Topic 718.</w:t>
      </w:r>
    </w:p>
    <w:p>
      <w:pPr>
        <w:ind w:left="800" w:right="20" w:hanging="324"/>
        <w:spacing w:after="0" w:line="305" w:lineRule="auto"/>
        <w:tabs>
          <w:tab w:leader="none" w:pos="7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aggregate fair value as of the applicable fiscal year-end of the PEO's outstanding and unvested stock awards and option awards granted during such fiscal year, computed in accordance with FASB ASC Topic 718 and, for awards subject to performance-based vesting conditions, based on the probable outcome of such performance-based vesting conditions as of the last day of the fiscal year.</w:t>
      </w:r>
    </w:p>
    <w:p>
      <w:pPr>
        <w:ind w:left="800" w:right="40" w:hanging="324"/>
        <w:spacing w:after="0" w:line="259" w:lineRule="auto"/>
        <w:tabs>
          <w:tab w:leader="none" w:pos="7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aggregate change in fair value during the applicable fiscal year of the outstanding and unvested stock awards and option awards held by the PEO as of the last day of the applicable fiscal year (from the end of the prior fiscal year), computed in accordance with FASB ASC Topic 718 and, for awards subject to performance-based vesting conditions, based on the probable outcome of such performance-based vesting conditions as of the last day of the fiscal year.</w:t>
      </w:r>
    </w:p>
    <w:p>
      <w:pPr>
        <w:spacing w:after="0" w:line="24" w:lineRule="exact"/>
        <w:rPr>
          <w:rFonts w:ascii="Arial" w:cs="Arial" w:eastAsia="Arial" w:hAnsi="Arial"/>
          <w:sz w:val="18"/>
          <w:szCs w:val="18"/>
          <w:color w:val="auto"/>
        </w:rPr>
      </w:pPr>
    </w:p>
    <w:p>
      <w:pPr>
        <w:ind w:left="800" w:right="40" w:hanging="324"/>
        <w:spacing w:after="0" w:line="277" w:lineRule="auto"/>
        <w:tabs>
          <w:tab w:leader="none" w:pos="7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aggregate fair value at vesting of the stock awards and option awards that were granted to the PEO and vested during the same applicable fiscal year, computed in accordance with FASB ASC Topic 718.</w:t>
      </w:r>
    </w:p>
    <w:p>
      <w:pPr>
        <w:spacing w:after="0" w:line="8" w:lineRule="exact"/>
        <w:rPr>
          <w:rFonts w:ascii="Arial" w:cs="Arial" w:eastAsia="Arial" w:hAnsi="Arial"/>
          <w:sz w:val="18"/>
          <w:szCs w:val="18"/>
          <w:color w:val="auto"/>
        </w:rPr>
      </w:pPr>
    </w:p>
    <w:p>
      <w:pPr>
        <w:ind w:left="800" w:hanging="324"/>
        <w:spacing w:after="0" w:line="259" w:lineRule="auto"/>
        <w:tabs>
          <w:tab w:leader="none" w:pos="7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aggregate change in fair value, measured from the prior fiscal year-end to the vesting date, of each stock award and option award held by the PEO that was granted in a prior fiscal year and which vested during the applicable fiscal year, computed in accordance with FASB ASC Topic 718 and, for awards subject to performance-based vesting conditions, based on the probable outcome of such performance-based vesting conditions as of the last day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500" w:top="1309" w:right="359" w:bottom="1440" w:gutter="0" w:footer="0" w:header="0"/>
          <w:type w:val="continuous"/>
        </w:sectPr>
      </w:pPr>
    </w:p>
    <w:bookmarkStart w:id="32" w:name="page33"/>
    <w:bookmarkEnd w:id="32"/>
    <w:p>
      <w:pPr>
        <w:ind w:left="972" w:right="60" w:hanging="324"/>
        <w:spacing w:after="0" w:line="263"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Represents the aggregate fair value as of the last day of the prior fiscal year of the PEO's stock awards and option awards that were granted in a prior fiscal year and which failed to meet the applicable vesting conditions during the applicable fiscal year, computed in accordance with FASB ASC Topic 718.</w:t>
      </w:r>
    </w:p>
    <w:p>
      <w:pPr>
        <w:spacing w:after="0" w:line="75" w:lineRule="exact"/>
        <w:rPr>
          <w:rFonts w:ascii="Arial" w:cs="Arial" w:eastAsia="Arial" w:hAnsi="Arial"/>
          <w:sz w:val="18"/>
          <w:szCs w:val="18"/>
          <w:color w:val="auto"/>
        </w:rPr>
      </w:pPr>
    </w:p>
    <w:p>
      <w:pPr>
        <w:jc w:val="both"/>
        <w:ind w:left="332" w:right="140" w:hanging="332"/>
        <w:spacing w:after="0" w:line="276" w:lineRule="auto"/>
        <w:tabs>
          <w:tab w:leader="none" w:pos="43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dollar amounts reported in this column represent the average “compensation actually paid” to our other NEOs as a group (excluding our PEOs) in the applicable fiscal year, as computed in accordance with Item 402(v) of Regulation S-K, based on the average total compensation for such NEOs reported in the Summary Compensation Table for the applicable fiscal years and adjusted as shown in the table below. Please see footnote 1 for the names of the other NEOs included in the average for each indicated fiscal year.</w:t>
      </w:r>
    </w:p>
    <w:p>
      <w:pPr>
        <w:sectPr>
          <w:pgSz w:w="11900" w:h="16838" w:orient="portrait"/>
          <w:cols w:equalWidth="0" w:num="1">
            <w:col w:w="11212"/>
          </w:cols>
          <w:pgMar w:left="328" w:top="1219" w:right="359" w:bottom="1440" w:gutter="0" w:footer="0" w:header="0"/>
        </w:sectPr>
      </w:pPr>
    </w:p>
    <w:p>
      <w:pPr>
        <w:spacing w:after="0" w:line="1" w:lineRule="exact"/>
        <w:rPr>
          <w:sz w:val="20"/>
          <w:szCs w:val="20"/>
          <w:color w:val="auto"/>
        </w:rPr>
      </w:pPr>
    </w:p>
    <w:tbl>
      <w:tblPr>
        <w:tblLayout w:type="fixed"/>
        <w:tblInd w:w="172"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7800" w:type="dxa"/>
            <w:vAlign w:val="bottom"/>
          </w:tcPr>
          <w:p>
            <w:pPr>
              <w:ind w:left="4700"/>
              <w:spacing w:after="0"/>
              <w:rPr>
                <w:sz w:val="20"/>
                <w:szCs w:val="20"/>
                <w:color w:val="auto"/>
              </w:rPr>
            </w:pPr>
            <w:r>
              <w:rPr>
                <w:rFonts w:ascii="Arial" w:cs="Arial" w:eastAsia="Arial" w:hAnsi="Arial"/>
                <w:sz w:val="18"/>
                <w:szCs w:val="18"/>
                <w:b w:val="1"/>
                <w:bCs w:val="1"/>
                <w:color w:val="auto"/>
              </w:rPr>
              <w:t>NEO Average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8"/>
        </w:trPr>
        <w:tc>
          <w:tcPr>
            <w:tcW w:w="200" w:type="dxa"/>
            <w:vAlign w:val="bottom"/>
          </w:tcPr>
          <w:p>
            <w:pPr>
              <w:spacing w:after="0"/>
              <w:rPr>
                <w:sz w:val="24"/>
                <w:szCs w:val="24"/>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Summary Compensation Table - Total Compensation</w:t>
            </w:r>
          </w:p>
        </w:tc>
        <w:tc>
          <w:tcPr>
            <w:tcW w:w="340" w:type="dxa"/>
            <w:vAlign w:val="bottom"/>
          </w:tcPr>
          <w:p>
            <w:pPr>
              <w:ind w:left="40"/>
              <w:spacing w:after="0"/>
              <w:rPr>
                <w:sz w:val="20"/>
                <w:szCs w:val="20"/>
                <w:color w:val="auto"/>
              </w:rPr>
            </w:pPr>
            <w:r>
              <w:rPr>
                <w:rFonts w:ascii="Arial" w:cs="Arial" w:eastAsia="Arial" w:hAnsi="Arial"/>
                <w:sz w:val="18"/>
                <w:szCs w:val="18"/>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7800" w:type="dxa"/>
            <w:vAlign w:val="bottom"/>
          </w:tcPr>
          <w:p>
            <w:pPr>
              <w:ind w:left="100"/>
              <w:spacing w:after="0"/>
              <w:rPr>
                <w:sz w:val="20"/>
                <w:szCs w:val="20"/>
                <w:color w:val="auto"/>
              </w:rPr>
            </w:pPr>
            <w:r>
              <w:rPr>
                <w:rFonts w:ascii="Arial" w:cs="Arial" w:eastAsia="Arial" w:hAnsi="Arial"/>
                <w:sz w:val="16"/>
                <w:szCs w:val="16"/>
                <w:color w:val="auto"/>
              </w:rPr>
              <w:t>Grant Date Fair Value of Stock Awards and Option Awards Granted in Fiscal Year</w:t>
            </w:r>
          </w:p>
        </w:tc>
        <w:tc>
          <w:tcPr>
            <w:tcW w:w="340" w:type="dxa"/>
            <w:vAlign w:val="bottom"/>
          </w:tcPr>
          <w:p>
            <w:pPr>
              <w:ind w:left="4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7800" w:type="dxa"/>
            <w:vAlign w:val="bottom"/>
          </w:tcPr>
          <w:p>
            <w:pPr>
              <w:ind w:left="100"/>
              <w:spacing w:after="0"/>
              <w:rPr>
                <w:sz w:val="20"/>
                <w:szCs w:val="20"/>
                <w:color w:val="auto"/>
              </w:rPr>
            </w:pPr>
            <w:r>
              <w:rPr>
                <w:rFonts w:ascii="Arial" w:cs="Arial" w:eastAsia="Arial" w:hAnsi="Arial"/>
                <w:sz w:val="16"/>
                <w:szCs w:val="16"/>
                <w:color w:val="auto"/>
                <w:w w:val="92"/>
              </w:rPr>
              <w:t>Fair Value at Fiscal Year End of Outstanding and Unvested Stock Awards and Option Awards Granted in Fiscal Year</w:t>
            </w:r>
          </w:p>
        </w:tc>
        <w:tc>
          <w:tcPr>
            <w:tcW w:w="340" w:type="dxa"/>
            <w:vAlign w:val="bottom"/>
          </w:tcPr>
          <w:p>
            <w:pPr>
              <w:ind w:left="40"/>
              <w:spacing w:after="0"/>
              <w:rPr>
                <w:sz w:val="20"/>
                <w:szCs w:val="20"/>
                <w:color w:val="auto"/>
              </w:rPr>
            </w:pPr>
            <w:r>
              <w:rPr>
                <w:rFonts w:ascii="Arial" w:cs="Arial" w:eastAsia="Arial" w:hAnsi="Arial"/>
                <w:sz w:val="18"/>
                <w:szCs w:val="18"/>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7800" w:type="dxa"/>
            <w:vAlign w:val="bottom"/>
          </w:tcPr>
          <w:p>
            <w:pPr>
              <w:ind w:left="100"/>
              <w:spacing w:after="0"/>
              <w:rPr>
                <w:sz w:val="20"/>
                <w:szCs w:val="20"/>
                <w:color w:val="auto"/>
              </w:rPr>
            </w:pPr>
            <w:r>
              <w:rPr>
                <w:rFonts w:ascii="Arial" w:cs="Arial" w:eastAsia="Arial" w:hAnsi="Arial"/>
                <w:sz w:val="16"/>
                <w:szCs w:val="16"/>
                <w:color w:val="auto"/>
                <w:w w:val="94"/>
              </w:rPr>
              <w:t>Change in Fair Value of Outstanding and Unvested Stock Awards and Option Awards Granted in Prior Fiscal Years</w:t>
            </w: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7800" w:type="dxa"/>
            <w:vAlign w:val="bottom"/>
          </w:tcPr>
          <w:p>
            <w:pPr>
              <w:ind w:left="100"/>
              <w:spacing w:after="0"/>
              <w:rPr>
                <w:sz w:val="20"/>
                <w:szCs w:val="20"/>
                <w:color w:val="auto"/>
              </w:rPr>
            </w:pPr>
            <w:r>
              <w:rPr>
                <w:rFonts w:ascii="Arial" w:cs="Arial" w:eastAsia="Arial" w:hAnsi="Arial"/>
                <w:sz w:val="16"/>
                <w:szCs w:val="16"/>
                <w:color w:val="auto"/>
                <w:w w:val="96"/>
              </w:rPr>
              <w:t>Fair Value at Vesting of Stock Awards and Option Awards Granted in Fiscal Year That Vested During Fiscal Year</w:t>
            </w:r>
          </w:p>
        </w:tc>
        <w:tc>
          <w:tcPr>
            <w:tcW w:w="340" w:type="dxa"/>
            <w:vAlign w:val="bottom"/>
          </w:tcPr>
          <w:p>
            <w:pPr>
              <w:ind w:left="40"/>
              <w:spacing w:after="0"/>
              <w:rPr>
                <w:sz w:val="20"/>
                <w:szCs w:val="20"/>
                <w:color w:val="auto"/>
              </w:rPr>
            </w:pPr>
            <w:r>
              <w:rPr>
                <w:rFonts w:ascii="Arial" w:cs="Arial" w:eastAsia="Arial" w:hAnsi="Arial"/>
                <w:sz w:val="18"/>
                <w:szCs w:val="18"/>
                <w:color w:val="auto"/>
              </w:rPr>
              <w: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0"/>
        </w:trPr>
        <w:tc>
          <w:tcPr>
            <w:tcW w:w="200" w:type="dxa"/>
            <w:vAlign w:val="bottom"/>
          </w:tcPr>
          <w:p>
            <w:pPr>
              <w:jc w:val="center"/>
              <w:ind w:right="10"/>
              <w:spacing w:after="0" w:line="180" w:lineRule="exact"/>
              <w:rPr>
                <w:sz w:val="20"/>
                <w:szCs w:val="20"/>
                <w:color w:val="auto"/>
              </w:rPr>
            </w:pPr>
            <w:r>
              <w:rPr>
                <w:rFonts w:ascii="Arial" w:cs="Arial" w:eastAsia="Arial" w:hAnsi="Arial"/>
                <w:sz w:val="18"/>
                <w:szCs w:val="18"/>
                <w:color w:val="auto"/>
                <w:w w:val="94"/>
              </w:rPr>
              <w:t>+</w:t>
            </w:r>
          </w:p>
        </w:tc>
        <w:tc>
          <w:tcPr>
            <w:tcW w:w="7800" w:type="dxa"/>
            <w:vAlign w:val="bottom"/>
          </w:tcPr>
          <w:p>
            <w:pPr>
              <w:ind w:left="100"/>
              <w:spacing w:after="0" w:line="180" w:lineRule="exact"/>
              <w:rPr>
                <w:sz w:val="20"/>
                <w:szCs w:val="20"/>
                <w:color w:val="auto"/>
              </w:rPr>
            </w:pPr>
            <w:r>
              <w:rPr>
                <w:rFonts w:ascii="Arial" w:cs="Arial" w:eastAsia="Arial" w:hAnsi="Arial"/>
                <w:sz w:val="16"/>
                <w:szCs w:val="16"/>
                <w:color w:val="auto"/>
                <w:w w:val="92"/>
              </w:rPr>
              <w:t>Change in Fair Value as of Vesting Date of Stock Awards and Option Awards Granted in Prior Fiscal Years For Which</w:t>
            </w:r>
          </w:p>
        </w:tc>
        <w:tc>
          <w:tcPr>
            <w:tcW w:w="340" w:type="dxa"/>
            <w:vAlign w:val="bottom"/>
          </w:tcPr>
          <w:p>
            <w:pPr>
              <w:ind w:left="40"/>
              <w:spacing w:after="0" w:line="180" w:lineRule="exact"/>
              <w:rPr>
                <w:sz w:val="20"/>
                <w:szCs w:val="20"/>
                <w:color w:val="auto"/>
              </w:rPr>
            </w:pPr>
            <w:r>
              <w:rPr>
                <w:rFonts w:ascii="Arial" w:cs="Arial" w:eastAsia="Arial" w:hAnsi="Arial"/>
                <w:sz w:val="18"/>
                <w:szCs w:val="18"/>
                <w:color w:val="auto"/>
              </w:rPr>
              <w:t>(f)</w:t>
            </w:r>
          </w:p>
        </w:tc>
        <w:tc>
          <w:tcPr>
            <w:tcW w:w="180" w:type="dxa"/>
            <w:vAlign w:val="bottom"/>
          </w:tcPr>
          <w:p>
            <w:pPr>
              <w:jc w:val="right"/>
              <w:spacing w:after="0" w:line="180" w:lineRule="exact"/>
              <w:rPr>
                <w:sz w:val="20"/>
                <w:szCs w:val="20"/>
                <w:color w:val="auto"/>
              </w:rPr>
            </w:pPr>
            <w:r>
              <w:rPr>
                <w:rFonts w:ascii="Arial" w:cs="Arial" w:eastAsia="Arial" w:hAnsi="Arial"/>
                <w:sz w:val="18"/>
                <w:szCs w:val="18"/>
                <w:color w:val="auto"/>
              </w:rPr>
              <w:t>$</w:t>
            </w:r>
          </w:p>
        </w:tc>
      </w:tr>
      <w:tr>
        <w:trPr>
          <w:trHeight w:val="202"/>
        </w:trPr>
        <w:tc>
          <w:tcPr>
            <w:tcW w:w="200" w:type="dxa"/>
            <w:vAlign w:val="bottom"/>
          </w:tcPr>
          <w:p>
            <w:pPr>
              <w:spacing w:after="0"/>
              <w:rPr>
                <w:sz w:val="17"/>
                <w:szCs w:val="17"/>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Applicable Vesting Conditions Were Satisfied During Fiscal Year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6"/>
        </w:trPr>
        <w:tc>
          <w:tcPr>
            <w:tcW w:w="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9"/>
              </w:rPr>
              <w:t>-</w:t>
            </w:r>
          </w:p>
        </w:tc>
        <w:tc>
          <w:tcPr>
            <w:tcW w:w="7800" w:type="dxa"/>
            <w:vAlign w:val="bottom"/>
          </w:tcPr>
          <w:p>
            <w:pPr>
              <w:ind w:left="100"/>
              <w:spacing w:after="0" w:line="176" w:lineRule="exact"/>
              <w:rPr>
                <w:sz w:val="20"/>
                <w:szCs w:val="20"/>
                <w:color w:val="auto"/>
              </w:rPr>
            </w:pPr>
            <w:r>
              <w:rPr>
                <w:rFonts w:ascii="Arial" w:cs="Arial" w:eastAsia="Arial" w:hAnsi="Arial"/>
                <w:sz w:val="16"/>
                <w:szCs w:val="16"/>
                <w:color w:val="auto"/>
                <w:w w:val="93"/>
              </w:rPr>
              <w:t>Fair Value as of Prior Fiscal Year End of Stock Awards and Option Awards Granted in Prior Fiscal Years That Failed</w:t>
            </w:r>
          </w:p>
        </w:tc>
        <w:tc>
          <w:tcPr>
            <w:tcW w:w="340" w:type="dxa"/>
            <w:vAlign w:val="bottom"/>
          </w:tcPr>
          <w:p>
            <w:pPr>
              <w:ind w:left="40"/>
              <w:spacing w:after="0" w:line="176" w:lineRule="exact"/>
              <w:rPr>
                <w:sz w:val="20"/>
                <w:szCs w:val="20"/>
                <w:color w:val="auto"/>
              </w:rPr>
            </w:pPr>
            <w:r>
              <w:rPr>
                <w:rFonts w:ascii="Arial" w:cs="Arial" w:eastAsia="Arial" w:hAnsi="Arial"/>
                <w:sz w:val="18"/>
                <w:szCs w:val="18"/>
                <w:color w:val="auto"/>
              </w:rPr>
              <w:t>(g)</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98"/>
        </w:trPr>
        <w:tc>
          <w:tcPr>
            <w:tcW w:w="200" w:type="dxa"/>
            <w:vAlign w:val="bottom"/>
          </w:tcPr>
          <w:p>
            <w:pPr>
              <w:spacing w:after="0"/>
              <w:rPr>
                <w:sz w:val="17"/>
                <w:szCs w:val="17"/>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to Meet Applicable Vesting Conditions During Fiscal Year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4"/>
        </w:trPr>
        <w:tc>
          <w:tcPr>
            <w:tcW w:w="200" w:type="dxa"/>
            <w:vAlign w:val="bottom"/>
          </w:tcPr>
          <w:p>
            <w:pPr>
              <w:jc w:val="center"/>
              <w:ind w:right="10"/>
              <w:spacing w:after="0"/>
              <w:rPr>
                <w:sz w:val="20"/>
                <w:szCs w:val="20"/>
                <w:color w:val="auto"/>
              </w:rPr>
            </w:pPr>
            <w:r>
              <w:rPr>
                <w:rFonts w:ascii="Arial" w:cs="Arial" w:eastAsia="Arial" w:hAnsi="Arial"/>
                <w:sz w:val="18"/>
                <w:szCs w:val="18"/>
                <w:color w:val="auto"/>
                <w:w w:val="94"/>
              </w:rPr>
              <w:t>=</w:t>
            </w:r>
          </w:p>
        </w:tc>
        <w:tc>
          <w:tcPr>
            <w:tcW w:w="7800" w:type="dxa"/>
            <w:vAlign w:val="bottom"/>
          </w:tcPr>
          <w:p>
            <w:pPr>
              <w:ind w:left="100"/>
              <w:spacing w:after="0"/>
              <w:rPr>
                <w:sz w:val="20"/>
                <w:szCs w:val="20"/>
                <w:color w:val="auto"/>
              </w:rPr>
            </w:pPr>
            <w:r>
              <w:rPr>
                <w:rFonts w:ascii="Arial" w:cs="Arial" w:eastAsia="Arial" w:hAnsi="Arial"/>
                <w:sz w:val="16"/>
                <w:szCs w:val="16"/>
                <w:color w:val="auto"/>
              </w:rPr>
              <w:t>Compensation Actually Paid</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-1508125</wp:posOffset>
            </wp:positionV>
            <wp:extent cx="712343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-1216660</wp:posOffset>
            </wp:positionV>
            <wp:extent cx="712343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-925195</wp:posOffset>
            </wp:positionV>
            <wp:extent cx="712343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-633730</wp:posOffset>
            </wp:positionV>
            <wp:extent cx="712343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71234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0"/>
        </w:trPr>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2,096,581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3,827,145</w:t>
            </w:r>
          </w:p>
        </w:tc>
        <w:tc>
          <w:tcPr>
            <w:tcW w:w="0" w:type="dxa"/>
            <w:vAlign w:val="bottom"/>
          </w:tcPr>
          <w:p>
            <w:pPr>
              <w:spacing w:after="0"/>
              <w:rPr>
                <w:sz w:val="1"/>
                <w:szCs w:val="1"/>
                <w:color w:val="auto"/>
              </w:rPr>
            </w:pPr>
          </w:p>
        </w:tc>
      </w:tr>
      <w:tr>
        <w:trPr>
          <w:trHeight w:val="229"/>
        </w:trPr>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1,461,489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3,156,170</w:t>
            </w:r>
          </w:p>
        </w:tc>
        <w:tc>
          <w:tcPr>
            <w:tcW w:w="0" w:type="dxa"/>
            <w:vAlign w:val="bottom"/>
          </w:tcPr>
          <w:p>
            <w:pPr>
              <w:spacing w:after="0"/>
              <w:rPr>
                <w:sz w:val="1"/>
                <w:szCs w:val="1"/>
                <w:color w:val="auto"/>
              </w:rPr>
            </w:pPr>
          </w:p>
        </w:tc>
      </w:tr>
      <w:tr>
        <w:trPr>
          <w:trHeight w:val="230"/>
        </w:trPr>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1,719,815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2,633,752</w:t>
            </w:r>
          </w:p>
        </w:tc>
        <w:tc>
          <w:tcPr>
            <w:tcW w:w="0" w:type="dxa"/>
            <w:vAlign w:val="bottom"/>
          </w:tcPr>
          <w:p>
            <w:pPr>
              <w:spacing w:after="0"/>
              <w:rPr>
                <w:sz w:val="1"/>
                <w:szCs w:val="1"/>
                <w:color w:val="auto"/>
              </w:rPr>
            </w:pPr>
          </w:p>
        </w:tc>
      </w:tr>
      <w:tr>
        <w:trPr>
          <w:trHeight w:val="229"/>
        </w:trPr>
        <w:tc>
          <w:tcPr>
            <w:tcW w:w="900" w:type="dxa"/>
            <w:vAlign w:val="bottom"/>
          </w:tcPr>
          <w:p>
            <w:pPr>
              <w:jc w:val="right"/>
              <w:ind w:right="70"/>
              <w:spacing w:after="0"/>
              <w:rPr>
                <w:sz w:val="20"/>
                <w:szCs w:val="20"/>
                <w:color w:val="auto"/>
              </w:rPr>
            </w:pPr>
            <w:r>
              <w:rPr>
                <w:rFonts w:ascii="Arial" w:cs="Arial" w:eastAsia="Arial" w:hAnsi="Arial"/>
                <w:sz w:val="18"/>
                <w:szCs w:val="18"/>
                <w:color w:val="auto"/>
              </w:rPr>
              <w:t>731,380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(283,443)</w:t>
            </w:r>
          </w:p>
        </w:tc>
        <w:tc>
          <w:tcPr>
            <w:tcW w:w="0" w:type="dxa"/>
            <w:vAlign w:val="bottom"/>
          </w:tcPr>
          <w:p>
            <w:pPr>
              <w:spacing w:after="0"/>
              <w:rPr>
                <w:sz w:val="1"/>
                <w:szCs w:val="1"/>
                <w:color w:val="auto"/>
              </w:rPr>
            </w:pPr>
          </w:p>
        </w:tc>
      </w:tr>
      <w:tr>
        <w:trPr>
          <w:trHeight w:val="230"/>
        </w:trPr>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900" w:type="dxa"/>
            <w:vAlign w:val="bottom"/>
          </w:tcPr>
          <w:p>
            <w:pPr>
              <w:jc w:val="right"/>
              <w:ind w:right="70"/>
              <w:spacing w:after="0"/>
              <w:rPr>
                <w:sz w:val="20"/>
                <w:szCs w:val="20"/>
                <w:color w:val="auto"/>
              </w:rPr>
            </w:pPr>
            <w:r>
              <w:rPr>
                <w:rFonts w:ascii="Arial" w:cs="Arial" w:eastAsia="Arial" w:hAnsi="Arial"/>
                <w:sz w:val="18"/>
                <w:szCs w:val="18"/>
                <w:color w:val="auto"/>
              </w:rPr>
              <w:t>123,545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(530,797)</w:t>
            </w:r>
          </w:p>
        </w:tc>
        <w:tc>
          <w:tcPr>
            <w:tcW w:w="0" w:type="dxa"/>
            <w:vAlign w:val="bottom"/>
          </w:tcPr>
          <w:p>
            <w:pPr>
              <w:spacing w:after="0"/>
              <w:rPr>
                <w:sz w:val="1"/>
                <w:szCs w:val="1"/>
                <w:color w:val="auto"/>
              </w:rPr>
            </w:pPr>
          </w:p>
        </w:tc>
      </w:tr>
      <w:tr>
        <w:trPr>
          <w:trHeight w:val="378"/>
        </w:trPr>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262,377</w:t>
            </w:r>
          </w:p>
        </w:tc>
        <w:tc>
          <w:tcPr>
            <w:tcW w:w="0" w:type="dxa"/>
            <w:vAlign w:val="bottom"/>
          </w:tcPr>
          <w:p>
            <w:pPr>
              <w:spacing w:after="0"/>
              <w:rPr>
                <w:sz w:val="1"/>
                <w:szCs w:val="1"/>
                <w:color w:val="auto"/>
              </w:rPr>
            </w:pPr>
          </w:p>
        </w:tc>
      </w:tr>
      <w:tr>
        <w:trPr>
          <w:trHeight w:val="81"/>
        </w:trPr>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3,209,832</w:t>
            </w: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2,228,110</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8692" w:space="340"/>
            <w:col w:w="2180"/>
          </w:cols>
          <w:pgMar w:left="328" w:top="1219" w:right="359" w:bottom="1440" w:gutter="0" w:footer="0" w:header="0"/>
          <w:type w:val="continuous"/>
        </w:sectPr>
      </w:pPr>
    </w:p>
    <w:p>
      <w:pPr>
        <w:ind w:left="972" w:right="220" w:hanging="324"/>
        <w:spacing w:after="0" w:line="277" w:lineRule="auto"/>
        <w:tabs>
          <w:tab w:leader="none" w:pos="9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the average Total Compensation as reported in the Summary Compensation Table for our other NEOs as a group (excluding our PEOs) in the applicable fiscal year.</w:t>
      </w:r>
    </w:p>
    <w:p>
      <w:pPr>
        <w:spacing w:after="0" w:line="8" w:lineRule="exact"/>
        <w:rPr>
          <w:rFonts w:ascii="Arial" w:cs="Arial" w:eastAsia="Arial" w:hAnsi="Arial"/>
          <w:sz w:val="18"/>
          <w:szCs w:val="18"/>
          <w:color w:val="auto"/>
        </w:rPr>
      </w:pPr>
    </w:p>
    <w:p>
      <w:pPr>
        <w:ind w:left="972" w:right="220" w:hanging="324"/>
        <w:spacing w:after="0" w:line="263"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the average of the total of the amounts reported in the “Stock Awards” and “Option Awards” columns in the Summary Compensation Table granted to our other NEOs as a group (excluding our PEOs) during the applicable fiscal year, computed in accordance with FASB ASC Topic 718.</w:t>
      </w:r>
    </w:p>
    <w:p>
      <w:pPr>
        <w:spacing w:after="0" w:line="21" w:lineRule="exact"/>
        <w:rPr>
          <w:rFonts w:ascii="Arial" w:cs="Arial" w:eastAsia="Arial" w:hAnsi="Arial"/>
          <w:sz w:val="18"/>
          <w:szCs w:val="18"/>
          <w:color w:val="auto"/>
        </w:rPr>
      </w:pPr>
    </w:p>
    <w:p>
      <w:pPr>
        <w:ind w:left="972" w:right="280" w:hanging="324"/>
        <w:spacing w:after="0" w:line="259" w:lineRule="auto"/>
        <w:tabs>
          <w:tab w:leader="none" w:pos="9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the average aggregate fair value as of the applicable fiscal year-end of our other NEOs’ as a group (excluding our PEOs) outstanding and unvested stock awards and option awards granted during such fiscal year, computed in accordance with FASB ASC Topic 718 and, for awards subject to performance-based vesting conditions, based on the probable outcome of such performance-based vesting conditions as of the last day of the fiscal year.</w:t>
      </w:r>
    </w:p>
    <w:p>
      <w:pPr>
        <w:spacing w:after="0" w:line="24" w:lineRule="exact"/>
        <w:rPr>
          <w:rFonts w:ascii="Arial" w:cs="Arial" w:eastAsia="Arial" w:hAnsi="Arial"/>
          <w:sz w:val="18"/>
          <w:szCs w:val="18"/>
          <w:color w:val="auto"/>
        </w:rPr>
      </w:pPr>
    </w:p>
    <w:p>
      <w:pPr>
        <w:ind w:left="972" w:right="220" w:hanging="324"/>
        <w:spacing w:after="0" w:line="259"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the average aggregate change in fair value during the applicable fiscal year of the outstanding and unvested stock awards and option awards held by our other NEOs as a group (excluding our PEOs) as of the last day of the applicable fiscal year, computed in accordance with FASB ASC Topic 718 and, for awards subject to performance-based vesting conditions, based on the probable outcome of such performance-based vesting conditions as of the last day of the fiscal year.</w:t>
      </w:r>
    </w:p>
    <w:p>
      <w:pPr>
        <w:spacing w:after="0" w:line="24" w:lineRule="exact"/>
        <w:rPr>
          <w:rFonts w:ascii="Arial" w:cs="Arial" w:eastAsia="Arial" w:hAnsi="Arial"/>
          <w:sz w:val="18"/>
          <w:szCs w:val="18"/>
          <w:color w:val="auto"/>
        </w:rPr>
      </w:pPr>
    </w:p>
    <w:p>
      <w:pPr>
        <w:ind w:left="972" w:right="120" w:hanging="324"/>
        <w:spacing w:after="0" w:line="266" w:lineRule="auto"/>
        <w:tabs>
          <w:tab w:leader="none" w:pos="963" w:val="left"/>
        </w:tabs>
        <w:numPr>
          <w:ilvl w:val="1"/>
          <w:numId w:val="35"/>
        </w:numPr>
        <w:rPr>
          <w:rFonts w:ascii="Arial" w:cs="Arial" w:eastAsia="Arial" w:hAnsi="Arial"/>
          <w:sz w:val="17"/>
          <w:szCs w:val="17"/>
          <w:color w:val="auto"/>
        </w:rPr>
      </w:pPr>
      <w:r>
        <w:rPr>
          <w:rFonts w:ascii="Arial" w:cs="Arial" w:eastAsia="Arial" w:hAnsi="Arial"/>
          <w:sz w:val="17"/>
          <w:szCs w:val="17"/>
          <w:color w:val="auto"/>
        </w:rPr>
        <w:t>Represents the average aggregate fair value at vesting of the stock awards and option awards that were granted to our other NEOs as a group (excluding our PEOs) and vested during the same applicable fiscal year, computed in accordance with FASB ASC Topic 718.</w:t>
      </w:r>
    </w:p>
    <w:p>
      <w:pPr>
        <w:spacing w:after="0" w:line="1" w:lineRule="exact"/>
        <w:rPr>
          <w:rFonts w:ascii="Arial" w:cs="Arial" w:eastAsia="Arial" w:hAnsi="Arial"/>
          <w:sz w:val="17"/>
          <w:szCs w:val="17"/>
          <w:color w:val="auto"/>
        </w:rPr>
      </w:pPr>
    </w:p>
    <w:p>
      <w:pPr>
        <w:ind w:left="972" w:right="140" w:hanging="324"/>
        <w:spacing w:after="0" w:line="277" w:lineRule="auto"/>
        <w:tabs>
          <w:tab w:leader="none" w:pos="9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Represents the average aggregate change in fair value, measured from the prior fiscal year-end to the vesting date, of each stock award and option award held by our other NEOs as a group (excluding our PEOs) that was granted in a prior fiscal year and which vested during the applicable fiscal year, computed in accordance with FASB ASC Topic 718 and, for awards subject to performance-based vesting conditions, based on the probable outcome of such performance-based vesting conditions as of the last day of the fiscal year.</w:t>
      </w:r>
    </w:p>
    <w:p>
      <w:pPr>
        <w:spacing w:after="0" w:line="12" w:lineRule="exact"/>
        <w:rPr>
          <w:rFonts w:ascii="Arial" w:cs="Arial" w:eastAsia="Arial" w:hAnsi="Arial"/>
          <w:sz w:val="16"/>
          <w:szCs w:val="16"/>
          <w:color w:val="auto"/>
        </w:rPr>
      </w:pPr>
    </w:p>
    <w:p>
      <w:pPr>
        <w:ind w:left="972" w:right="380" w:hanging="324"/>
        <w:spacing w:after="0" w:line="263"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the average aggregate fair value as of the last day of the prior fiscal year of our other NEOs’ as a group (excluding our PEOs) stock awards and option awards that were granted in a prior fiscal year and which failed to meet the applicable vesting conditions in the applicable fiscal year, computed in accordance with FASB ASC Topic 718.</w:t>
      </w:r>
    </w:p>
    <w:p>
      <w:pPr>
        <w:spacing w:after="0" w:line="75" w:lineRule="exact"/>
        <w:rPr>
          <w:rFonts w:ascii="Arial" w:cs="Arial" w:eastAsia="Arial" w:hAnsi="Arial"/>
          <w:sz w:val="18"/>
          <w:szCs w:val="18"/>
          <w:color w:val="auto"/>
        </w:rPr>
      </w:pPr>
    </w:p>
    <w:p>
      <w:pPr>
        <w:ind w:left="332" w:right="140" w:hanging="332"/>
        <w:spacing w:after="0" w:line="277" w:lineRule="auto"/>
        <w:tabs>
          <w:tab w:leader="none" w:pos="4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Item 402(v) of Regulation S-K, the comparison assumes $100 was invested on December 31, 2020 in our common stock. Historic stock price performance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12"/>
          </w:cols>
          <w:pgMar w:left="328" w:top="1219"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Compensation Actually Paid and Company TSR</w:t>
      </w:r>
      <w:r>
        <w:rPr>
          <w:rFonts w:ascii="Arial" w:cs="Arial" w:eastAsia="Arial" w:hAnsi="Arial"/>
          <w:sz w:val="23"/>
          <w:szCs w:val="23"/>
          <w:i w:val="1"/>
          <w:iCs w:val="1"/>
          <w:color w:val="auto"/>
          <w:vertAlign w:val="superscript"/>
        </w:rPr>
        <w:t>1</w:t>
      </w:r>
    </w:p>
    <w:p>
      <w:pPr>
        <w:spacing w:after="0" w:line="65"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PEOs in 2022 consist of two individuals with non-standard annual compensation in 2022 compared to the prior year: PEO 1 was a new hire interim Chief Executive Officer appointed within the first quarter of the fiscal year; PEO 2 entered a separation agreement with the company at the beginning of fiscal year 2022. This alignment of compensation actually paid for our NEOs with our cumulative TSR over the period presented is because a significant portion of the compensation actually paid to our executive team is comprised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48895</wp:posOffset>
            </wp:positionV>
            <wp:extent cx="5674995" cy="3402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499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8"/>
        <w:spacing w:after="0" w:line="369" w:lineRule="auto"/>
        <w:tabs>
          <w:tab w:leader="none" w:pos="162" w:val="left"/>
        </w:tabs>
        <w:numPr>
          <w:ilvl w:val="0"/>
          <w:numId w:val="37"/>
        </w:numPr>
        <w:rPr>
          <w:rFonts w:ascii="Arial" w:cs="Arial" w:eastAsia="Arial" w:hAnsi="Arial"/>
          <w:sz w:val="14"/>
          <w:szCs w:val="14"/>
          <w:color w:val="auto"/>
        </w:rPr>
      </w:pPr>
      <w:r>
        <w:rPr>
          <w:rFonts w:ascii="Arial" w:cs="Arial" w:eastAsia="Arial" w:hAnsi="Arial"/>
          <w:sz w:val="14"/>
          <w:szCs w:val="14"/>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Compensation Actually Paid and Net Income</w:t>
      </w:r>
      <w:r>
        <w:rPr>
          <w:rFonts w:ascii="Arial" w:cs="Arial" w:eastAsia="Arial" w:hAnsi="Arial"/>
          <w:sz w:val="23"/>
          <w:szCs w:val="23"/>
          <w:i w:val="1"/>
          <w:iCs w:val="1"/>
          <w:color w:val="auto"/>
          <w:vertAlign w:val="superscript"/>
        </w:rPr>
        <w:t>1</w:t>
      </w:r>
    </w:p>
    <w:p>
      <w:pPr>
        <w:spacing w:after="0" w:line="65"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The following graph displays our compensation actually paid vs. net income. As a pre-commercial biotechnology company, we do not believe net income is yet a reasonable metric to measure our financial performance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36195</wp:posOffset>
            </wp:positionV>
            <wp:extent cx="5674995" cy="323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499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60" w:firstLine="8"/>
        <w:spacing w:after="0" w:line="258" w:lineRule="auto"/>
        <w:tabs>
          <w:tab w:leader="none" w:pos="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Net Income is calculated by subtracting expenses, interest, and taxes from revenue. The dollar amounts reported represent the amount of Net Income reflected in the Company’s audited financial statements for the applicable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1321"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2022.</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Option Awards</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20" w:type="dxa"/>
            <w:vAlign w:val="bottom"/>
            <w:vMerge w:val="restart"/>
          </w:tcPr>
          <w:p>
            <w:pPr>
              <w:jc w:val="center"/>
              <w:ind w:left="11"/>
              <w:spacing w:after="0"/>
              <w:rPr>
                <w:sz w:val="20"/>
                <w:szCs w:val="20"/>
                <w:color w:val="auto"/>
              </w:rPr>
            </w:pPr>
            <w:r>
              <w:rPr>
                <w:rFonts w:ascii="Arial" w:cs="Arial" w:eastAsia="Arial" w:hAnsi="Arial"/>
                <w:sz w:val="16"/>
                <w:szCs w:val="16"/>
                <w:b w:val="1"/>
                <w:bCs w:val="1"/>
                <w:color w:val="auto"/>
                <w:w w:val="90"/>
              </w:rPr>
              <w:t>Number of Securities</w:t>
            </w: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Number of Securities</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Number of</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Market Value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38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Shares or Units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jc w:val="center"/>
              <w:ind w:left="11"/>
              <w:spacing w:after="0" w:line="162" w:lineRule="exact"/>
              <w:rPr>
                <w:sz w:val="20"/>
                <w:szCs w:val="20"/>
                <w:color w:val="auto"/>
              </w:rPr>
            </w:pPr>
            <w:r>
              <w:rPr>
                <w:rFonts w:ascii="Arial" w:cs="Arial" w:eastAsia="Arial" w:hAnsi="Arial"/>
                <w:sz w:val="16"/>
                <w:szCs w:val="16"/>
                <w:b w:val="1"/>
                <w:bCs w:val="1"/>
                <w:color w:val="auto"/>
                <w:w w:val="93"/>
              </w:rPr>
              <w:t>Underlying</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Underlying</w:t>
            </w:r>
          </w:p>
        </w:tc>
        <w:tc>
          <w:tcPr>
            <w:tcW w:w="112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 Expiration</w:t>
            </w: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of Stock That</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 or Units of</w:t>
            </w:r>
          </w:p>
        </w:tc>
        <w:tc>
          <w:tcPr>
            <w:tcW w:w="0" w:type="dxa"/>
            <w:vAlign w:val="bottom"/>
          </w:tcPr>
          <w:p>
            <w:pPr>
              <w:spacing w:after="0"/>
              <w:rPr>
                <w:sz w:val="1"/>
                <w:szCs w:val="1"/>
                <w:color w:val="auto"/>
              </w:rPr>
            </w:pPr>
          </w:p>
        </w:tc>
      </w:tr>
      <w:tr>
        <w:trPr>
          <w:trHeight w:val="162"/>
        </w:trPr>
        <w:tc>
          <w:tcPr>
            <w:tcW w:w="1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3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Grant Date</w:t>
            </w:r>
            <w:r>
              <w:rPr>
                <w:rFonts w:ascii="Arial" w:cs="Arial" w:eastAsia="Arial" w:hAnsi="Arial"/>
                <w:sz w:val="21"/>
                <w:szCs w:val="21"/>
                <w:b w:val="1"/>
                <w:bCs w:val="1"/>
                <w:color w:val="auto"/>
                <w:vertAlign w:val="superscript"/>
              </w:rPr>
              <w:t>(1)</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Unexercised Options</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Unexercised Options</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1380" w:type="dxa"/>
            <w:vAlign w:val="bottom"/>
            <w:vMerge w:val="continue"/>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Have Not</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Stock That Have</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left="11"/>
              <w:spacing w:after="0"/>
              <w:rPr>
                <w:sz w:val="20"/>
                <w:szCs w:val="20"/>
                <w:color w:val="auto"/>
              </w:rPr>
            </w:pPr>
            <w:r>
              <w:rPr>
                <w:rFonts w:ascii="Arial" w:cs="Arial" w:eastAsia="Arial" w:hAnsi="Arial"/>
                <w:sz w:val="16"/>
                <w:szCs w:val="16"/>
                <w:b w:val="1"/>
                <w:bCs w:val="1"/>
                <w:color w:val="auto"/>
                <w:w w:val="90"/>
              </w:rPr>
              <w:t>(#) Exercisable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Unexercisable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Vested (#)</w:t>
            </w:r>
          </w:p>
        </w:tc>
        <w:tc>
          <w:tcPr>
            <w:tcW w:w="13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Not Vested ($)</w:t>
            </w:r>
            <w:r>
              <w:rPr>
                <w:rFonts w:ascii="Arial" w:cs="Arial" w:eastAsia="Arial" w:hAnsi="Arial"/>
                <w:sz w:val="21"/>
                <w:szCs w:val="21"/>
                <w:b w:val="1"/>
                <w:bCs w:val="1"/>
                <w:color w:val="auto"/>
                <w:w w:val="88"/>
                <w:vertAlign w:val="superscript"/>
              </w:rPr>
              <w:t>(2)</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Daniel Faga</w:t>
            </w:r>
            <w:r>
              <w:rPr>
                <w:rFonts w:ascii="Arial" w:cs="Arial" w:eastAsia="Arial" w:hAnsi="Arial"/>
                <w:sz w:val="21"/>
                <w:szCs w:val="21"/>
                <w:color w:val="auto"/>
                <w:vertAlign w:val="superscript"/>
              </w:rPr>
              <w:t>(3)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11/26/2021</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2,321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11/25/2031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11/26/2021</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3,972</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7,028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31.12</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11/25/2031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02/10/2022</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7,667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30.44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3/21/2022</w:t>
            </w: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887,043</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27,489,463</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Hamza Suria</w:t>
            </w:r>
            <w:r>
              <w:rPr>
                <w:rFonts w:ascii="Arial" w:cs="Arial" w:eastAsia="Arial" w:hAnsi="Arial"/>
                <w:sz w:val="21"/>
                <w:szCs w:val="21"/>
                <w:color w:val="auto"/>
                <w:vertAlign w:val="superscript"/>
              </w:rPr>
              <w:t>(4)</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02/24/2017</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40,000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24.60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02/24/2027</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01/26/2018</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63,000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106.84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01/26/2028</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02/08/2019</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90,083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68.89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02/07/2029</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12/13/2019</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70,000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15.73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12/12/2029</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54,863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64,837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23,150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02/10/2022</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30.44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02/10/2022</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30.44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02/09/2032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Paul Lizzul </w:t>
            </w:r>
            <w:r>
              <w:rPr>
                <w:rFonts w:ascii="Arial" w:cs="Arial" w:eastAsia="Arial" w:hAnsi="Arial"/>
                <w:sz w:val="21"/>
                <w:szCs w:val="21"/>
                <w:color w:val="auto"/>
                <w:vertAlign w:val="superscript"/>
              </w:rPr>
              <w:t>(5)</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07/30/2020</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54,375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35,625</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18.50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07/29/2030</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20,625</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24,375</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02/10/2022</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70,000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30.44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02/09/2032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12/15/2022</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28.64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12/15/2022</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15,000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28.64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12/14/2032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09/14/2022</w:t>
            </w:r>
          </w:p>
        </w:tc>
        <w:tc>
          <w:tcPr>
            <w:tcW w:w="17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371,880</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line="230" w:lineRule="exact"/>
              <w:rPr>
                <w:sz w:val="20"/>
                <w:szCs w:val="20"/>
                <w:color w:val="auto"/>
              </w:rPr>
            </w:pPr>
            <w:r>
              <w:rPr>
                <w:rFonts w:ascii="Arial" w:cs="Arial" w:eastAsia="Arial" w:hAnsi="Arial"/>
                <w:sz w:val="16"/>
                <w:szCs w:val="16"/>
                <w:color w:val="auto"/>
              </w:rPr>
              <w:t>Eric Loumeau</w:t>
            </w:r>
            <w:r>
              <w:rPr>
                <w:rFonts w:ascii="Arial" w:cs="Arial" w:eastAsia="Arial" w:hAnsi="Arial"/>
                <w:sz w:val="21"/>
                <w:szCs w:val="21"/>
                <w:color w:val="auto"/>
                <w:vertAlign w:val="superscript"/>
              </w:rPr>
              <w:t>(6)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08/06/2018</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40,000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78.18</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08/05/2028</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02/08/2019</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33,542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68.89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02/07/2029</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08/18/2019</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14,583</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2,917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49.20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08/17/2029</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12/06/2019</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58,500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24,500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12/05/2029</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07/13/2020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3,542</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3,958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20.16</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07/12/2030</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02/10/2021</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0"/>
              </w:rPr>
              <w:t>20,625</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24,375</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29.70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02/09/2031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02/10/2022</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30.44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02/09/2032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12/15/2022</w:t>
            </w:r>
          </w:p>
        </w:tc>
        <w:tc>
          <w:tcPr>
            <w:tcW w:w="172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15,000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28.64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12/14/2032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12/15/2022</w:t>
            </w:r>
          </w:p>
        </w:tc>
        <w:tc>
          <w:tcPr>
            <w:tcW w:w="1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28.64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09/14/2022</w:t>
            </w: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371,880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 w:lineRule="exact"/>
        <w:rPr>
          <w:sz w:val="20"/>
          <w:szCs w:val="20"/>
          <w:color w:val="auto"/>
        </w:rPr>
      </w:pPr>
    </w:p>
    <w:p>
      <w:pPr>
        <w:ind w:left="340" w:right="60" w:hanging="332"/>
        <w:spacing w:after="0" w:line="286" w:lineRule="auto"/>
        <w:tabs>
          <w:tab w:leader="none" w:pos="407"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57" w:lineRule="exact"/>
        <w:rPr>
          <w:rFonts w:ascii="Arial" w:cs="Arial" w:eastAsia="Arial" w:hAnsi="Arial"/>
          <w:sz w:val="15"/>
          <w:szCs w:val="15"/>
          <w:color w:val="auto"/>
        </w:rPr>
      </w:pPr>
    </w:p>
    <w:p>
      <w:pPr>
        <w:ind w:left="400" w:hanging="392"/>
        <w:spacing w:after="0"/>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the closing price of our common stock on December 30, 2022, the last trading date of 2022, of $30.99.</w:t>
      </w:r>
    </w:p>
    <w:p>
      <w:pPr>
        <w:spacing w:after="0" w:line="113" w:lineRule="exact"/>
        <w:rPr>
          <w:rFonts w:ascii="Arial" w:cs="Arial" w:eastAsia="Arial" w:hAnsi="Arial"/>
          <w:sz w:val="16"/>
          <w:szCs w:val="16"/>
          <w:color w:val="auto"/>
        </w:rPr>
      </w:pPr>
    </w:p>
    <w:p>
      <w:pPr>
        <w:ind w:left="340" w:right="120" w:hanging="332"/>
        <w:spacing w:after="0" w:line="317" w:lineRule="auto"/>
        <w:tabs>
          <w:tab w:leader="none" w:pos="40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options vest as to their underlying shares as follows: (i) the shares underlying the 2,321 options granted on November 26, 2021 have fully vested; (ii) of the 11,000 shares underlying the option granted on November 26, 2021, 1/36 vested on December 26, 2021, and 1/36 vest on the twenty-sixth day of each succeeding calendar month, starting January 26, 2022; (iii) of the 9,200 shares underlying the option granted on February 10, 2022, 1/12 vested on March 10, 2022, and 1/12 vest on the tenth day of each succeeding calendar month, starting April 10, 2022, and (iv) the shares underlying the 887,043 RSUs granted on March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69" w:right="379" w:bottom="1440" w:gutter="0" w:footer="0" w:header="0"/>
        </w:sectPr>
      </w:pPr>
    </w:p>
    <w:bookmarkStart w:id="36" w:name="page37"/>
    <w:bookmarkEnd w:id="36"/>
    <w:p>
      <w:pPr>
        <w:ind w:left="340" w:right="60"/>
        <w:spacing w:after="0" w:line="262" w:lineRule="auto"/>
        <w:rPr>
          <w:sz w:val="20"/>
          <w:szCs w:val="20"/>
          <w:color w:val="auto"/>
        </w:rPr>
      </w:pPr>
      <w:r>
        <w:rPr>
          <w:rFonts w:ascii="Arial" w:cs="Arial" w:eastAsia="Arial" w:hAnsi="Arial"/>
          <w:sz w:val="16"/>
          <w:szCs w:val="16"/>
          <w:color w:val="auto"/>
        </w:rPr>
        <w:t>vest in full on March 21, 2024. If we experience a change in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then each of Mr. Faga’s then currently outstanding equity awards will vest in full.</w:t>
      </w:r>
    </w:p>
    <w:p>
      <w:pPr>
        <w:spacing w:after="0" w:line="74" w:lineRule="exact"/>
        <w:rPr>
          <w:sz w:val="20"/>
          <w:szCs w:val="20"/>
          <w:color w:val="auto"/>
        </w:rPr>
      </w:pPr>
    </w:p>
    <w:p>
      <w:pPr>
        <w:ind w:left="340" w:right="40" w:hanging="332"/>
        <w:spacing w:after="0" w:line="298" w:lineRule="auto"/>
        <w:tabs>
          <w:tab w:leader="none" w:pos="36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options vest as to their underlying shares as follows: (i) the shares underlying the options granted on February 24, 2017, January 26, 2018, and the 23,150 shares granted on February 10, 2021 have fully vested; (ii) of the 94,000 shares underlying the option granted on February 8, 2019, 1/4 vested on February 8, 2020, and 1/48 vest on the eighth day of each succeeding calendar month, starting March 8, 2020; (iii) of the 280,000 shares underlying the option granted on December 13, 2019, 1/4 vested on December 6, 2020, and 1/48 vest on the sixth day of each succeeding calendar month, starting January 6, 2021; (iv) of the 119,700 shares underlying one of the options granted on February 10, 2021, 1/4 vested on February 10, 2022, and 1/48 vest on the tenth of day of each succeeding calendar month, starting March 10, 2022; (v) of the 200,000 shares underlying one of the options granted on February 10, 2022, 1/4 vested on February 10, 2023, and 1/48 vest on the tenth day of each succeeding calendar month, starting March 10, 2023; and (vi) of the 90,000 shares underlying the options granted on February 10, 2022, 1/2 vest upon achievement of certain performance conditions and, 1/2 vest upon achievement of certain performance conditions, provided, however, that in accordance with the terms of Mr. Suria’s consulting agreement, all of Mr. Suria’s outstanding equity awards will continue vesting pursuant to their terms during the term of his consultancy, which ended on March 21, 2023, following which all unvested equity awards will be forfeited. Mr. Suria resigned from his position as chief executive officer effective March 20, 2022.</w:t>
      </w:r>
    </w:p>
    <w:p>
      <w:pPr>
        <w:spacing w:after="0" w:line="52" w:lineRule="exact"/>
        <w:rPr>
          <w:rFonts w:ascii="Arial" w:cs="Arial" w:eastAsia="Arial" w:hAnsi="Arial"/>
          <w:sz w:val="14"/>
          <w:szCs w:val="14"/>
          <w:color w:val="auto"/>
        </w:rPr>
      </w:pPr>
    </w:p>
    <w:p>
      <w:pPr>
        <w:ind w:left="340" w:hanging="332"/>
        <w:spacing w:after="0" w:line="275" w:lineRule="auto"/>
        <w:tabs>
          <w:tab w:leader="none" w:pos="36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the shares underlying the 10,000 options granted on February 10, 2021 have fully vested; (ii) of the 90,000 shares underlying the option granted on July 30, 2020, 1/4 vested on July 30, 2021, and 1/48 vest on the thirtieth day of each succeeding calendar month, starting August 30, 2021; (iii) of the 45,000 shares underlying one of the options granted on February 10, 2021, 1/4 vested on February 10, 2022, and 1/48 vest on the tenth day of each succeeding calendar month, starting March 10, 2022; and (iv) of the 70,000 shares underlying the options granted on February 10, 2022, 1/4 vested on February 10, 2023, and 1/48 vest on the tenth day of each succeeding calendar month, starting March 10, 2023; (v) 15,000 shares underlying one of the options granted on December 15, 2022 vest upon achievement of certain performance conditions; (vi) 15,000 shares underlying one of the options granted on December 15, 2022, vest upon achievement of certain performance conditions, and (vii) of the shares underlying the 12,000 RSUs granted on September 14, 2022 vest 1/2 on September 14, 2023 and 1/2 on September 14, 2024. If we experience a change in control and Mr. Lizzul is terminated without “cause” or resigns for “good reason” (each as defined in the Lizzul Employment Agreement) upon the occurrence of, or within 13 months following, such change of control, and provided that Mr. Lizzul delivers a signed settlement and general release in favor of us and satisfies all conditions to make such release effective, then each of Mr. Lizzul’s then currently outstanding equity awards will vest in full.</w:t>
      </w:r>
    </w:p>
    <w:p>
      <w:pPr>
        <w:spacing w:after="0" w:line="80" w:lineRule="exact"/>
        <w:rPr>
          <w:rFonts w:ascii="Arial" w:cs="Arial" w:eastAsia="Arial" w:hAnsi="Arial"/>
          <w:sz w:val="15"/>
          <w:szCs w:val="15"/>
          <w:color w:val="auto"/>
        </w:rPr>
      </w:pPr>
    </w:p>
    <w:p>
      <w:pPr>
        <w:ind w:left="340" w:hanging="332"/>
        <w:spacing w:after="0" w:line="273" w:lineRule="auto"/>
        <w:tabs>
          <w:tab w:leader="none" w:pos="36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the shares underlying the options granted on August 6, 2018 and the 10,000 shares granted on February 10, 2021 have fully vested; (ii) of the 35,000 shares underlying the options granted on February 8, 2019, 1/4 vested on February 8, 2020, and 1/48 vest on the eighth day of each succeeding calendar month, starting March 8, 2020; (iii) of the 17,500 shares underlying the options granted on August 18, 2019, 1/4 vested on August 18, 2020, and 1/48 vest on the eighteenth day of each succeeding calendar month, starting September 18, 2020; (iv) of the 83,000 shares underlying the options granted on December 6, 2019, 1/4 vested on December 6, 2020, and 1/48 vest on the sixth day of each succeeding calendar month, starting January 6, 2021; (v) of the 7,500 shares underlying the options granted on July 13, 2020, 1/4 vested on July 13, 2021, and 1/48 vest on the thirteenth day of each succeeding calendar month, starting August 13, 2021; (vi) of the 45,000 shares underlying the options granted on February 10, 2021, 1/4 vested on February 10, 2022, and 1/48 vest on the tenth day of each succeeding calendar month, starting March 10, 2022; and (vii) of the 70,000 shares underlying the options granted on February 10, 2022,1/4 vested on February 10, 2023, and 1/48 vest on the tenth day of each succeeding calendar month, starting March 10, 2023, (vii) of the 15,000 shares underlying one of the options granted on December 15, 2022, vest upon achievement of certain performance conditions; (viii) 15,000 shares underlying one of the options granted on December 15, 2022, vest upon achievement of certain performance conditions, and (ix) of the shares underlying the 12,000 RSUs granted on September 14, 2022 vest 1/2 on September 14, 2023 and 1/2 on September 14, 2024.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then each of Mr. Loumeau’s then currently outstanding equity awards will vest in full.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terms and conditions of employment of each of Mr. Faga, Dr. Lizzul and Mr. Loumeau are set forth in written employment agreements. Each of these arrangements was approved by our board of directors. Prior to his resignation as our Chief Executive Officer, effective March 20, 2022, Mr. Suria was party to a written employment agreement with us, and following his resignation, he is party to a separation agreement and a consulting agreement with us. In connection with his appointment as our Interim President and Chief Executive Officer, effective March 21, 2022, we entered into a written employment agreement with Mr. Faga. We believed these employment agreements were necessary to induce these individuals to forego other employment opportunities or leave their current employer for the uncertainty of a demanding position in a new and unfamiliar organization. We believe the separation agreement and consulting agreement we entered into with Mr. Suria were necessary to induce Mr. Suria to provide transition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16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Mr. Faga’s Employment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Mr. Faga was appointed our Interim President and Chief Executive Officer, effective March 21, 2022. The Company has entered into an employment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March 21, 2022, or the Faga Employment Agreement, with Mr. Faga in connection with his appointment, which sets forth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of his employment as the Company’s Interim President and Chief Executive Officer, including his initial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$603,580 and an annual target cash bonus opportunity of up to 55% of his base salary, which bonus may be earned based upon the achievement of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goals (and which will be prorated for his partial year of service). Mr. Faga also received an equity grant consisting of 887,043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with associated dividend equivalent rights payable as the RSU award vests. The RSU award will vest on the 24-month anniversary of his March 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start date. The Faga Employment Agreement will continue for a two-year term with an automatic renewal for one year unless there is 3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by either party or unless it is terminated pursuant to its terms, however Mr. Faga’s employment is at-will and may be terminated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or without cause. However, pursuant to the terms of the Faga Employment Agreement, Mr. Faga will be entitled to severance benefits upon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qualifying termination of employment as described in “-Potential Payments upon Termination or Change in Control”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Suria’s Separation Agreement and Consulting Agreement</w:t>
      </w:r>
    </w:p>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Suria previously served as our President and Chief Executive Officer. Mr. Suria resigned from his position on March 20, 2022. Mr. Suria was party to an employment agreement with the Company, dated January 26, 2018, pursuant to which, among other things, Mr. Suria was entitled to certain severance benefits upon his termination by the Company without cause. In connection with Mr. Suria’s resignation, the Company entered into a separation agreement, dated March 20, 2022, with Mr. Suria regarding the terms of his separation from the Company, pursuant to which, among other things, Mr. Suria’s employment agreement with the Company was terminated, and in exchange for executing a general release of claims in favor of the Company, for a period of 12 months, Mr. Suria is entitled to receive salary continuation payments of his then-current base salary of $603,580 and reimbursement for his COBRA premiums. In addition, the Company entered into a consulting agreement with Mr. Suria, pursuant to which Mr. Suria was engaged as a consultant to provide transition support through March 21, 2023. Mr. Suria’s outstanding equity awards continued vesting pursuant to their terms during his consultancy.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Lizzul's Employment Agreement</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Pursuant to an employment agreement effective as of July 31, 2020, as amended on April 25, 2022, or the Lizzul Employment Agreement, Dr. Lizzul serves as our Chief Medical Officer. The Lizzul Employment Agreement set forth the principal terms and conditions of his employment, including his annual base salary, subject to periodic review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Loumeau’s Employment Agreement</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an employment agreement effective as of July 15, 2020, as amended on April 25, 2022, or the Loumeau Employment Agreement, Mr. Loumeau serves as our Chief Operating Officer and General Counsel. The Loumeau Employment Agreement set forth the principal terms and conditions of his employment, including his annual base salary, subject to periodic review and an annual target cash bonus opportunity of up to 45% of his base salary, which bonus is earned based on our achievement of performance goals established by our chief executive officer, the achievement of which is evaluated by our chief executive officer and board of directors.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Faga Employment Agreement, the Lizzul Employment Agreement and the Loumeau Employment Agreement, in the event that Mr. Faga, Dr. Lizzul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Loumeau,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Loumeau, or such earlier date on which coverage with a new employer is obtained.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Faga Employment Agreement and certain of his outstanding stock option agreements, if we experience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will receive the continued severance payments and COBRA premiums described above for eighteen months and</w:t>
      </w:r>
    </w:p>
    <w:p>
      <w:pPr>
        <w:spacing w:after="0" w:line="1" w:lineRule="exact"/>
        <w:rPr>
          <w:sz w:val="20"/>
          <w:szCs w:val="20"/>
          <w:color w:val="auto"/>
        </w:rPr>
      </w:pPr>
    </w:p>
    <w:p>
      <w:pPr>
        <w:ind w:right="40" w:firstLine="8"/>
        <w:spacing w:after="0" w:line="292"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bonus payment equal to his target bonus payment for the year, (iii) a prorated bonus based on actual achievement by the Company of goals for the year, and (iv) all of Mr. Faga’s outstanding equity awards, including his RSU award, will vest in full. Pursuant to the Faga Employment Agreement, if within the 24-month anniversary of his March 21, 2022 appointment, any payment to Mr. Faga would constitute a “parachute payment” within the meaning of Section 280G of the Internal Revenue Code of 1986 and be subject to an excise tax by Section 4999, then such payment shall be grossed up so that Mr. Faga receives the same amount after imposition of the excise tax as he would have received had no excise tax been imposed.</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Pursuant to each of the Lizzul Employment Agreement and the Loumeau Employment Agreement, if we experience a change in control and Dr. Lizzul or Mr. Loumeau, as applicable, is terminated without “cause” or resigns for “good reason” (each as defined in each of the Lizzul Employment Agreement and the Loumeau Employment Agreement) upon the occurrence of, or within 13 months following, such change of control, and provided that Dr. Lizzul or Mr. Loumeau, as applicable, delivers a signed settlement and general release in favor of us and satisfies all conditions to make such release effective, (i) Dr. Lizzul or Mr. Loumeau, as applicable, will receive the severance payments and COBRA premiums described above for twelve months, (ii) Dr. Lizzul's or Mr. Loumeau's, as applicable, currently outstanding equity awards, including his RSU awards, will vest in full, and (iii) Dr. Lizzul or Mr. Loumeau, as applicable, will receive the full payment of his target bonus and a prorated payment of his actual bonus for the applicable year of termination.</w:t>
      </w:r>
    </w:p>
    <w:p>
      <w:pPr>
        <w:spacing w:after="0" w:line="126"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Each of the Lizzul Employment Agreement and the Loumeau Employment Agreement contains a “better after-tax” provision, which provides that if any of the payments to Dr. Lizzul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36"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information as of December 31, 2022 with respect to compensation plans under which shares of our common stock may be issued.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5"/>
              </w:rPr>
              <w:t>securities</w:t>
            </w:r>
          </w:p>
        </w:tc>
        <w:tc>
          <w:tcPr>
            <w:tcW w:w="25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Weighted-average</w:t>
            </w:r>
          </w:p>
        </w:tc>
        <w:tc>
          <w:tcPr>
            <w:tcW w:w="3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5"/>
              </w:rPr>
              <w:t>to be issued upon</w:t>
            </w:r>
          </w:p>
        </w:tc>
        <w:tc>
          <w:tcPr>
            <w:tcW w:w="2500" w:type="dxa"/>
            <w:vAlign w:val="bottom"/>
            <w:gridSpan w:val="2"/>
            <w:vMerge w:val="continue"/>
          </w:tcPr>
          <w:p>
            <w:pPr>
              <w:spacing w:after="0"/>
              <w:rPr>
                <w:sz w:val="15"/>
                <w:szCs w:val="15"/>
                <w:color w:val="auto"/>
              </w:rPr>
            </w:pP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for future issuance under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3"/>
              </w:rPr>
              <w:t>exercise</w:t>
            </w:r>
          </w:p>
        </w:tc>
        <w:tc>
          <w:tcPr>
            <w:tcW w:w="25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86"/>
              </w:rPr>
              <w:t>exercise price</w:t>
            </w:r>
          </w:p>
        </w:tc>
        <w:tc>
          <w:tcPr>
            <w:tcW w:w="3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of outstanding</w:t>
            </w:r>
          </w:p>
        </w:tc>
        <w:tc>
          <w:tcPr>
            <w:tcW w:w="25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of outstanding</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options, vesting of restricted</w:t>
            </w:r>
          </w:p>
        </w:tc>
        <w:tc>
          <w:tcPr>
            <w:tcW w:w="25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options, restricted stock units,</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68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89"/>
              </w:rPr>
              <w:t>stock units, warrants</w:t>
            </w:r>
          </w:p>
        </w:tc>
        <w:tc>
          <w:tcPr>
            <w:tcW w:w="25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3"/>
              </w:rPr>
              <w:t>warrants</w:t>
            </w:r>
          </w:p>
        </w:tc>
        <w:tc>
          <w:tcPr>
            <w:tcW w:w="3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Borders>
              <w:bottom w:val="single" w:sz="8" w:color="auto"/>
            </w:tcBorders>
            <w:vMerge w:val="continue"/>
          </w:tcPr>
          <w:p>
            <w:pPr>
              <w:spacing w:after="0"/>
              <w:rPr>
                <w:sz w:val="19"/>
                <w:szCs w:val="19"/>
                <w:color w:val="auto"/>
              </w:rPr>
            </w:pPr>
          </w:p>
        </w:tc>
        <w:tc>
          <w:tcPr>
            <w:tcW w:w="2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1"/>
              </w:rPr>
              <w:t>and rights(#)</w:t>
            </w:r>
          </w:p>
        </w:tc>
        <w:tc>
          <w:tcPr>
            <w:tcW w:w="2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and rights($)</w:t>
            </w:r>
          </w:p>
        </w:tc>
        <w:tc>
          <w:tcPr>
            <w:tcW w:w="32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column(a))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t>
            </w:r>
          </w:p>
        </w:tc>
        <w:tc>
          <w:tcPr>
            <w:tcW w:w="2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3220" w:type="dxa"/>
            <w:vAlign w:val="bottom"/>
          </w:tcPr>
          <w:p>
            <w:pPr>
              <w:jc w:val="right"/>
              <w:ind w:right="141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Equity compensation plans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 xml:space="preserve">approved by security holders </w:t>
            </w:r>
            <w:r>
              <w:rPr>
                <w:rFonts w:ascii="Arial" w:cs="Arial" w:eastAsia="Arial" w:hAnsi="Arial"/>
                <w:sz w:val="23"/>
                <w:szCs w:val="23"/>
                <w:color w:val="auto"/>
                <w:vertAlign w:val="superscript"/>
              </w:rPr>
              <w:t>(1)(2)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4,702,051</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20"/>
                <w:szCs w:val="20"/>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2,297,242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Equity compensation plans not</w:t>
            </w: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approved by security holders</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4,702,051</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2,297,242</w:t>
            </w:r>
          </w:p>
        </w:tc>
        <w:tc>
          <w:tcPr>
            <w:tcW w:w="0" w:type="dxa"/>
            <w:vAlign w:val="bottom"/>
          </w:tcPr>
          <w:p>
            <w:pPr>
              <w:spacing w:after="0"/>
              <w:rPr>
                <w:sz w:val="1"/>
                <w:szCs w:val="1"/>
                <w:color w:val="auto"/>
              </w:rPr>
            </w:pPr>
          </w:p>
        </w:tc>
      </w:tr>
      <w:tr>
        <w:trPr>
          <w:trHeight w:val="297"/>
        </w:trPr>
        <w:tc>
          <w:tcPr>
            <w:tcW w:w="2800" w:type="dxa"/>
            <w:vAlign w:val="bottom"/>
            <w:gridSpan w:val="2"/>
          </w:tcPr>
          <w:p>
            <w:pPr>
              <w:jc w:val="right"/>
              <w:ind w:right="550"/>
              <w:spacing w:after="0"/>
              <w:rPr>
                <w:sz w:val="20"/>
                <w:szCs w:val="20"/>
                <w:color w:val="auto"/>
              </w:rPr>
            </w:pPr>
            <w:r>
              <w:rPr>
                <w:rFonts w:ascii="Arial" w:cs="Arial" w:eastAsia="Arial" w:hAnsi="Arial"/>
                <w:sz w:val="18"/>
                <w:szCs w:val="18"/>
                <w:color w:val="auto"/>
                <w:w w:val="89"/>
              </w:rPr>
              <w:t>________________________</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right="200" w:hanging="332"/>
        <w:spacing w:after="0" w:line="275" w:lineRule="auto"/>
        <w:tabs>
          <w:tab w:leader="none" w:pos="3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our 2006 Equity Incentive Plan, 2017 Equity Incentive Plan and our 2017 Employee Stock Purchase Plan, and excludes purchase rights accruing under our 2017 Employee Stock Purchase Plan.</w:t>
      </w:r>
    </w:p>
    <w:p>
      <w:pPr>
        <w:spacing w:after="0" w:line="77" w:lineRule="exact"/>
        <w:rPr>
          <w:rFonts w:ascii="Arial" w:cs="Arial" w:eastAsia="Arial" w:hAnsi="Arial"/>
          <w:sz w:val="16"/>
          <w:szCs w:val="16"/>
          <w:color w:val="auto"/>
        </w:rPr>
      </w:pPr>
    </w:p>
    <w:p>
      <w:pPr>
        <w:ind w:left="340" w:right="40" w:hanging="332"/>
        <w:spacing w:after="0" w:line="275" w:lineRule="auto"/>
        <w:tabs>
          <w:tab w:leader="none" w:pos="364"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2023 and will increase automatically on the first day of January of each of 2023 through 2028 by the number of shares equal to 4% of the total outstanding shares of our common stock as of the immediately preceding December 31 or a lower number approved by our board of directors or compensation committee. There are 1,497,742 shares of common stock available for issuance under the 2017 Employee Stock Purchase Plan and will increase automatically on the first day of January of each of 2023 through 2028 by the number of shares equal to 1% of the total outstanding shares of our common stock as of the immediately preceding December 31 or a lower number approved by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161" w:right="3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8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From January 1, 2021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04" w:right="359" w:bottom="1440" w:gutter="0" w:footer="0" w:header="0"/>
        </w:sectPr>
      </w:pPr>
    </w:p>
    <w:bookmarkStart w:id="41" w:name="page42"/>
    <w:bookmarkEnd w:id="41"/>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 Proposals to be presented at Next Annual Meeting</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Requirements for Stockholder Proposals to be Brought Before an Annual Meeting. </w:t>
      </w:r>
      <w:r>
        <w:rPr>
          <w:rFonts w:ascii="Arial" w:cs="Arial" w:eastAsia="Arial" w:hAnsi="Arial"/>
          <w:sz w:val="18"/>
          <w:szCs w:val="18"/>
          <w:color w:val="auto"/>
        </w:rPr>
        <w:t>Our bylaws provide that for stockholder nominations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other proposals to be considered at an annual meeting, the stockholder must give timely notice thereof in writing to the Corporate Secretary at AnaptysBio, Inc., 10770 Wateridge Circle, Suite 210, San Diego, CA 92121.</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be timely for our company’s 2024 annual meeting of stockholders, a stockholder’s notice must be delivered to or mailed and received by our Corporate Secretary at our principal executive offices not earlier than the close of business on February 29, 2024 and not later than the close of business on March 30, 2024.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Stockholder proposals submitted pursuant to Rule 14a-8</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Exchange Act and intended to be presented at our 2024 annual meeting of stockholders must be received by us not later than December 31, 2023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will mail without charge, upon written request, a copy of our annual report on Form 10-K for the year ended December 31, 2022, including the financial statements and list of exhibits, and any exhibit specifically requested. Requests should be sent to:</w:t>
      </w:r>
    </w:p>
    <w:p>
      <w:pPr>
        <w:spacing w:after="0" w:line="13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10770 Wateridge Circle, Suite 210</w:t>
      </w:r>
    </w:p>
    <w:p>
      <w:pPr>
        <w:ind w:left="4820"/>
        <w:spacing w:after="0" w:line="221" w:lineRule="auto"/>
        <w:rPr>
          <w:sz w:val="20"/>
          <w:szCs w:val="20"/>
          <w:color w:val="auto"/>
        </w:rPr>
      </w:pPr>
      <w:r>
        <w:rPr>
          <w:rFonts w:ascii="Arial" w:cs="Arial" w:eastAsia="Arial" w:hAnsi="Arial"/>
          <w:sz w:val="18"/>
          <w:szCs w:val="18"/>
          <w:b w:val="1"/>
          <w:bCs w:val="1"/>
          <w:color w:val="auto"/>
        </w:rPr>
        <w:t>San Diego, CA 92121</w:t>
      </w:r>
    </w:p>
    <w:p>
      <w:pPr>
        <w:ind w:left="4600"/>
        <w:spacing w:after="0"/>
        <w:rPr>
          <w:sz w:val="20"/>
          <w:szCs w:val="20"/>
          <w:color w:val="auto"/>
        </w:rPr>
      </w:pPr>
      <w:r>
        <w:rPr>
          <w:rFonts w:ascii="Arial" w:cs="Arial" w:eastAsia="Arial" w:hAnsi="Arial"/>
          <w:sz w:val="18"/>
          <w:szCs w:val="18"/>
          <w:b w:val="1"/>
          <w:bCs w:val="1"/>
          <w:color w:val="auto"/>
        </w:rPr>
        <w:t>Attn: Corporate Secretary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annual report on Form 10-K is also available at http://ir.anaptysbio.com.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Address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stockholders who share the same address and currently receive multiple copies of our Notice of Internet Availability or annual report on Form 10-K and other proxy materials who wish to receive only one copy in the future can contact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161" w:right="37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320" w:top="1165" w:right="61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320" w:top="1161" w:right="4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APPENDIX A - AMENDED AND RESTATED CERTIFICATE OF INCORPORATION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AnaptysBio, Inc., a Delaware corporation, hereby certifies as follows.</w:t>
      </w:r>
    </w:p>
    <w:p>
      <w:pPr>
        <w:spacing w:after="0" w:line="252" w:lineRule="exact"/>
        <w:rPr>
          <w:sz w:val="20"/>
          <w:szCs w:val="20"/>
          <w:color w:val="auto"/>
        </w:rPr>
      </w:pPr>
    </w:p>
    <w:p>
      <w:pPr>
        <w:ind w:firstLine="656"/>
        <w:spacing w:after="0" w:line="277" w:lineRule="auto"/>
        <w:tabs>
          <w:tab w:leader="none" w:pos="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of the corporation is AnaptysBio, Inc. The date of filing the original Certificate of Incorporation of this company with the Secretary of State of the State of Delaware was November 16, 2005 under the name of Anaptys Biosciences, Inc.</w:t>
      </w:r>
    </w:p>
    <w:p>
      <w:pPr>
        <w:spacing w:after="0" w:line="197" w:lineRule="exact"/>
        <w:rPr>
          <w:rFonts w:ascii="Arial" w:cs="Arial" w:eastAsia="Arial" w:hAnsi="Arial"/>
          <w:sz w:val="18"/>
          <w:szCs w:val="18"/>
          <w:color w:val="auto"/>
        </w:rPr>
      </w:pPr>
    </w:p>
    <w:p>
      <w:pPr>
        <w:jc w:val="both"/>
        <w:ind w:firstLine="656"/>
        <w:spacing w:after="0" w:line="257" w:lineRule="auto"/>
        <w:tabs>
          <w:tab w:leader="none" w:pos="8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of the corporation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herein by this reference, and which restates, integrates and further amends the provisions of the Certificate of Incorporation of this corporation as previously amended or supplemented, has been duly adopted by the Board of Directors and by the stockholders in accordance with Sections 242 and 245 of the Delaware General Corporation Law, with the approval of the corporation's stockholders having been given by written consent without a meeting in accordance with Section 228 of the Delaware General Corporation Law.</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this corporation has caused this Amended and Restated Certificate of Incorporation to be signed by its duly authorized officer and the foregoing facts stated herein are true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 2023</w:t>
      </w:r>
    </w:p>
    <w:p>
      <w:pPr>
        <w:spacing w:after="0" w:line="263"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3386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3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Name: Eric Loumeau</w:t>
      </w:r>
    </w:p>
    <w:p>
      <w:pPr>
        <w:spacing w:after="0" w:line="4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Title: Chief Operating Officer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01" w:right="339" w:bottom="1440" w:gutter="0" w:footer="0" w:header="0"/>
        </w:sectPr>
      </w:pPr>
    </w:p>
    <w:bookmarkStart w:id="45" w:name="page46"/>
    <w:bookmarkEnd w:id="45"/>
    <w:p>
      <w:pPr>
        <w:ind w:left="4980"/>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ANAPTYSBIO,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010000"/>
        </w:rPr>
        <w:t xml:space="preserve">Article I: </w:t>
      </w:r>
      <w:r>
        <w:rPr>
          <w:rFonts w:ascii="Arial" w:cs="Arial" w:eastAsia="Arial" w:hAnsi="Arial"/>
          <w:sz w:val="18"/>
          <w:szCs w:val="18"/>
          <w:b w:val="1"/>
          <w:bCs w:val="1"/>
          <w:color w:val="000000"/>
        </w:rPr>
        <w:t>NAME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name of the corporation is AnaptysBio,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II: AGENT </w:t>
      </w:r>
      <w:r>
        <w:rPr>
          <w:rFonts w:ascii="Arial" w:cs="Arial" w:eastAsia="Arial" w:hAnsi="Arial"/>
          <w:sz w:val="18"/>
          <w:szCs w:val="18"/>
          <w:b w:val="1"/>
          <w:bCs w:val="1"/>
          <w:color w:val="000000"/>
        </w:rPr>
        <w:t>FOR SERVICE OF PROCESS</w:t>
      </w:r>
    </w:p>
    <w:p>
      <w:pPr>
        <w:spacing w:after="0" w:line="12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address of the registered office of this Corporation in the State of Delaware is 1209 Orange Street, City of Wilmington, County of New Castle, Zip Code 19801, and the name of the registered agent of the Corporation in the State of Delaware at such address is The Corporation Trust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b w:val="1"/>
          <w:bCs w:val="1"/>
          <w:color w:val="010000"/>
        </w:rPr>
        <w:t>III:</w:t>
      </w:r>
      <w:r>
        <w:rPr>
          <w:rFonts w:ascii="Arial" w:cs="Arial" w:eastAsia="Arial" w:hAnsi="Arial"/>
          <w:sz w:val="18"/>
          <w:szCs w:val="18"/>
          <w:b w:val="1"/>
          <w:bCs w:val="1"/>
          <w:color w:val="auto"/>
        </w:rPr>
        <w:t xml:space="preserve"> PURPOSE</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IV: </w:t>
      </w:r>
      <w:r>
        <w:rPr>
          <w:rFonts w:ascii="Arial" w:cs="Arial" w:eastAsia="Arial" w:hAnsi="Arial"/>
          <w:sz w:val="18"/>
          <w:szCs w:val="18"/>
          <w:b w:val="1"/>
          <w:bCs w:val="1"/>
          <w:color w:val="000000"/>
        </w:rPr>
        <w:t>AUTHORIZED STOCK</w:t>
      </w:r>
    </w:p>
    <w:p>
      <w:pPr>
        <w:spacing w:after="0" w:line="117" w:lineRule="exact"/>
        <w:rPr>
          <w:sz w:val="20"/>
          <w:szCs w:val="20"/>
          <w:color w:val="auto"/>
        </w:rPr>
      </w:pPr>
    </w:p>
    <w:p>
      <w:pPr>
        <w:jc w:val="both"/>
        <w:ind w:firstLine="395"/>
        <w:spacing w:after="0" w:line="289" w:lineRule="auto"/>
        <w:tabs>
          <w:tab w:leader="none" w:pos="598" w:val="left"/>
        </w:tabs>
        <w:numPr>
          <w:ilvl w:val="0"/>
          <w:numId w:val="44"/>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Total Authorized</w:t>
      </w:r>
      <w:r>
        <w:rPr>
          <w:rFonts w:ascii="Arial" w:cs="Arial" w:eastAsia="Arial" w:hAnsi="Arial"/>
          <w:sz w:val="17"/>
          <w:szCs w:val="17"/>
          <w:color w:val="auto"/>
        </w:rPr>
        <w:t>. The total number of shares of all classes of stock that the Corporation has authority to issue is Five Hundred and Ten</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(510,000,000) shares, consisting of two classes: Five Hundred Million (500,000,000) shares of Common Stock, $0.001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Ten Million (10,000,000) shares of Preferred Stock, $0.001 par value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49" w:lineRule="exact"/>
        <w:rPr>
          <w:rFonts w:ascii="Arial" w:cs="Arial" w:eastAsia="Arial" w:hAnsi="Arial"/>
          <w:sz w:val="17"/>
          <w:szCs w:val="17"/>
          <w:b w:val="1"/>
          <w:bCs w:val="1"/>
          <w:color w:val="010000"/>
        </w:rPr>
      </w:pPr>
    </w:p>
    <w:p>
      <w:pPr>
        <w:ind w:left="580" w:hanging="185"/>
        <w:spacing w:after="0"/>
        <w:tabs>
          <w:tab w:leader="none" w:pos="580" w:val="left"/>
        </w:tabs>
        <w:numPr>
          <w:ilvl w:val="0"/>
          <w:numId w:val="4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010000"/>
        </w:rPr>
        <w:t>Designation</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of Additional Series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-7620</wp:posOffset>
            </wp:positionV>
            <wp:extent cx="1021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23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2.1. </w:t>
      </w:r>
      <w:r>
        <w:rPr>
          <w:rFonts w:ascii="Arial" w:cs="Arial" w:eastAsia="Arial" w:hAnsi="Arial"/>
          <w:sz w:val="17"/>
          <w:szCs w:val="17"/>
          <w:color w:val="000000"/>
        </w:rPr>
        <w:t>The Board of Directors of the Corporation (the “</w:t>
      </w:r>
      <w:r>
        <w:rPr>
          <w:rFonts w:ascii="Arial" w:cs="Arial" w:eastAsia="Arial" w:hAnsi="Arial"/>
          <w:sz w:val="17"/>
          <w:szCs w:val="17"/>
          <w:b w:val="1"/>
          <w:bCs w:val="1"/>
          <w:i w:val="1"/>
          <w:iCs w:val="1"/>
          <w:color w:val="000000"/>
        </w:rPr>
        <w:t>Board</w:t>
      </w:r>
      <w:r>
        <w:rPr>
          <w:rFonts w:ascii="Arial" w:cs="Arial" w:eastAsia="Arial" w:hAnsi="Arial"/>
          <w:sz w:val="17"/>
          <w:szCs w:val="17"/>
          <w:color w:val="000000"/>
        </w:rPr>
        <w:t>”) is authorized, subject to any limitations prescribed by the law of the</w:t>
      </w:r>
      <w:r>
        <w:rPr>
          <w:rFonts w:ascii="Arial" w:cs="Arial" w:eastAsia="Arial" w:hAnsi="Arial"/>
          <w:sz w:val="17"/>
          <w:szCs w:val="17"/>
          <w:color w:val="010000"/>
        </w:rPr>
        <w:t xml:space="preserve"> </w:t>
      </w:r>
      <w:r>
        <w:rPr>
          <w:rFonts w:ascii="Arial" w:cs="Arial" w:eastAsia="Arial" w:hAnsi="Arial"/>
          <w:sz w:val="17"/>
          <w:szCs w:val="17"/>
          <w:color w:val="000000"/>
        </w:rPr>
        <w:t>State of Delaware, to provide for the issuance of the shares of Preferred Stock in one or more series, and, by filing a Certificate of Designation pursuant to the applicable law of the State of Delaware, to establish from time to time the number of shares to be included in each such series, to fix the designation, vesting, powers, preferences and relative, participating, optional or other rights, if any, of the shares of each such series and any qualifications, limitations or restrictions thereof,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 then-outstanding shares of capital stock of the Corporation entitled to vote thereon, without a vote of the holders of the Preferred Stock, unless a vote of any such holders is required pursuant to the terms of any certificate or certificates establishing a series of Preferred Stock.</w:t>
      </w:r>
    </w:p>
    <w:p>
      <w:pPr>
        <w:spacing w:after="0" w:line="21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color w:val="000000"/>
        </w:rPr>
        <w:t>Except as otherwise expressly provided in any Certificate of Designation designating any series of Preferred Stock pursuant to</w:t>
      </w:r>
      <w:r>
        <w:rPr>
          <w:rFonts w:ascii="Arial" w:cs="Arial" w:eastAsia="Arial" w:hAnsi="Arial"/>
          <w:sz w:val="16"/>
          <w:szCs w:val="16"/>
          <w:color w:val="010000"/>
        </w:rPr>
        <w:t xml:space="preserve"> </w:t>
      </w:r>
      <w:r>
        <w:rPr>
          <w:rFonts w:ascii="Arial" w:cs="Arial" w:eastAsia="Arial" w:hAnsi="Arial"/>
          <w:sz w:val="16"/>
          <w:szCs w:val="16"/>
          <w:color w:val="000000"/>
        </w:rPr>
        <w:t>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010000"/>
        </w:rPr>
        <w:t xml:space="preserve">2.3. </w:t>
      </w:r>
      <w:r>
        <w:rPr>
          <w:rFonts w:ascii="Arial" w:cs="Arial" w:eastAsia="Arial" w:hAnsi="Arial"/>
          <w:sz w:val="16"/>
          <w:szCs w:val="16"/>
          <w:color w:val="000000"/>
        </w:rPr>
        <w:t>Each outstanding share of Common Stock shall entitle the holder thereof to one vote on each matter properly submitted to the</w:t>
      </w:r>
      <w:r>
        <w:rPr>
          <w:rFonts w:ascii="Arial" w:cs="Arial" w:eastAsia="Arial" w:hAnsi="Arial"/>
          <w:sz w:val="16"/>
          <w:szCs w:val="16"/>
          <w:color w:val="010000"/>
        </w:rPr>
        <w:t xml:space="preserve"> </w:t>
      </w:r>
      <w:r>
        <w:rPr>
          <w:rFonts w:ascii="Arial" w:cs="Arial" w:eastAsia="Arial" w:hAnsi="Arial"/>
          <w:sz w:val="16"/>
          <w:szCs w:val="16"/>
          <w:color w:val="000000"/>
        </w:rPr>
        <w:t xml:space="preserve">stockholders of the Corporation for their vote; </w:t>
      </w:r>
      <w:r>
        <w:rPr>
          <w:rFonts w:ascii="Arial" w:cs="Arial" w:eastAsia="Arial" w:hAnsi="Arial"/>
          <w:sz w:val="16"/>
          <w:szCs w:val="16"/>
          <w:i w:val="1"/>
          <w:iCs w:val="1"/>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0000"/>
        </w:rPr>
        <w:t>however</w:t>
      </w:r>
      <w:r>
        <w:rPr>
          <w:rFonts w:ascii="Arial" w:cs="Arial" w:eastAsia="Arial" w:hAnsi="Arial"/>
          <w:sz w:val="16"/>
          <w:szCs w:val="16"/>
          <w:color w:val="000000"/>
        </w:rPr>
        <w:t>, that,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Certificate of Designation relating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500" w:top="1161" w:right="4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010000"/>
        </w:rPr>
        <w:t xml:space="preserve">ARTICLE V: AMENDMENT </w:t>
      </w:r>
      <w:r>
        <w:rPr>
          <w:rFonts w:ascii="Arial" w:cs="Arial" w:eastAsia="Arial" w:hAnsi="Arial"/>
          <w:sz w:val="18"/>
          <w:szCs w:val="18"/>
          <w:b w:val="1"/>
          <w:bCs w:val="1"/>
          <w:color w:val="000000"/>
        </w:rPr>
        <w:t>OF BYLAWS</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Board shall have the power to adopt, amend or repeal the Bylaws of the Corporation. Any adoption, amendment or repeal of the Bylaws of the Corporation by the Board shall require the approval of a majority of the Whole Board. For purposes of this Amended and Restated Certificate of Incorporation,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xml:space="preserve">” shall mean the total number of authorized directors whether or not there exist any vacancies in previously authorized directorships. The stockholders shall also have power to adopt, amend or repeal the Bylaws of the Corporation;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addition to any vote of the holders of any class or series of stock of the Corporation required by law or by this Amended and Restated Certificate of Incorporation (including any Preferred Stock issued pursuant to a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of the Corporation; provided, further, that if two-thirds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thereon, voting together as a single class, shall be required to adopt, amend or repeal any provision of the Bylaws of the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VI: </w:t>
      </w:r>
      <w:r>
        <w:rPr>
          <w:rFonts w:ascii="Arial" w:cs="Arial" w:eastAsia="Arial" w:hAnsi="Arial"/>
          <w:sz w:val="18"/>
          <w:szCs w:val="18"/>
          <w:b w:val="1"/>
          <w:bCs w:val="1"/>
          <w:color w:val="000000"/>
        </w:rPr>
        <w:t>MATTERS</w:t>
      </w:r>
      <w:r>
        <w:rPr>
          <w:rFonts w:ascii="Arial" w:cs="Arial" w:eastAsia="Arial" w:hAnsi="Arial"/>
          <w:sz w:val="18"/>
          <w:szCs w:val="18"/>
          <w:b w:val="1"/>
          <w:bCs w:val="1"/>
          <w:color w:val="010000"/>
        </w:rPr>
        <w:t xml:space="preserve"> RELATING </w:t>
      </w:r>
      <w:r>
        <w:rPr>
          <w:rFonts w:ascii="Arial" w:cs="Arial" w:eastAsia="Arial" w:hAnsi="Arial"/>
          <w:sz w:val="18"/>
          <w:szCs w:val="18"/>
          <w:b w:val="1"/>
          <w:bCs w:val="1"/>
          <w:color w:val="000000"/>
        </w:rPr>
        <w:t>TO THE BOARD OF DIRECTORS</w:t>
      </w:r>
    </w:p>
    <w:p>
      <w:pPr>
        <w:spacing w:after="0" w:line="117" w:lineRule="exact"/>
        <w:rPr>
          <w:sz w:val="20"/>
          <w:szCs w:val="20"/>
          <w:color w:val="auto"/>
        </w:rPr>
      </w:pPr>
    </w:p>
    <w:p>
      <w:pPr>
        <w:jc w:val="both"/>
        <w:ind w:right="20" w:firstLine="638"/>
        <w:spacing w:after="0" w:line="261" w:lineRule="auto"/>
        <w:tabs>
          <w:tab w:leader="none" w:pos="828"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Director Powers</w:t>
      </w:r>
      <w:r>
        <w:rPr>
          <w:rFonts w:ascii="Arial" w:cs="Arial" w:eastAsia="Arial" w:hAnsi="Arial"/>
          <w:sz w:val="18"/>
          <w:szCs w:val="18"/>
          <w:color w:val="auto"/>
        </w:rPr>
        <w:t>. The business and affairs of the Corporation shall be managed by or under the direction of the Board.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71" w:lineRule="exact"/>
        <w:rPr>
          <w:rFonts w:ascii="Arial" w:cs="Arial" w:eastAsia="Arial" w:hAnsi="Arial"/>
          <w:sz w:val="18"/>
          <w:szCs w:val="18"/>
          <w:b w:val="1"/>
          <w:bCs w:val="1"/>
          <w:color w:val="010000"/>
        </w:rPr>
      </w:pPr>
    </w:p>
    <w:p>
      <w:pPr>
        <w:ind w:right="20" w:firstLine="638"/>
        <w:spacing w:after="0" w:line="312" w:lineRule="auto"/>
        <w:tabs>
          <w:tab w:leader="none" w:pos="841" w:val="left"/>
        </w:tabs>
        <w:numPr>
          <w:ilvl w:val="0"/>
          <w:numId w:val="45"/>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Number of Directors</w:t>
      </w:r>
      <w:r>
        <w:rPr>
          <w:rFonts w:ascii="Arial" w:cs="Arial" w:eastAsia="Arial" w:hAnsi="Arial"/>
          <w:sz w:val="17"/>
          <w:szCs w:val="17"/>
          <w:color w:val="auto"/>
        </w:rPr>
        <w:t>. Subject to the rights of the holders of any series of Preferred Stock to elect additional directors under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the number of directors shall be fixed from time to time exclusively by resolution adopted by a majority of the Whole Board.</w:t>
      </w:r>
    </w:p>
    <w:p>
      <w:pPr>
        <w:spacing w:after="0" w:line="31" w:lineRule="exact"/>
        <w:rPr>
          <w:rFonts w:ascii="Arial" w:cs="Arial" w:eastAsia="Arial" w:hAnsi="Arial"/>
          <w:sz w:val="17"/>
          <w:szCs w:val="17"/>
          <w:b w:val="1"/>
          <w:bCs w:val="1"/>
          <w:color w:val="010000"/>
        </w:rPr>
      </w:pPr>
    </w:p>
    <w:p>
      <w:pPr>
        <w:jc w:val="both"/>
        <w:ind w:firstLine="638"/>
        <w:spacing w:after="0" w:line="287" w:lineRule="auto"/>
        <w:tabs>
          <w:tab w:leader="none" w:pos="855" w:val="left"/>
        </w:tabs>
        <w:numPr>
          <w:ilvl w:val="0"/>
          <w:numId w:val="45"/>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spacing w:after="0" w:line="59" w:lineRule="exact"/>
        <w:rPr>
          <w:rFonts w:ascii="Arial" w:cs="Arial" w:eastAsia="Arial" w:hAnsi="Arial"/>
          <w:sz w:val="16"/>
          <w:szCs w:val="16"/>
          <w:b w:val="1"/>
          <w:bCs w:val="1"/>
          <w:color w:val="010000"/>
        </w:rPr>
      </w:pPr>
    </w:p>
    <w:p>
      <w:pPr>
        <w:jc w:val="both"/>
        <w:ind w:firstLine="638"/>
        <w:spacing w:after="0" w:line="256" w:lineRule="auto"/>
        <w:tabs>
          <w:tab w:leader="none" w:pos="828"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such director's successor is elected and qualified, or until such director's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death, resignation or removal. Any director may resign at any time upon notice to the Corporation given in writing or by any electronic transmission permitted in the Corporation's Bylaws. Subject to the rights of the holders of any series of Preferred Stock, no director may be removed except for cause and only by the affirmative vote of the holders of at least two-thirds of the voting power of the then-outstanding shares of capital stock of the Corporation then entitled to vote at an election of directors voting together as a single class. No decrease in the authorized number of directors constituting the Board shall shorten the term of any incumbent director.</w:t>
      </w:r>
    </w:p>
    <w:p>
      <w:pPr>
        <w:spacing w:after="0" w:line="79" w:lineRule="exact"/>
        <w:rPr>
          <w:rFonts w:ascii="Arial" w:cs="Arial" w:eastAsia="Arial" w:hAnsi="Arial"/>
          <w:sz w:val="18"/>
          <w:szCs w:val="18"/>
          <w:b w:val="1"/>
          <w:bCs w:val="1"/>
          <w:color w:val="010000"/>
        </w:rPr>
      </w:pPr>
    </w:p>
    <w:p>
      <w:pPr>
        <w:jc w:val="both"/>
        <w:ind w:firstLine="638"/>
        <w:spacing w:after="0" w:line="256" w:lineRule="auto"/>
        <w:tabs>
          <w:tab w:leader="none" w:pos="828"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Board Vacancies</w:t>
      </w:r>
      <w:r>
        <w:rPr>
          <w:rFonts w:ascii="Arial" w:cs="Arial" w:eastAsia="Arial" w:hAnsi="Arial"/>
          <w:sz w:val="18"/>
          <w:szCs w:val="18"/>
          <w:color w:val="auto"/>
        </w:rPr>
        <w:t>. Subject to the rights of the holders of any series of Preferred Stock, any vacancy occurring in the Board for any cause,</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although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500" w:top="1323" w:right="49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assigned expires or until such director's successor shall have been duly elected and qualified, or until such director's earlier death, resignation or removal.</w:t>
      </w:r>
    </w:p>
    <w:p>
      <w:pPr>
        <w:spacing w:after="0" w:line="58" w:lineRule="exact"/>
        <w:rPr>
          <w:sz w:val="20"/>
          <w:szCs w:val="20"/>
          <w:color w:val="auto"/>
        </w:rPr>
      </w:pPr>
    </w:p>
    <w:p>
      <w:pPr>
        <w:ind w:left="820" w:hanging="182"/>
        <w:spacing w:after="0"/>
        <w:tabs>
          <w:tab w:leader="none" w:pos="820" w:val="left"/>
        </w:tabs>
        <w:numPr>
          <w:ilvl w:val="0"/>
          <w:numId w:val="4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of the Corporation shall so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VII: </w:t>
      </w:r>
      <w:r>
        <w:rPr>
          <w:rFonts w:ascii="Arial" w:cs="Arial" w:eastAsia="Arial" w:hAnsi="Arial"/>
          <w:sz w:val="18"/>
          <w:szCs w:val="18"/>
          <w:b w:val="1"/>
          <w:bCs w:val="1"/>
          <w:color w:val="000000"/>
        </w:rPr>
        <w:t>DIRECTOR AND OFFICER LIABILITY</w:t>
      </w:r>
    </w:p>
    <w:p>
      <w:pPr>
        <w:spacing w:after="0" w:line="117" w:lineRule="exact"/>
        <w:rPr>
          <w:sz w:val="20"/>
          <w:szCs w:val="20"/>
          <w:color w:val="auto"/>
        </w:rPr>
      </w:pPr>
    </w:p>
    <w:p>
      <w:pPr>
        <w:jc w:val="both"/>
        <w:ind w:firstLine="638"/>
        <w:spacing w:after="0" w:line="258" w:lineRule="auto"/>
        <w:tabs>
          <w:tab w:leader="none" w:pos="828" w:val="left"/>
        </w:tabs>
        <w:numPr>
          <w:ilvl w:val="0"/>
          <w:numId w:val="4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neither a director nor an officer of the Corporation shall be personally liable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corporation or its stockholders for monetary damages for breach of fiduciary duty as a director or officer, as applicable. Without limiting the effect of the preceding sentence, if the DGCL is hereafter amended to authorize the further elimination or limitation of the liability of a director or officer, then the liability of a director or officer of the Corporation shall be eliminated or limited to the fullest extent permitted by the DGCL, as so amended.</w:t>
      </w:r>
    </w:p>
    <w:p>
      <w:pPr>
        <w:spacing w:after="0" w:line="75" w:lineRule="exact"/>
        <w:rPr>
          <w:rFonts w:ascii="Arial" w:cs="Arial" w:eastAsia="Arial" w:hAnsi="Arial"/>
          <w:sz w:val="18"/>
          <w:szCs w:val="18"/>
          <w:b w:val="1"/>
          <w:bCs w:val="1"/>
          <w:color w:val="010000"/>
        </w:rPr>
      </w:pPr>
    </w:p>
    <w:p>
      <w:pPr>
        <w:jc w:val="both"/>
        <w:ind w:right="20" w:firstLine="638"/>
        <w:spacing w:after="0" w:line="289" w:lineRule="auto"/>
        <w:tabs>
          <w:tab w:leader="none" w:pos="828" w:val="left"/>
        </w:tabs>
        <w:numPr>
          <w:ilvl w:val="0"/>
          <w:numId w:val="47"/>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Change in Rights</w:t>
      </w:r>
      <w:r>
        <w:rPr>
          <w:rFonts w:ascii="Arial" w:cs="Arial" w:eastAsia="Arial" w:hAnsi="Arial"/>
          <w:sz w:val="17"/>
          <w:szCs w:val="17"/>
          <w:color w:val="auto"/>
        </w:rPr>
        <w:t>. Neither any amendment nor repeal of this Article VII, nor the adoption of any provision of this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VIII: </w:t>
      </w:r>
      <w:r>
        <w:rPr>
          <w:rFonts w:ascii="Arial" w:cs="Arial" w:eastAsia="Arial" w:hAnsi="Arial"/>
          <w:sz w:val="18"/>
          <w:szCs w:val="18"/>
          <w:b w:val="1"/>
          <w:bCs w:val="1"/>
          <w:color w:val="000000"/>
        </w:rPr>
        <w:t>MATTERS RELATING TO STOCKHOLDERS</w:t>
      </w:r>
    </w:p>
    <w:p>
      <w:pPr>
        <w:spacing w:after="0" w:line="117" w:lineRule="exact"/>
        <w:rPr>
          <w:sz w:val="20"/>
          <w:szCs w:val="20"/>
          <w:color w:val="auto"/>
        </w:rPr>
      </w:pPr>
    </w:p>
    <w:p>
      <w:pPr>
        <w:jc w:val="both"/>
        <w:ind w:right="20" w:firstLine="638"/>
        <w:spacing w:after="0" w:line="266" w:lineRule="auto"/>
        <w:tabs>
          <w:tab w:leader="none" w:pos="841"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no action shall be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Corporation except at a duly called annual or special meeting of stockholders and no action shall be taken by the stockholders by written consent.</w:t>
      </w:r>
    </w:p>
    <w:p>
      <w:pPr>
        <w:spacing w:after="0" w:line="67" w:lineRule="exact"/>
        <w:rPr>
          <w:rFonts w:ascii="Arial" w:cs="Arial" w:eastAsia="Arial" w:hAnsi="Arial"/>
          <w:sz w:val="18"/>
          <w:szCs w:val="18"/>
          <w:b w:val="1"/>
          <w:bCs w:val="1"/>
          <w:color w:val="010000"/>
        </w:rPr>
      </w:pPr>
    </w:p>
    <w:p>
      <w:pPr>
        <w:ind w:firstLine="638"/>
        <w:spacing w:after="0" w:line="312" w:lineRule="auto"/>
        <w:tabs>
          <w:tab w:leader="none" w:pos="828" w:val="left"/>
        </w:tabs>
        <w:numPr>
          <w:ilvl w:val="0"/>
          <w:numId w:val="48"/>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Special Meeting of Stockholders</w:t>
      </w:r>
      <w:r>
        <w:rPr>
          <w:rFonts w:ascii="Arial" w:cs="Arial" w:eastAsia="Arial" w:hAnsi="Arial"/>
          <w:sz w:val="17"/>
          <w:szCs w:val="17"/>
          <w:color w:val="auto"/>
        </w:rPr>
        <w:t>. Special meetings of the stockholders of the Corporation may be called only by the Chairperson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the Chief Executive Officer, the President or the Board acting pursuant to a resolution adopted by a majority of the Whole Board.</w:t>
      </w:r>
    </w:p>
    <w:p>
      <w:pPr>
        <w:spacing w:after="0" w:line="31" w:lineRule="exact"/>
        <w:rPr>
          <w:rFonts w:ascii="Arial" w:cs="Arial" w:eastAsia="Arial" w:hAnsi="Arial"/>
          <w:sz w:val="17"/>
          <w:szCs w:val="17"/>
          <w:b w:val="1"/>
          <w:bCs w:val="1"/>
          <w:color w:val="010000"/>
        </w:rPr>
      </w:pPr>
    </w:p>
    <w:p>
      <w:pPr>
        <w:jc w:val="both"/>
        <w:ind w:firstLine="638"/>
        <w:spacing w:after="0" w:line="261" w:lineRule="auto"/>
        <w:tabs>
          <w:tab w:leader="none" w:pos="882"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for the election of directors of the Corporation and of business to be brought by stockholders before any meeting of stockholders of the Corporation shall be given in the manner provided in the Bylaws of the Corporation. Business transacted at special meetings of stockholders shall be confined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IX: </w:t>
      </w:r>
      <w:r>
        <w:rPr>
          <w:rFonts w:ascii="Arial" w:cs="Arial" w:eastAsia="Arial" w:hAnsi="Arial"/>
          <w:sz w:val="18"/>
          <w:szCs w:val="18"/>
          <w:b w:val="1"/>
          <w:bCs w:val="1"/>
          <w:color w:val="000000"/>
        </w:rPr>
        <w:t>CHOICE OF FORUM</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or other wrongdoing by, any director, officer or other employee of the Corporation to the Corporation or the Corporation's stockholders; (c) any action asserting a claim against the Corporation (or its directors, officers or other employees) arising pursuant to any provision of the DGCL, this Amended and Restated Certificate of Incorporation or the Bylaws; (d) any action to interpret, apply, enforce or determine the validity of this Amended and Restated Certificate of Incorporation or the Bylaws; or (e) any action asserting a claim against the Corporation governed by the internal affairs doctrine. Any person or entity purchasing or otherwise acquiring any interest in shares of capital stock of the Corporation shall be deemed to have notice of and to have consented to the provisions of this Article IX, Furthermore, and without limiting the generality of the foregoing, the Court of Chancery in the State of Delaware shall be the sole and exclusive forum for any stockholder (including a beneficial owner) to bring any internal corporate claims, as such term is defined and used in Section 115 of the DGCL, as may be amended.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ARTICLE X: </w:t>
      </w:r>
      <w:r>
        <w:rPr>
          <w:rFonts w:ascii="Arial" w:cs="Arial" w:eastAsia="Arial" w:hAnsi="Arial"/>
          <w:sz w:val="18"/>
          <w:szCs w:val="18"/>
          <w:b w:val="1"/>
          <w:bCs w:val="1"/>
          <w:color w:val="000000"/>
        </w:rPr>
        <w:t>AMENDMENT OF CERTIFICATE OF INCORPORATION</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500" w:top="1273" w:right="49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unenforceable provision. The balance of this Amended and Restated Certificate of Incorporation shall be enforceable in accordance with its terms.</w:t>
      </w:r>
    </w:p>
    <w:p>
      <w:pPr>
        <w:spacing w:after="0" w:line="14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notwithstanding any other provision of this Amended and Restated Certificate of Incorporation or any provision of law that might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permit a lesser vote or no vote, but in addition to any vote of the holders of any class or series of the stock of this Corporation required by law or by this Amended and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Amended and Restated Certificate of incorporation;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at least a majority of the voting power of all of the then-outstanding shares of the capital stock of the Corporation entitled to vote thereon, voting together as a single class, shall be required to amend or repeal any provision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500" w:top="1273" w:right="499" w:bottom="1440"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1812290</wp:posOffset>
            </wp:positionV>
            <wp:extent cx="5246370" cy="6789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749300</wp:posOffset>
            </wp:positionV>
            <wp:extent cx="5246370" cy="6789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lvl w:ilvl="1">
      <w:lvlJc w:val="left"/>
      <w:lvlText w:val="\endash "/>
      <w:numFmt w:val="bullet"/>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7"/>
    </w:lvl>
  </w:abstractNum>
  <w:abstractNum w:abstractNumId="33">
    <w:nsid w:val="153EA438"/>
    <w:multiLevelType w:val="hybridMultilevel"/>
    <w:lvl w:ilvl="0">
      <w:lvlJc w:val="left"/>
      <w:lvlText w:val="(%1)"/>
      <w:numFmt w:val="decimal"/>
      <w:start w:val="4"/>
    </w:lvl>
    <w:lvl w:ilvl="1">
      <w:lvlJc w:val="left"/>
      <w:lvlText w:val="%2"/>
      <w:numFmt w:val="lowerLetter"/>
      <w:start w:val="1"/>
    </w:lvl>
  </w:abstractNum>
  <w:abstractNum w:abstractNumId="34">
    <w:nsid w:val="3855585C"/>
    <w:multiLevelType w:val="hybridMultilevel"/>
    <w:lvl w:ilvl="0">
      <w:lvlJc w:val="left"/>
      <w:lvlText w:val="%1"/>
      <w:numFmt w:val="decimal"/>
      <w:start w:val="1"/>
    </w:lvl>
    <w:lvl w:ilvl="1">
      <w:lvlJc w:val="left"/>
      <w:lvlText w:val="%2)"/>
      <w:numFmt w:val="lowerLetter"/>
      <w:start w:val="1"/>
    </w:lvl>
  </w:abstractNum>
  <w:abstractNum w:abstractNumId="35">
    <w:nsid w:val="70A64E2A"/>
    <w:multiLevelType w:val="hybridMultilevel"/>
    <w:lvl w:ilvl="0">
      <w:lvlJc w:val="left"/>
      <w:lvlText w:val="(%1)"/>
      <w:numFmt w:val="decimal"/>
      <w:start w:val="5"/>
    </w:lvl>
    <w:lvl w:ilvl="1">
      <w:lvlJc w:val="left"/>
      <w:lvlText w:val="%2"/>
      <w:numFmt w:val="lowerLetter"/>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4"/>
    </w:lvl>
  </w:abstractNum>
  <w:abstractNum w:abstractNumId="40">
    <w:nsid w:val="2CD89A32"/>
    <w:multiLevelType w:val="hybridMultilevel"/>
    <w:lvl w:ilvl="0">
      <w:lvlJc w:val="left"/>
      <w:lvlText w:val="(%1)"/>
      <w:numFmt w:val="lowerRoman"/>
      <w:start w:val="2"/>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6"/>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2023-04-27T15:26:32Z</dcterms:created>
  <dcterms:modified xsi:type="dcterms:W3CDTF">2023-04-27T15:26:32Z</dcterms:modified>
</cp:coreProperties>
</file>