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148,844.00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148,844.00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66" w:right="339" w:bottom="0" w:gutter="0" w:footer="0" w:header="0"/>
        </w:sectPr>
      </w:pP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148,844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148,844.00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148,844.00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66" w:right="339" w:bottom="0" w:gutter="0" w:footer="0" w:header="0"/>
          <w:type w:val="continuous"/>
        </w:sectPr>
      </w:pPr>
    </w:p>
    <w:bookmarkStart w:id="2" w:name="page3"/>
    <w:bookmarkEnd w:id="2"/>
    <w:p>
      <w:pPr>
        <w:ind w:left="1160" w:right="4300"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148,844.00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148,844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148,844.00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148,844.00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148,844.00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100" w:space="60"/>
            <w:col w:w="10080"/>
          </w:cols>
          <w:pgMar w:left="320" w:top="111" w:right="339" w:bottom="0" w:gutter="0" w:footer="0" w:header="0"/>
          <w:type w:val="continuous"/>
        </w:sectPr>
      </w:pPr>
    </w:p>
    <w:bookmarkStart w:id="3" w:name="page4"/>
    <w:bookmarkEnd w:id="3"/>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148,844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51" w:right="339" w:bottom="0" w:gutter="0" w:footer="0" w:header="0"/>
          <w:type w:val="continuous"/>
        </w:sectPr>
      </w:pPr>
    </w:p>
    <w:p>
      <w:pPr>
        <w:spacing w:after="0" w:line="7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18,902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30,428,682 shares of Common Stock outstanding on October 31, 2024, as set forth in the Issuer's Quarterly Report on Form 10-Q filed with the SEC on November 5, 2024.</w:t>
      </w:r>
    </w:p>
    <w:p>
      <w:pPr>
        <w:sectPr>
          <w:pgSz w:w="11900" w:h="16838" w:orient="portrait"/>
          <w:cols w:equalWidth="0" w:num="1">
            <w:col w:w="11240"/>
          </w:cols>
          <w:pgMar w:left="320" w:top="351"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240"/>
          </w:cols>
          <w:pgMar w:left="320" w:top="351" w:right="33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08"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00"/>
          </w:cols>
          <w:pgMar w:left="320" w:top="108" w:right="41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18,902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160"/>
          </w:cols>
          <w:pgMar w:left="320" w:top="108" w:right="419" w:bottom="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18,902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18,715.00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11" w:right="419" w:bottom="0" w:gutter="0" w:footer="0" w:header="0"/>
          <w:type w:val="continuous"/>
        </w:sectPr>
      </w:pPr>
    </w:p>
    <w:bookmarkStart w:id="6" w:name="page7"/>
    <w:bookmarkEnd w:id="6"/>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18,715.00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18,715.00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18,715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FHMLS X, L.P. is the general partner of Frazier Life Sciences X, L.P. and FHMLS X, L.P. is the general partner of FHMLS X, L.P. Patrick J. Heron and James N. Topper are the members of FHMLS X, L.L.C. and therefore share voting and investment power over the shares held by Frazier Life Sciences X,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18,715.00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10060"/>
          </w:cols>
          <w:pgMar w:left="320" w:top="111" w:right="35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18,715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FHMLS X, L.P. is the general partner of Frazier Life Sciences X, L.P. and FHMLS X, L.P. is the general partner of FHMLS X, L.P. Patrick J. Heron and James N. Topper are the members of FHMLS X, L.L.C. and therefore share voting and investment power over the shares held by Frazier Life Sciences X,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355"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18,715.00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355" w:right="359" w:bottom="0" w:gutter="0" w:footer="0" w:header="0"/>
          <w:type w:val="continuous"/>
        </w:sectPr>
      </w:pPr>
    </w:p>
    <w:p>
      <w:pPr>
        <w:spacing w:after="0" w:line="70"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18,715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FHMLS X, L.P. is the general partner of Frazier Life Sciences X, L.P. and FHMLSP Overage, L.L.C. is the general partner of FHMLS X, L.P. Patrick J. Heron and James N. Topper are the members of FHMLS X, L.L.C. and therefore share voting and investment power over the shares held by Frazier Life Sciences X, L.P. The percentage listed in row 11 is calculated based on 30,428,682 shares of Common Stock outstanding on October 31, 2024, as set forth in the Issuer's Quarterly Report on Form 10-Q filed with the SEC on November 5, 2024.</w:t>
      </w:r>
    </w:p>
    <w:p>
      <w:pPr>
        <w:sectPr>
          <w:pgSz w:w="11900" w:h="16838" w:orient="portrait"/>
          <w:cols w:equalWidth="0" w:num="1">
            <w:col w:w="11220"/>
          </w:cols>
          <w:pgMar w:left="320" w:top="355" w:right="359" w:bottom="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810"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40,222.00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40,222.00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40"/>
          </w:cols>
          <w:pgMar w:left="320" w:top="810" w:right="47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40,222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L.P.</w:t>
      </w:r>
    </w:p>
    <w:p>
      <w:pPr>
        <w:spacing w:after="0" w:line="2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00"/>
          </w:cols>
          <w:pgMar w:left="320" w:top="810" w:right="479" w:bottom="0" w:gutter="0" w:footer="0" w:header="0"/>
          <w:type w:val="continuous"/>
        </w:sectPr>
      </w:pPr>
    </w:p>
    <w:bookmarkStart w:id="9" w:name="page10"/>
    <w:bookmarkEnd w:id="9"/>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40,222.00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40,222.00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40"/>
          </w:cols>
          <w:pgMar w:left="320" w:top="369" w:right="47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40,222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369" w:right="479" w:bottom="0" w:gutter="0" w:footer="0" w:header="0"/>
          <w:type w:val="continuous"/>
        </w:sectPr>
      </w:pPr>
    </w:p>
    <w:bookmarkStart w:id="10" w:name="page11"/>
    <w:bookmarkEnd w:id="1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40,222.00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0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40,222.00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40,222.00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40,222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Healthcare VII,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121,206.00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121,206.00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121,206.00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100"/>
          </w:cols>
          <w:pgMar w:left="320" w:top="102" w:right="479" w:bottom="0" w:gutter="0" w:footer="0" w:header="0"/>
        </w:sectPr>
      </w:pPr>
    </w:p>
    <w:bookmarkStart w:id="11" w:name="page12"/>
    <w:bookmarkEnd w:id="11"/>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121,206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Healthcare VII, L.P. FHM VII, L.P. is the general partner of Frazier Healthcare VII, L.P. and FHM VII, L.L.C. is the general partner of FHM VII, L.P. Patrick J. Heron, James N. Topper, Alan Frazier, Nader Naini, Nathan Every and Brian Morfitt are the members of FHM VII, L.L.C. and therefore share voting and investment power over the shares held by Frazier Healthcare VII,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Healthcare VII-A,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31" w:orient="portrait"/>
          <w:cols w:equalWidth="0" w:num="1">
            <w:col w:w="11200"/>
          </w:cols>
          <w:pgMar w:left="320" w:top="6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34,540.00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34,540.00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34,540.00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31" w:orient="portrait"/>
          <w:cols w:equalWidth="0" w:num="2">
            <w:col w:w="1100" w:space="60"/>
            <w:col w:w="10040"/>
          </w:cols>
          <w:pgMar w:left="320" w:top="612" w:right="379" w:bottom="0" w:gutter="0" w:footer="0" w:header="0"/>
          <w:type w:val="continuous"/>
        </w:sectPr>
      </w:pPr>
    </w:p>
    <w:p>
      <w:pPr>
        <w:spacing w:after="0" w:line="70"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shares listed in rows 6, 8 and 9 consist of 34,540 shares of Common Stock held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by Frazier Healthcare VII-A, L.P. FHM VII, L.P. is the general partner of Frazier Healthcare VII-A, L.P. and FHM VII, L.L.C. is the general partner of FHM VII, L.P. Patrick J. Heron, James N. Topper, Alan Frazier, Nader Naini, Nathan Every and Brian Morfitt are the members of FHM VII, L.L.C. and therefore share voting and investment power over the shares held by</w:t>
      </w:r>
    </w:p>
    <w:p>
      <w:pPr>
        <w:sectPr>
          <w:pgSz w:w="11900" w:h="16931" w:orient="portrait"/>
          <w:cols w:equalWidth="0" w:num="1">
            <w:col w:w="11200"/>
          </w:cols>
          <w:pgMar w:left="320" w:top="612" w:right="379" w:bottom="0" w:gutter="0" w:footer="0" w:header="0"/>
          <w:type w:val="continuous"/>
        </w:sectPr>
      </w:pPr>
    </w:p>
    <w:bookmarkStart w:id="12" w:name="page13"/>
    <w:bookmarkEnd w:id="12"/>
    <w:p>
      <w:pPr>
        <w:ind w:right="140"/>
        <w:spacing w:after="0" w:line="244" w:lineRule="auto"/>
        <w:rPr>
          <w:sz w:val="20"/>
          <w:szCs w:val="20"/>
          <w:color w:val="auto"/>
        </w:rPr>
      </w:pPr>
      <w:r>
        <w:rPr>
          <w:rFonts w:ascii="Times New Roman" w:cs="Times New Roman" w:eastAsia="Times New Roman" w:hAnsi="Times New Roman"/>
          <w:sz w:val="22"/>
          <w:szCs w:val="22"/>
          <w:color w:val="auto"/>
        </w:rPr>
        <w:t>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 VII,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63"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155,746.00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155,746.00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112" w:right="379" w:bottom="63"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121,206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Healthcare VII, L.P. and (ii) 34,540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00"/>
          </w:cols>
          <w:pgMar w:left="320" w:top="112" w:right="379" w:bottom="63"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ectPr>
          <w:pgSz w:w="11900" w:h="16838" w:orient="portrait"/>
          <w:cols w:equalWidth="0" w:num="1">
            <w:col w:w="11200"/>
          </w:cols>
          <w:pgMar w:left="320" w:top="112" w:right="379" w:bottom="63" w:gutter="0" w:footer="0" w:header="0"/>
          <w:type w:val="continuous"/>
        </w:sectPr>
      </w:pPr>
    </w:p>
    <w:bookmarkStart w:id="13" w:name="page14"/>
    <w:bookmarkEnd w:id="13"/>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 VII,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639"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155,746.00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155,746.00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40"/>
          </w:cols>
          <w:pgMar w:left="320" w:top="639" w:right="379" w:bottom="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121,206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Healthcare VII, L.P. and (ii) 34,540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N. Topper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00"/>
          </w:cols>
          <w:pgMar w:left="320" w:top="639" w:right="379" w:bottom="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80,812.00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382,429.00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382,429.00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463,241.00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12" w:right="359" w:bottom="0"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80,812 shares listed in rows 5 and 7 are held directly by James N. Topper.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382,429 shares listed in rows 6 and 8 consist of (i) 148,844 shares of Common Stock held directly by Frazier Life Sciences Public Fund, L.P., (ii) 18,902 shares of Common Stock held directly by Frazier Life Sciences Public Overage Fund, L.P., (iii) 18,715 shares of Common Stock held directly by Frazier Life Sciences X, L.P., (iv) 40,222 shares of Common Stock held directly by Frazier Life Sciences XI, L.P. (v) 121,206 shares of Common Stock held directly by Frazier Healthcare VII, L.P. and (vi) 34,540 shares of Common Stock held directly by Frazier Healthcare VII-A,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60" w:hanging="1112"/>
        <w:spacing w:after="0"/>
        <w:tabs>
          <w:tab w:leader="none" w:pos="11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20"/>
          </w:cols>
          <w:pgMar w:left="320" w:top="112" w:right="359" w:bottom="0" w:gutter="0" w:footer="0" w:header="0"/>
          <w:type w:val="continuous"/>
        </w:sectPr>
      </w:pPr>
    </w:p>
    <w:bookmarkStart w:id="15" w:name="page16"/>
    <w:bookmarkEnd w:id="15"/>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9,110.00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382,429.00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382,429.00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391,539.00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26" w:right="359" w:bottom="320" w:gutter="0" w:footer="0" w:header="0"/>
        </w:sectPr>
      </w:pPr>
    </w:p>
    <w:p>
      <w:pPr>
        <w:spacing w:after="0" w:line="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9,110 shares listed in rows 5 and 7 are held directly by The Heron Living Trust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11/30/2004. Patrick J. Heron is the co-trustee of The Heron Living Trust 11/30/2004 and has voting and investment power over the shares held by The Heron Living Trust 11/30/2004. The 382,429 shares listed in rows 6 and 8 consist of (i) 148,844 shares of Common Stock held directly by Frazier Life Sciences Public Fund, L.P., (ii) 18,902 shares of Common Stock held directly by Frazier Life Sciences Public Overage Fund, L.P., (iii) 18,715 shares of Common Stock held directly by Frazier Life Sciences X, L.P., (iv) 40,222 shares of Common Stock held directly by Frazier Life Sciences XI, L.P. (v) 121,206 shares of Common Stock held directly by Frazier Healthcare VII, L.P. and (vi) 34,540 shares of Common Stock held directly by Frazier Healthcare VII-A,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26" w:right="359" w:bottom="32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ectPr>
          <w:pgSz w:w="11900" w:h="16838" w:orient="portrait"/>
          <w:cols w:equalWidth="0" w:num="1">
            <w:col w:w="11220"/>
          </w:cols>
          <w:pgMar w:left="320" w:top="126" w:right="359" w:bottom="320" w:gutter="0" w:footer="0" w:header="0"/>
          <w:type w:val="continuous"/>
        </w:sectPr>
      </w:pPr>
    </w:p>
    <w:bookmarkStart w:id="16" w:name="page17"/>
    <w:bookmarkEnd w:id="16"/>
    <w:p>
      <w:pPr>
        <w:ind w:left="1160" w:hanging="1112"/>
        <w:spacing w:after="0"/>
        <w:tabs>
          <w:tab w:leader="none" w:pos="11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Albert Cha</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2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167,746.00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148,844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Life Sciences Public Fund, L.P., and (ii) 18,902 shares of Common Stock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Brush</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bookmarkStart w:id="17" w:name="page18"/>
    <w:bookmarkEnd w:id="17"/>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167,746.00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167,746.00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30" w:orient="portrait"/>
          <w:cols w:equalWidth="0" w:num="2">
            <w:col w:w="1100" w:space="60"/>
            <w:col w:w="10080"/>
          </w:cols>
          <w:pgMar w:left="320" w:top="112" w:right="33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148,844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Life Sciences Public Fund, L.P., and (ii) 18,902 shares of Common Stock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Estes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0.00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1900" w:type="dxa"/>
            <w:vAlign w:val="bottom"/>
          </w:tcPr>
          <w:p>
            <w:pPr>
              <w:spacing w:after="0"/>
              <w:rPr>
                <w:sz w:val="24"/>
                <w:szCs w:val="24"/>
                <w:color w:val="auto"/>
              </w:rPr>
            </w:pPr>
          </w:p>
        </w:tc>
      </w:tr>
    </w:tbl>
    <w:p>
      <w:pPr>
        <w:sectPr>
          <w:pgSz w:w="11900" w:h="16930" w:orient="portrait"/>
          <w:cols w:equalWidth="0" w:num="1">
            <w:col w:w="11240"/>
          </w:cols>
          <w:pgMar w:left="320" w:top="112" w:right="339" w:bottom="0" w:gutter="0" w:footer="0" w:header="0"/>
          <w:type w:val="continuous"/>
        </w:sectPr>
      </w:pPr>
    </w:p>
    <w:bookmarkStart w:id="18" w:name="page19"/>
    <w:bookmarkEnd w:id="1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40,222.00</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40,222.00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40,222.00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40,222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Alan Frazier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155,746.00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155,746.00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00"/>
          </w:cols>
          <w:pgMar w:left="320" w:top="102" w:right="479" w:bottom="0" w:gutter="0" w:footer="0" w:header="0"/>
        </w:sectPr>
      </w:pPr>
    </w:p>
    <w:bookmarkStart w:id="19" w:name="page20"/>
    <w:bookmarkEnd w:id="19"/>
    <w:p>
      <w:pPr>
        <w:ind w:left="1160"/>
        <w:spacing w:after="0"/>
        <w:rPr>
          <w:sz w:val="20"/>
          <w:szCs w:val="20"/>
          <w:color w:val="auto"/>
        </w:rPr>
      </w:pPr>
      <w:r>
        <w:rPr>
          <w:rFonts w:ascii="Times New Roman" w:cs="Times New Roman" w:eastAsia="Times New Roman" w:hAnsi="Times New Roman"/>
          <w:sz w:val="22"/>
          <w:szCs w:val="22"/>
          <w:color w:val="auto"/>
        </w:rPr>
        <w:t>155,746.00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121,206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Healthcare VII, L.P. and (ii) 34,540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Nader Naini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155,746.00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155,746.00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100" w:space="60"/>
            <w:col w:w="10040"/>
          </w:cols>
          <w:pgMar w:left="320" w:top="111" w:right="379" w:bottom="0" w:gutter="0" w:footer="0" w:header="0"/>
          <w:type w:val="continuous"/>
        </w:sectPr>
      </w:pPr>
    </w:p>
    <w:bookmarkStart w:id="20" w:name="page21"/>
    <w:bookmarkEnd w:id="20"/>
    <w:p>
      <w:pPr>
        <w:ind w:right="4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(i) 121,206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directly by Frazier Healthcare VII, L.P. and (ii) 34,540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Nathan Every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1" w:right="339" w:bottom="151"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4,623.00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155,746.00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155,746.00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160,369.00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351" w:right="339" w:bottom="151" w:gutter="0" w:footer="0" w:header="0"/>
          <w:type w:val="continuous"/>
        </w:sectPr>
      </w:pP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4,623 shares listed in rows 5 and 7 are held directly by Nathan Every.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155,746 shares listed in rows 6 and 8 consist of (i) 121,206 shares of Common Stock held directly by Frazier Healthcare VII, L.P. and (ii) 34,540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ectPr>
          <w:pgSz w:w="11900" w:h="16838" w:orient="portrait"/>
          <w:cols w:equalWidth="0" w:num="1">
            <w:col w:w="11240"/>
          </w:cols>
          <w:pgMar w:left="320" w:top="351" w:right="339" w:bottom="151"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Brian Morfitt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0"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5,369.00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155,746.00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155,746.00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161,115.00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0" w:right="339" w:bottom="0" w:gutter="0" w:footer="0" w:header="0"/>
          <w:type w:val="continuous"/>
        </w:sectPr>
      </w:pP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5,369 shares listed in rows 5 and 7 are held directly by Brian Morfitt.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155,746 shares listed in rows 6 and 8 consist of (i) 121,206 shares of Common Stock held directly by Frazier Healthcare VII, L.P. and (ii) 34,540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 The percentage listed in row 11 is calculated based on 30,428,682 shares of Common Stock outstanding on October 31, 2024, as set forth in the Issuer's Quarterly Report on Form 10-Q filed with the SEC on November 5,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ectPr>
          <w:pgSz w:w="11900" w:h="16838" w:orient="portrait"/>
          <w:cols w:equalWidth="0" w:num="1">
            <w:col w:w="11240"/>
          </w:cols>
          <w:pgMar w:left="320" w:top="110" w:right="339" w:bottom="0" w:gutter="0" w:footer="0" w:header="0"/>
          <w:type w:val="continuous"/>
        </w:sectPr>
      </w:pPr>
    </w:p>
    <w:bookmarkStart w:id="22" w:name="page23"/>
    <w:bookmarkEnd w:id="22"/>
    <w:p>
      <w:pPr>
        <w:ind w:left="920" w:hanging="912"/>
        <w:spacing w:after="0"/>
        <w:tabs>
          <w:tab w:leader="none" w:pos="9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jc w:val="both"/>
        <w:ind w:left="920" w:right="4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Name of Person Filing: The entities and persons filing this statement (collectively, the "Reporting Persons") are: Frazier Life Sciences Public Fund, L.P. ("FLSPF") FHMLSP, L.P. FHMLSP, L.L.C. Frazier Life Sciences Public Overage Fund, L.P. ("FLSPOF") FHMLSP Overage, L.P. FHMLSP Overage, L.L.C. Frazier Healthcare VII, L.P.</w:t>
      </w:r>
    </w:p>
    <w:p>
      <w:pPr>
        <w:spacing w:after="0" w:line="1" w:lineRule="exact"/>
        <w:rPr>
          <w:rFonts w:ascii="Times New Roman" w:cs="Times New Roman" w:eastAsia="Times New Roman" w:hAnsi="Times New Roman"/>
          <w:sz w:val="22"/>
          <w:szCs w:val="22"/>
          <w:color w:val="auto"/>
        </w:rPr>
      </w:pPr>
    </w:p>
    <w:p>
      <w:pPr>
        <w:ind w:left="920" w:right="30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("FH VII") Frazier Healthcare VII-A, L.P. ("FH VII-A") FHM VII, L.P. FHM VII, L.L.C. Frazier Life Sciences X, L.P. ("FLS X") FHMLS X, L.P. FHMLS X, L.L.C. Frazier Life Sciences XI, L.P. ("FLS XI") FHMLS XI, L.P. FHMLS XI, L.L.C. James N. Topper ("Topper") Patrick J. Heron ("Heron") Albert Cha ("Cha") James Brush ("Brush") Daniel Estes ("Estes") Alan Frazier ("Frazier") Nader Naini ("Naini") Nathan Every ("Every") Brian Morfitt ("Morfitt" and together with Topper, Heron, Cha, Brush, Estes, Frazier, Naini and Every, the "Members") Address or principal business office or, if none, residence:</w:t>
      </w:r>
    </w:p>
    <w:p>
      <w:pPr>
        <w:spacing w:after="0" w:line="206"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3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and principal business office of the Reporting Persons is: c/o Frazier Life Sciences Management, L.P. 1001 Page Mill Rd, Building 4, Suite B Palo Alto, CA 94304</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spacing w:after="0" w:line="253" w:lineRule="auto"/>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1"/>
          <w:szCs w:val="21"/>
          <w:color w:val="auto"/>
        </w:rPr>
        <w:t>Entities: FLSPF - Delaware, U.S.A. FHMLSP, L.P. - Delaware, U.S.A. FHMLSP, L.L.C. - Delaware, U.S.A. FLSPOF - Delaware, U.S.A. FHMLSP Overage, L.P. - Delaware, U.S.A. FHMLSP Overage, L.L.C. - Delaware, U.S.A. FH</w:t>
      </w:r>
    </w:p>
    <w:p>
      <w:pPr>
        <w:ind w:left="920" w:right="120" w:hanging="912"/>
        <w:spacing w:after="0" w:line="201" w:lineRule="auto"/>
        <w:tabs>
          <w:tab w:leader="none" w:pos="920" w:val="left"/>
        </w:tabs>
        <w:numPr>
          <w:ilvl w:val="0"/>
          <w:numId w:val="3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VII - Delaware, U.S.A. FH VII-A - Delaware, U.S.A. FHM VII, L.P. - Delaware, U.S.A. FHM VII, L.L.C. - Delaware, U.S.A. FLS X - Delaware, U.S.A. FHMLS X, L.P. - Delaware, U.S.A. FHMLS X, L.L.C. - Delaware, U.S.A. FLS XI - Delaware, U.S.A. FHMLS XI, L.P. - Delaware, U.S.A. FHMLS XI, L.L.C. - Delaware, U.S.A. Individuals: Topper - United States Citizen Heron - United States Citizen Cha - United States Citizen Brush - United States Citizen Estes - United States Citizen Frazier - United States Citizen Naini - United States Citizen Every - United States Citizen Morfitt - United States Citizen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3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Â§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40" w:hanging="912"/>
        <w:spacing w:after="0" w:line="185" w:lineRule="auto"/>
        <w:tabs>
          <w:tab w:leader="none" w:pos="920" w:val="left"/>
        </w:tabs>
        <w:numPr>
          <w:ilvl w:val="0"/>
          <w:numId w:val="4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9 of each Reporting Person's cover page to this Schedule 13G (including the footnotes thereto) is incorporated by reference.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540" w:hanging="912"/>
        <w:spacing w:after="0" w:line="185" w:lineRule="auto"/>
        <w:tabs>
          <w:tab w:leader="none" w:pos="920" w:val="left"/>
        </w:tabs>
        <w:numPr>
          <w:ilvl w:val="0"/>
          <w:numId w:val="4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11 of each Reporting Person's cover page to this Schedule 13G (including the footnotes thereto)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4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5 of each Reporting Person's cover page to this Schedule 13G (including the footnotes thereto)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1" w:right="419" w:bottom="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6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7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8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Steve R. Bailey, CFO of FHMLSP, L.L.C., GP</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FHMLSP, L.P., GP of Frazier Life Sciences</w:t>
      </w:r>
    </w:p>
    <w:p>
      <w:pPr>
        <w:ind w:left="6740"/>
        <w:spacing w:after="0"/>
        <w:rPr>
          <w:sz w:val="20"/>
          <w:szCs w:val="20"/>
          <w:color w:val="auto"/>
        </w:rPr>
      </w:pPr>
      <w:r>
        <w:rPr>
          <w:rFonts w:ascii="Times New Roman" w:cs="Times New Roman" w:eastAsia="Times New Roman" w:hAnsi="Times New Roman"/>
          <w:sz w:val="22"/>
          <w:szCs w:val="22"/>
          <w:color w:val="auto"/>
        </w:rPr>
        <w:t>Public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L.L.C.,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FHMLSP,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FHMLSP, L.L.C.</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By Steve R. Bailey, CFO of FHMLSP, L.L.C.</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CFO of FHMLSP Overage,</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L.L.C., GP of FHMLSP Overage, L.P., GP of</w:t>
      </w:r>
    </w:p>
    <w:p>
      <w:pPr>
        <w:ind w:left="674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11140"/>
          </w:cols>
          <w:pgMar w:left="360" w:top="355" w:right="399" w:bottom="0" w:gutter="0" w:footer="0" w:header="0"/>
          <w:type w:val="continuous"/>
        </w:sectPr>
      </w:pPr>
    </w:p>
    <w:bookmarkStart w:id="24" w:name="page25"/>
    <w:bookmarkEnd w:id="24"/>
    <w:p>
      <w:pPr>
        <w:spacing w:after="0" w:line="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 GP of FHMLSP Overage,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 X,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FHMLS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By Steve R. Bailey, CFO of FHMLS X, L.L.C.</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 XI,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By Steve R. Bailey, CFO of FHMLS XI, L.L.C.</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Frazier Healthcare VII,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CFO of FHM VII, L.L.C., GP</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of FHM VII, L.P., GP of Frazier Healthcare VII,</w:t>
      </w:r>
    </w:p>
    <w:p>
      <w:pPr>
        <w:ind w:left="5660"/>
        <w:spacing w:after="0"/>
        <w:rPr>
          <w:sz w:val="20"/>
          <w:szCs w:val="20"/>
          <w:color w:val="auto"/>
        </w:rPr>
      </w:pPr>
      <w:r>
        <w:rPr>
          <w:rFonts w:ascii="Times New Roman" w:cs="Times New Roman" w:eastAsia="Times New Roman" w:hAnsi="Times New Roman"/>
          <w:sz w:val="22"/>
          <w:szCs w:val="22"/>
          <w:color w:val="auto"/>
        </w:rPr>
        <w:t>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Frazier Healthcare VII-A,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CFO of FHM VII, L.L.C., GP</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of FHM VII, L.P., GP of Frazier Healthcare VII-</w:t>
      </w:r>
    </w:p>
    <w:p>
      <w:pPr>
        <w:ind w:left="5660"/>
        <w:spacing w:after="0"/>
        <w:rPr>
          <w:sz w:val="20"/>
          <w:szCs w:val="20"/>
          <w:color w:val="auto"/>
        </w:rPr>
      </w:pPr>
      <w:r>
        <w:rPr>
          <w:rFonts w:ascii="Times New Roman" w:cs="Times New Roman" w:eastAsia="Times New Roman" w:hAnsi="Times New Roman"/>
          <w:sz w:val="22"/>
          <w:szCs w:val="22"/>
          <w:color w:val="auto"/>
        </w:rPr>
        <w:t>A, L.P.</w:t>
      </w:r>
    </w:p>
    <w:p>
      <w:pPr>
        <w:sectPr>
          <w:pgSz w:w="11900" w:h="16898" w:orient="portrait"/>
          <w:cols w:equalWidth="0" w:num="1">
            <w:col w:w="10000"/>
          </w:cols>
          <w:pgMar w:left="1440" w:top="166" w:right="459" w:bottom="0" w:gutter="0" w:footer="0" w:header="0"/>
        </w:sectPr>
      </w:pPr>
    </w:p>
    <w:bookmarkStart w:id="25" w:name="page26"/>
    <w:bookmarkEnd w:id="25"/>
    <w:p>
      <w:pPr>
        <w:spacing w:after="0" w:line="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FHM VII,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29" w:lineRule="exact"/>
        <w:rPr>
          <w:sz w:val="20"/>
          <w:szCs w:val="20"/>
          <w:color w:val="auto"/>
        </w:rPr>
      </w:pPr>
    </w:p>
    <w:p>
      <w:pPr>
        <w:ind w:left="5660" w:right="4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By Steve R. Bailey, CFO of FHM VII, L.L.C., GP of FHM VII, L.P.</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FHM VII,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By Steve R. Bailey, CFO of FHM VII, L.L.C.</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James N. Topper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Steve R. Bailey, Attorney-in-Fact for James N.</w:t>
      </w:r>
    </w:p>
    <w:p>
      <w:pPr>
        <w:spacing w:after="0" w:line="26" w:lineRule="exact"/>
        <w:rPr>
          <w:sz w:val="20"/>
          <w:szCs w:val="20"/>
          <w:color w:val="auto"/>
        </w:rPr>
      </w:pPr>
    </w:p>
    <w:p>
      <w:pPr>
        <w:ind w:left="5660" w:right="220" w:hanging="1093"/>
        <w:spacing w:after="0" w:line="181" w:lineRule="auto"/>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Topper, pursuant to a Power of Attorney, a copy of which was filed with the SEC on March 29,</w:t>
      </w:r>
    </w:p>
    <w:p>
      <w:pPr>
        <w:ind w:left="5660"/>
        <w:spacing w:after="0"/>
        <w:rPr>
          <w:sz w:val="20"/>
          <w:szCs w:val="20"/>
          <w:color w:val="auto"/>
        </w:rPr>
      </w:pPr>
      <w:r>
        <w:rPr>
          <w:rFonts w:ascii="Times New Roman" w:cs="Times New Roman" w:eastAsia="Times New Roman" w:hAnsi="Times New Roman"/>
          <w:sz w:val="22"/>
          <w:szCs w:val="22"/>
          <w:color w:val="auto"/>
        </w:rPr>
        <w:t>2016</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Attorney-in-Fact for Patrick J.</w:t>
      </w:r>
    </w:p>
    <w:p>
      <w:pPr>
        <w:spacing w:after="0" w:line="14" w:lineRule="exact"/>
        <w:rPr>
          <w:sz w:val="20"/>
          <w:szCs w:val="20"/>
          <w:color w:val="auto"/>
        </w:rPr>
      </w:pPr>
    </w:p>
    <w:p>
      <w:pPr>
        <w:jc w:val="right"/>
        <w:ind w:left="4580" w:right="60"/>
        <w:spacing w:after="0" w:line="237" w:lineRule="auto"/>
        <w:rPr>
          <w:sz w:val="20"/>
          <w:szCs w:val="20"/>
          <w:color w:val="auto"/>
        </w:rPr>
      </w:pPr>
      <w:r>
        <w:rPr>
          <w:rFonts w:ascii="Times New Roman" w:cs="Times New Roman" w:eastAsia="Times New Roman" w:hAnsi="Times New Roman"/>
          <w:sz w:val="22"/>
          <w:szCs w:val="22"/>
          <w:color w:val="auto"/>
        </w:rPr>
        <w:t>Name/Title: Heron, pursuant to a Power of Attorney, a copy of which was filed with the SEC on March 29, 2016</w:t>
      </w:r>
    </w:p>
    <w:p>
      <w:pPr>
        <w:spacing w:after="0" w:line="1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Albert Cha</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Attorney-in-Fact for Albert</w:t>
      </w:r>
    </w:p>
    <w:p>
      <w:pPr>
        <w:spacing w:after="0" w:line="14" w:lineRule="exact"/>
        <w:rPr>
          <w:sz w:val="20"/>
          <w:szCs w:val="20"/>
          <w:color w:val="auto"/>
        </w:rPr>
      </w:pPr>
    </w:p>
    <w:p>
      <w:pPr>
        <w:ind w:left="5660" w:right="40" w:hanging="1093"/>
        <w:spacing w:after="0" w:line="256" w:lineRule="auto"/>
        <w:rPr>
          <w:sz w:val="20"/>
          <w:szCs w:val="20"/>
          <w:color w:val="auto"/>
        </w:rPr>
      </w:pPr>
      <w:r>
        <w:rPr>
          <w:rFonts w:ascii="Times New Roman" w:cs="Times New Roman" w:eastAsia="Times New Roman" w:hAnsi="Times New Roman"/>
          <w:sz w:val="21"/>
          <w:szCs w:val="21"/>
          <w:color w:val="auto"/>
        </w:rPr>
        <w:t>Name/Title: Cha, pursuant to a Power of Attorney, a copy of which was filed with the SEC on August 16, 2021</w:t>
      </w:r>
    </w:p>
    <w:p>
      <w:pPr>
        <w:spacing w:after="0" w:line="1"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James Brush</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Attorney-in-Fact for James</w:t>
      </w:r>
    </w:p>
    <w:p>
      <w:pPr>
        <w:spacing w:after="0" w:line="14" w:lineRule="exact"/>
        <w:rPr>
          <w:sz w:val="20"/>
          <w:szCs w:val="20"/>
          <w:color w:val="auto"/>
        </w:rPr>
      </w:pPr>
    </w:p>
    <w:p>
      <w:pPr>
        <w:jc w:val="right"/>
        <w:ind w:left="4580" w:right="40"/>
        <w:spacing w:after="0" w:line="237" w:lineRule="auto"/>
        <w:rPr>
          <w:sz w:val="20"/>
          <w:szCs w:val="20"/>
          <w:color w:val="auto"/>
        </w:rPr>
      </w:pPr>
      <w:r>
        <w:rPr>
          <w:rFonts w:ascii="Times New Roman" w:cs="Times New Roman" w:eastAsia="Times New Roman" w:hAnsi="Times New Roman"/>
          <w:sz w:val="22"/>
          <w:szCs w:val="22"/>
          <w:color w:val="auto"/>
        </w:rPr>
        <w:t>Name/Title: Brush, pursuant to a Power of Attorney, a copy of which was filed with the SEC on August 16, 2021</w:t>
      </w:r>
    </w:p>
    <w:p>
      <w:pPr>
        <w:spacing w:after="0" w:line="1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Daniel Estes</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Attorney-in-Fact for Daniel</w:t>
      </w:r>
    </w:p>
    <w:p>
      <w:pPr>
        <w:spacing w:after="0" w:line="14" w:lineRule="exact"/>
        <w:rPr>
          <w:sz w:val="20"/>
          <w:szCs w:val="20"/>
          <w:color w:val="auto"/>
        </w:rPr>
      </w:pPr>
    </w:p>
    <w:p>
      <w:pPr>
        <w:ind w:left="5660" w:right="140" w:hanging="1093"/>
        <w:spacing w:after="0" w:line="256" w:lineRule="auto"/>
        <w:rPr>
          <w:sz w:val="20"/>
          <w:szCs w:val="20"/>
          <w:color w:val="auto"/>
        </w:rPr>
      </w:pPr>
      <w:r>
        <w:rPr>
          <w:rFonts w:ascii="Times New Roman" w:cs="Times New Roman" w:eastAsia="Times New Roman" w:hAnsi="Times New Roman"/>
          <w:sz w:val="21"/>
          <w:szCs w:val="21"/>
          <w:color w:val="auto"/>
        </w:rPr>
        <w:t>Name/Title: Estes, pursuant to a Power of Attorney, a copy of which was filed with the SEC on April 18, 2022</w:t>
      </w:r>
    </w:p>
    <w:p>
      <w:pPr>
        <w:spacing w:after="0" w:line="1"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Alan Frazier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Attorney-in-Fact for Alan</w:t>
      </w:r>
    </w:p>
    <w:p>
      <w:pPr>
        <w:spacing w:after="0" w:line="14" w:lineRule="exact"/>
        <w:rPr>
          <w:sz w:val="20"/>
          <w:szCs w:val="20"/>
          <w:color w:val="auto"/>
        </w:rPr>
      </w:pPr>
    </w:p>
    <w:p>
      <w:pPr>
        <w:ind w:left="5660" w:right="220" w:hanging="1093"/>
        <w:spacing w:after="0" w:line="181" w:lineRule="auto"/>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Frazier, pursuant to a Power of Attorney, a copy of which was filed with the SEC on March 29,</w:t>
      </w:r>
    </w:p>
    <w:p>
      <w:pPr>
        <w:ind w:left="5660"/>
        <w:spacing w:after="0"/>
        <w:rPr>
          <w:sz w:val="20"/>
          <w:szCs w:val="20"/>
          <w:color w:val="auto"/>
        </w:rPr>
      </w:pPr>
      <w:r>
        <w:rPr>
          <w:rFonts w:ascii="Times New Roman" w:cs="Times New Roman" w:eastAsia="Times New Roman" w:hAnsi="Times New Roman"/>
          <w:sz w:val="22"/>
          <w:szCs w:val="22"/>
          <w:color w:val="auto"/>
        </w:rPr>
        <w:t>2016</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Nader Naini</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By Steve R. Bailey, Attorney-in-Fact for Nader</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Naini, pursuant to a Power of Attorney, a copy of</w:t>
      </w:r>
    </w:p>
    <w:p>
      <w:pPr>
        <w:sectPr>
          <w:pgSz w:w="11900" w:h="16844" w:orient="portrait"/>
          <w:cols w:equalWidth="0" w:num="1">
            <w:col w:w="10040"/>
          </w:cols>
          <w:pgMar w:left="1440" w:top="139" w:right="419" w:bottom="0" w:gutter="0" w:footer="0" w:header="0"/>
        </w:sectPr>
      </w:pPr>
    </w:p>
    <w:bookmarkStart w:id="26" w:name="page27"/>
    <w:bookmarkEnd w:id="26"/>
    <w:p>
      <w:pPr>
        <w:ind w:left="6740"/>
        <w:spacing w:after="0"/>
        <w:rPr>
          <w:sz w:val="20"/>
          <w:szCs w:val="20"/>
          <w:color w:val="auto"/>
        </w:rPr>
      </w:pPr>
      <w:r>
        <w:rPr>
          <w:rFonts w:ascii="Times New Roman" w:cs="Times New Roman" w:eastAsia="Times New Roman" w:hAnsi="Times New Roman"/>
          <w:sz w:val="21"/>
          <w:szCs w:val="21"/>
          <w:color w:val="auto"/>
        </w:rPr>
        <w:t>which was filed with the SEC on March 29, 2016</w:t>
      </w:r>
    </w:p>
    <w:p>
      <w:pPr>
        <w:spacing w:after="0" w:line="56"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Nathan Every</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Nathan</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Every, pursuant to a Power of Attorney, a copy of</w:t>
      </w:r>
    </w:p>
    <w:p>
      <w:pPr>
        <w:jc w:val="right"/>
        <w:spacing w:after="0"/>
        <w:rPr>
          <w:sz w:val="20"/>
          <w:szCs w:val="20"/>
          <w:color w:val="auto"/>
        </w:rPr>
      </w:pPr>
      <w:r>
        <w:rPr>
          <w:rFonts w:ascii="Times New Roman" w:cs="Times New Roman" w:eastAsia="Times New Roman" w:hAnsi="Times New Roman"/>
          <w:sz w:val="22"/>
          <w:szCs w:val="22"/>
          <w:color w:val="auto"/>
        </w:rPr>
        <w:t>which was filed with the SEC on March 29, 2016</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Brian Morfitt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Brian</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Morfitt, pursuant to a Power of Attorney, a copy</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which was filed with the SEC on March 29,</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2016</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7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020"/>
          </w:cols>
          <w:pgMar w:left="360" w:top="111" w:right="5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Pursuant to Rule 13d-1(k)(1) under the Securities Exchange Act of 1934, the undersigned hereby agree that only one statement containing the information required by Schedule 13G need be filed with respect to the ownership by each of the undersigned of Common Stock of AnaptysBio, Inc.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584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w w:val="97"/>
              </w:rPr>
              <w:t>FRAZIER LIFE SCIENCES PUBLIC FUND, L.P.</w:t>
            </w:r>
          </w:p>
        </w:tc>
      </w:tr>
      <w:tr>
        <w:trPr>
          <w:trHeight w:val="243"/>
        </w:trPr>
        <w:tc>
          <w:tcPr>
            <w:tcW w:w="3340" w:type="dxa"/>
            <w:vAlign w:val="bottom"/>
          </w:tcPr>
          <w:p>
            <w:pPr>
              <w:spacing w:after="0"/>
              <w:rPr>
                <w:sz w:val="21"/>
                <w:szCs w:val="21"/>
                <w:color w:val="auto"/>
              </w:rPr>
            </w:pPr>
          </w:p>
        </w:tc>
        <w:tc>
          <w:tcPr>
            <w:tcW w:w="584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FHMLSP, L.P., its General Partner</w:t>
            </w:r>
          </w:p>
        </w:tc>
      </w:tr>
      <w:tr>
        <w:trPr>
          <w:trHeight w:val="282"/>
        </w:trPr>
        <w:tc>
          <w:tcPr>
            <w:tcW w:w="3340" w:type="dxa"/>
            <w:vAlign w:val="bottom"/>
          </w:tcPr>
          <w:p>
            <w:pPr>
              <w:spacing w:after="0"/>
              <w:rPr>
                <w:sz w:val="24"/>
                <w:szCs w:val="24"/>
                <w:color w:val="auto"/>
              </w:rPr>
            </w:pPr>
          </w:p>
        </w:tc>
        <w:tc>
          <w:tcPr>
            <w:tcW w:w="584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340" w:type="dxa"/>
            <w:vAlign w:val="bottom"/>
          </w:tcPr>
          <w:p>
            <w:pPr>
              <w:spacing w:after="0"/>
              <w:rPr>
                <w:sz w:val="24"/>
                <w:szCs w:val="24"/>
                <w:color w:val="auto"/>
              </w:rPr>
            </w:pPr>
          </w:p>
        </w:tc>
        <w:tc>
          <w:tcPr>
            <w:tcW w:w="584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FHMLSP, L.P.</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FHMLSP, L.L.C., its General Partner</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790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FHMLSP, L.L.C.</w:t>
            </w:r>
          </w:p>
        </w:tc>
      </w:tr>
      <w:tr>
        <w:trPr>
          <w:trHeight w:val="433"/>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790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FRAZIER LIFE SCIENCES PUBLIC OVERAGE FUND, L.P.</w:t>
            </w:r>
          </w:p>
        </w:tc>
      </w:tr>
      <w:tr>
        <w:trPr>
          <w:trHeight w:val="243"/>
        </w:trPr>
        <w:tc>
          <w:tcPr>
            <w:tcW w:w="3340" w:type="dxa"/>
            <w:vAlign w:val="bottom"/>
          </w:tcPr>
          <w:p>
            <w:pPr>
              <w:spacing w:after="0"/>
              <w:rPr>
                <w:sz w:val="21"/>
                <w:szCs w:val="21"/>
                <w:color w:val="auto"/>
              </w:rPr>
            </w:pPr>
          </w:p>
        </w:tc>
        <w:tc>
          <w:tcPr>
            <w:tcW w:w="790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FHMLSP Overage, L.P., its General Partner</w:t>
            </w:r>
          </w:p>
        </w:tc>
      </w:tr>
      <w:tr>
        <w:trPr>
          <w:trHeight w:val="282"/>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FHMLSP Overage, L.L.C., its General Partner</w:t>
            </w:r>
          </w:p>
        </w:tc>
      </w:tr>
      <w:tr>
        <w:trPr>
          <w:trHeight w:val="434"/>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790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FHMLSP OVERAGE, L.P.</w:t>
            </w:r>
          </w:p>
        </w:tc>
      </w:tr>
      <w:tr>
        <w:trPr>
          <w:trHeight w:val="282"/>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FHMLSP Overage, L.L.C., its General Partner</w:t>
            </w:r>
          </w:p>
        </w:tc>
      </w:tr>
      <w:tr>
        <w:trPr>
          <w:trHeight w:val="434"/>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72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790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FHMLSP OVERAGE, L.L.C.</w:t>
            </w:r>
          </w:p>
        </w:tc>
      </w:tr>
      <w:tr>
        <w:trPr>
          <w:trHeight w:val="434"/>
        </w:trPr>
        <w:tc>
          <w:tcPr>
            <w:tcW w:w="3340" w:type="dxa"/>
            <w:vAlign w:val="bottom"/>
          </w:tcPr>
          <w:p>
            <w:pPr>
              <w:spacing w:after="0"/>
              <w:rPr>
                <w:sz w:val="24"/>
                <w:szCs w:val="24"/>
                <w:color w:val="auto"/>
              </w:rPr>
            </w:pPr>
          </w:p>
        </w:tc>
        <w:tc>
          <w:tcPr>
            <w:tcW w:w="79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 R. Bailey, Chief Financial Officer</w:t>
            </w:r>
          </w:p>
        </w:tc>
      </w:tr>
      <w:tr>
        <w:trPr>
          <w:trHeight w:val="1068"/>
        </w:trPr>
        <w:tc>
          <w:tcPr>
            <w:tcW w:w="3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48"/>
        </w:trPr>
        <w:tc>
          <w:tcPr>
            <w:tcW w:w="3340" w:type="dxa"/>
            <w:vAlign w:val="bottom"/>
            <w:shd w:val="clear" w:color="auto" w:fill="808080"/>
          </w:tcPr>
          <w:p>
            <w:pPr>
              <w:spacing w:after="0"/>
              <w:rPr>
                <w:sz w:val="12"/>
                <w:szCs w:val="12"/>
                <w:color w:val="auto"/>
              </w:rPr>
            </w:pPr>
          </w:p>
        </w:tc>
        <w:tc>
          <w:tcPr>
            <w:tcW w:w="1520" w:type="dxa"/>
            <w:vAlign w:val="bottom"/>
            <w:shd w:val="clear" w:color="auto" w:fill="808080"/>
          </w:tcPr>
          <w:p>
            <w:pPr>
              <w:spacing w:after="0"/>
              <w:rPr>
                <w:sz w:val="12"/>
                <w:szCs w:val="12"/>
                <w:color w:val="auto"/>
              </w:rPr>
            </w:pPr>
          </w:p>
        </w:tc>
        <w:tc>
          <w:tcPr>
            <w:tcW w:w="1660" w:type="dxa"/>
            <w:vAlign w:val="bottom"/>
            <w:shd w:val="clear" w:color="auto" w:fill="808080"/>
          </w:tcPr>
          <w:p>
            <w:pPr>
              <w:spacing w:after="0"/>
              <w:rPr>
                <w:sz w:val="12"/>
                <w:szCs w:val="12"/>
                <w:color w:val="auto"/>
              </w:rPr>
            </w:pPr>
          </w:p>
        </w:tc>
        <w:tc>
          <w:tcPr>
            <w:tcW w:w="4720" w:type="dxa"/>
            <w:vAlign w:val="bottom"/>
            <w:shd w:val="clear" w:color="auto" w:fill="808080"/>
          </w:tcPr>
          <w:p>
            <w:pPr>
              <w:spacing w:after="0"/>
              <w:rPr>
                <w:sz w:val="12"/>
                <w:szCs w:val="12"/>
                <w:color w:val="auto"/>
              </w:rPr>
            </w:pPr>
          </w:p>
        </w:tc>
      </w:tr>
    </w:tbl>
    <w:p>
      <w:pPr>
        <w:sectPr>
          <w:pgSz w:w="11900" w:h="16838" w:orient="portrait"/>
          <w:cols w:equalWidth="0" w:num="1">
            <w:col w:w="11240"/>
          </w:cols>
          <w:pgMar w:left="320" w:top="351"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FRAZIER HEALTHCARE VII, L.P.</w:t>
            </w:r>
          </w:p>
        </w:tc>
      </w:tr>
      <w:tr>
        <w:trPr>
          <w:trHeight w:val="243"/>
        </w:trPr>
        <w:tc>
          <w:tcPr>
            <w:tcW w:w="3340" w:type="dxa"/>
            <w:vAlign w:val="bottom"/>
          </w:tcPr>
          <w:p>
            <w:pPr>
              <w:spacing w:after="0"/>
              <w:rPr>
                <w:sz w:val="21"/>
                <w:szCs w:val="21"/>
                <w:color w:val="auto"/>
              </w:rPr>
            </w:pPr>
          </w:p>
        </w:tc>
        <w:tc>
          <w:tcPr>
            <w:tcW w:w="498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 VII, L.P., its General Partner</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 VII, L.L.C., its General Partner</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FRAZIER HEALTHCARE VII-A, L.P.</w:t>
            </w:r>
          </w:p>
        </w:tc>
      </w:tr>
      <w:tr>
        <w:trPr>
          <w:trHeight w:val="243"/>
        </w:trPr>
        <w:tc>
          <w:tcPr>
            <w:tcW w:w="3340" w:type="dxa"/>
            <w:vAlign w:val="bottom"/>
          </w:tcPr>
          <w:p>
            <w:pPr>
              <w:spacing w:after="0"/>
              <w:rPr>
                <w:sz w:val="21"/>
                <w:szCs w:val="21"/>
                <w:color w:val="auto"/>
              </w:rPr>
            </w:pPr>
          </w:p>
        </w:tc>
        <w:tc>
          <w:tcPr>
            <w:tcW w:w="498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 VII, L.P., its General Partner</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 VII, L.L.C., its General Partner</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 VII, L.P.</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FHM VII, L.L.C., its General Partner</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bl>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 VII, L.L.C.</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FRAZIER LIFE SCIENCES XI, L.P.</w:t>
            </w:r>
          </w:p>
        </w:tc>
      </w:tr>
      <w:tr>
        <w:trPr>
          <w:trHeight w:val="243"/>
        </w:trPr>
        <w:tc>
          <w:tcPr>
            <w:tcW w:w="3340" w:type="dxa"/>
            <w:vAlign w:val="bottom"/>
          </w:tcPr>
          <w:p>
            <w:pPr>
              <w:spacing w:after="0"/>
              <w:rPr>
                <w:sz w:val="21"/>
                <w:szCs w:val="21"/>
                <w:color w:val="auto"/>
              </w:rPr>
            </w:pPr>
          </w:p>
        </w:tc>
        <w:tc>
          <w:tcPr>
            <w:tcW w:w="498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FHMLS XI, L.P., its General Partner</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r>
      <w:tr>
        <w:trPr>
          <w:trHeight w:val="434"/>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 XI, L.P.</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w w:val="97"/>
              </w:rPr>
              <w:t>By: FHMLS XI, L.L.C., its General Partner</w:t>
            </w:r>
          </w:p>
        </w:tc>
      </w:tr>
      <w:tr>
        <w:trPr>
          <w:trHeight w:val="434"/>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72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 XI, L.L.C.</w:t>
            </w:r>
          </w:p>
        </w:tc>
      </w:tr>
      <w:tr>
        <w:trPr>
          <w:trHeight w:val="434"/>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FRAZIER LIFE SCIENCES X, L.P.</w:t>
            </w:r>
          </w:p>
        </w:tc>
      </w:tr>
      <w:tr>
        <w:trPr>
          <w:trHeight w:val="243"/>
        </w:trPr>
        <w:tc>
          <w:tcPr>
            <w:tcW w:w="3340" w:type="dxa"/>
            <w:vAlign w:val="bottom"/>
          </w:tcPr>
          <w:p>
            <w:pPr>
              <w:spacing w:after="0"/>
              <w:rPr>
                <w:sz w:val="21"/>
                <w:szCs w:val="21"/>
                <w:color w:val="auto"/>
              </w:rPr>
            </w:pPr>
          </w:p>
        </w:tc>
        <w:tc>
          <w:tcPr>
            <w:tcW w:w="4980" w:type="dxa"/>
            <w:vAlign w:val="bottom"/>
            <w:gridSpan w:val="3"/>
          </w:tcPr>
          <w:p>
            <w:pPr>
              <w:ind w:left="1200"/>
              <w:spacing w:after="0" w:line="243" w:lineRule="exact"/>
              <w:rPr>
                <w:sz w:val="20"/>
                <w:szCs w:val="20"/>
                <w:color w:val="auto"/>
              </w:rPr>
            </w:pPr>
            <w:r>
              <w:rPr>
                <w:rFonts w:ascii="Times New Roman" w:cs="Times New Roman" w:eastAsia="Times New Roman" w:hAnsi="Times New Roman"/>
                <w:sz w:val="22"/>
                <w:szCs w:val="22"/>
                <w:color w:val="auto"/>
              </w:rPr>
              <w:t>By: FHMLS X, L.P., its General Partner</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r>
      <w:tr>
        <w:trPr>
          <w:trHeight w:val="434"/>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68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 X, L.P.</w:t>
            </w:r>
          </w:p>
        </w:tc>
      </w:tr>
      <w:tr>
        <w:trPr>
          <w:trHeight w:val="282"/>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w w:val="99"/>
              </w:rPr>
              <w:t>By: FHMLS X, L.L.C., its General Partner</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r>
      <w:tr>
        <w:trPr>
          <w:trHeight w:val="729"/>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3"/>
          </w:tcPr>
          <w:p>
            <w:pPr>
              <w:ind w:left="1180"/>
              <w:spacing w:after="0"/>
              <w:rPr>
                <w:sz w:val="20"/>
                <w:szCs w:val="20"/>
                <w:color w:val="auto"/>
              </w:rPr>
            </w:pPr>
            <w:r>
              <w:rPr>
                <w:rFonts w:ascii="Times New Roman" w:cs="Times New Roman" w:eastAsia="Times New Roman" w:hAnsi="Times New Roman"/>
                <w:sz w:val="22"/>
                <w:szCs w:val="22"/>
                <w:b w:val="1"/>
                <w:bCs w:val="1"/>
                <w:color w:val="auto"/>
              </w:rPr>
              <w:t>FHMLS X, L.L.C.</w:t>
            </w:r>
          </w:p>
        </w:tc>
      </w:tr>
      <w:tr>
        <w:trPr>
          <w:trHeight w:val="433"/>
        </w:trPr>
        <w:tc>
          <w:tcPr>
            <w:tcW w:w="3340" w:type="dxa"/>
            <w:vAlign w:val="bottom"/>
          </w:tcPr>
          <w:p>
            <w:pPr>
              <w:spacing w:after="0"/>
              <w:rPr>
                <w:sz w:val="24"/>
                <w:szCs w:val="24"/>
                <w:color w:val="auto"/>
              </w:rPr>
            </w:pPr>
          </w:p>
        </w:tc>
        <w:tc>
          <w:tcPr>
            <w:tcW w:w="498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By: /s/ Steve R. Bailey</w:t>
            </w: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ectPr>
          <w:pgSz w:w="11900" w:h="16838" w:orient="portrait"/>
          <w:cols w:equalWidth="0" w:num="1">
            <w:col w:w="10139"/>
          </w:cols>
          <w:pgMar w:left="320" w:top="102" w:right="1440"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5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w w:val="97"/>
              </w:rPr>
              <w:t>Steve R. Bailey, Chief Financial Officer</w:t>
            </w:r>
          </w:p>
        </w:tc>
        <w:tc>
          <w:tcPr>
            <w:tcW w:w="0" w:type="dxa"/>
            <w:vAlign w:val="bottom"/>
          </w:tcPr>
          <w:p>
            <w:pPr>
              <w:spacing w:after="0"/>
              <w:rPr>
                <w:sz w:val="1"/>
                <w:szCs w:val="1"/>
                <w:color w:val="auto"/>
              </w:rPr>
            </w:pPr>
          </w:p>
        </w:tc>
      </w:tr>
      <w:tr>
        <w:trPr>
          <w:trHeight w:val="67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James N. Topper</w:t>
            </w:r>
          </w:p>
        </w:tc>
        <w:tc>
          <w:tcPr>
            <w:tcW w:w="0" w:type="dxa"/>
            <w:vAlign w:val="bottom"/>
          </w:tcPr>
          <w:p>
            <w:pPr>
              <w:spacing w:after="0"/>
              <w:rPr>
                <w:sz w:val="1"/>
                <w:szCs w:val="1"/>
                <w:color w:val="auto"/>
              </w:rPr>
            </w:pPr>
          </w:p>
        </w:tc>
      </w:tr>
      <w:tr>
        <w:trPr>
          <w:trHeight w:val="67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Patrick J. Heron</w:t>
            </w:r>
          </w:p>
        </w:tc>
        <w:tc>
          <w:tcPr>
            <w:tcW w:w="0" w:type="dxa"/>
            <w:vAlign w:val="bottom"/>
          </w:tcPr>
          <w:p>
            <w:pPr>
              <w:spacing w:after="0"/>
              <w:rPr>
                <w:sz w:val="1"/>
                <w:szCs w:val="1"/>
                <w:color w:val="auto"/>
              </w:rPr>
            </w:pPr>
          </w:p>
        </w:tc>
      </w:tr>
      <w:tr>
        <w:trPr>
          <w:trHeight w:val="67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Alan Frazier</w:t>
            </w:r>
          </w:p>
        </w:tc>
        <w:tc>
          <w:tcPr>
            <w:tcW w:w="0" w:type="dxa"/>
            <w:vAlign w:val="bottom"/>
          </w:tcPr>
          <w:p>
            <w:pPr>
              <w:spacing w:after="0"/>
              <w:rPr>
                <w:sz w:val="1"/>
                <w:szCs w:val="1"/>
                <w:color w:val="auto"/>
              </w:rPr>
            </w:pPr>
          </w:p>
        </w:tc>
      </w:tr>
      <w:tr>
        <w:trPr>
          <w:trHeight w:val="67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Nader Naini</w:t>
            </w:r>
          </w:p>
        </w:tc>
        <w:tc>
          <w:tcPr>
            <w:tcW w:w="0" w:type="dxa"/>
            <w:vAlign w:val="bottom"/>
          </w:tcPr>
          <w:p>
            <w:pPr>
              <w:spacing w:after="0"/>
              <w:rPr>
                <w:sz w:val="1"/>
                <w:szCs w:val="1"/>
                <w:color w:val="auto"/>
              </w:rPr>
            </w:pPr>
          </w:p>
        </w:tc>
      </w:tr>
      <w:tr>
        <w:trPr>
          <w:trHeight w:val="67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Nathan Every</w:t>
            </w:r>
          </w:p>
        </w:tc>
        <w:tc>
          <w:tcPr>
            <w:tcW w:w="0" w:type="dxa"/>
            <w:vAlign w:val="bottom"/>
          </w:tcPr>
          <w:p>
            <w:pPr>
              <w:spacing w:after="0"/>
              <w:rPr>
                <w:sz w:val="1"/>
                <w:szCs w:val="1"/>
                <w:color w:val="auto"/>
              </w:rPr>
            </w:pPr>
          </w:p>
        </w:tc>
      </w:tr>
      <w:tr>
        <w:trPr>
          <w:trHeight w:val="67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Brian Morfitt</w:t>
            </w:r>
          </w:p>
        </w:tc>
        <w:tc>
          <w:tcPr>
            <w:tcW w:w="0" w:type="dxa"/>
            <w:vAlign w:val="bottom"/>
          </w:tcPr>
          <w:p>
            <w:pPr>
              <w:spacing w:after="0"/>
              <w:rPr>
                <w:sz w:val="1"/>
                <w:szCs w:val="1"/>
                <w:color w:val="auto"/>
              </w:rPr>
            </w:pPr>
          </w:p>
        </w:tc>
      </w:tr>
      <w:tr>
        <w:trPr>
          <w:trHeight w:val="67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Albert Cha</w:t>
            </w:r>
          </w:p>
        </w:tc>
        <w:tc>
          <w:tcPr>
            <w:tcW w:w="0" w:type="dxa"/>
            <w:vAlign w:val="bottom"/>
          </w:tcPr>
          <w:p>
            <w:pPr>
              <w:spacing w:after="0"/>
              <w:rPr>
                <w:sz w:val="1"/>
                <w:szCs w:val="1"/>
                <w:color w:val="auto"/>
              </w:rPr>
            </w:pPr>
          </w:p>
        </w:tc>
      </w:tr>
      <w:tr>
        <w:trPr>
          <w:trHeight w:val="67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James Brush</w:t>
            </w:r>
          </w:p>
        </w:tc>
        <w:tc>
          <w:tcPr>
            <w:tcW w:w="0" w:type="dxa"/>
            <w:vAlign w:val="bottom"/>
          </w:tcPr>
          <w:p>
            <w:pPr>
              <w:spacing w:after="0"/>
              <w:rPr>
                <w:sz w:val="1"/>
                <w:szCs w:val="1"/>
                <w:color w:val="auto"/>
              </w:rPr>
            </w:pPr>
          </w:p>
        </w:tc>
      </w:tr>
      <w:tr>
        <w:trPr>
          <w:trHeight w:val="67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Daniel Estes</w:t>
            </w:r>
          </w:p>
        </w:tc>
        <w:tc>
          <w:tcPr>
            <w:tcW w:w="0" w:type="dxa"/>
            <w:vAlign w:val="bottom"/>
          </w:tcPr>
          <w:p>
            <w:pPr>
              <w:spacing w:after="0"/>
              <w:rPr>
                <w:sz w:val="1"/>
                <w:szCs w:val="1"/>
                <w:color w:val="auto"/>
              </w:rPr>
            </w:pPr>
          </w:p>
        </w:tc>
      </w:tr>
      <w:tr>
        <w:trPr>
          <w:trHeight w:val="676"/>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14, 2025</w:t>
            </w:r>
          </w:p>
        </w:tc>
        <w:tc>
          <w:tcPr>
            <w:tcW w:w="4980" w:type="dxa"/>
            <w:vAlign w:val="bottom"/>
            <w:gridSpan w:val="7"/>
          </w:tcPr>
          <w:p>
            <w:pPr>
              <w:ind w:left="1180"/>
              <w:spacing w:after="0"/>
              <w:rPr>
                <w:sz w:val="20"/>
                <w:szCs w:val="20"/>
                <w:color w:val="auto"/>
              </w:rPr>
            </w:pPr>
            <w:r>
              <w:rPr>
                <w:rFonts w:ascii="Times New Roman" w:cs="Times New Roman" w:eastAsia="Times New Roman" w:hAnsi="Times New Roman"/>
                <w:sz w:val="22"/>
                <w:szCs w:val="22"/>
                <w:color w:val="auto"/>
              </w:rPr>
              <w:t>By: /s/ Steve R. Bailey</w:t>
            </w: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22"/>
                <w:szCs w:val="22"/>
                <w:color w:val="auto"/>
                <w:w w:val="97"/>
              </w:rPr>
              <w:t>Steve R. Bailey, as</w:t>
            </w:r>
          </w:p>
        </w:tc>
        <w:tc>
          <w:tcPr>
            <w:tcW w:w="1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Attorney-in-Fact</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Joint Filer Agreement was executed by Steve R. Bailey on behalf of the individuals listed above pursuant to a Power of Attorney, a copy of which was filed with the SEC on March 29, 2016.</w:t>
      </w:r>
    </w:p>
    <w:p>
      <w:pPr>
        <w:spacing w:after="0" w:line="185" w:lineRule="exact"/>
        <w:rPr>
          <w:sz w:val="20"/>
          <w:szCs w:val="20"/>
          <w:color w:val="auto"/>
        </w:rPr>
      </w:pPr>
    </w:p>
    <w:p>
      <w:pPr>
        <w:ind w:firstLine="8"/>
        <w:spacing w:after="0" w:line="258" w:lineRule="auto"/>
        <w:tabs>
          <w:tab w:leader="none" w:pos="27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Joint Filer Agreement was executed by Steve R. Bailey on behalf of the individuals listed above pursuant to a Power of Attorney, a copy of which was filed with the SEC on August 16, 2021.</w:t>
      </w:r>
    </w:p>
    <w:p>
      <w:pPr>
        <w:spacing w:after="0" w:line="185" w:lineRule="exact"/>
        <w:rPr>
          <w:rFonts w:ascii="Times New Roman" w:cs="Times New Roman" w:eastAsia="Times New Roman" w:hAnsi="Times New Roman"/>
          <w:sz w:val="22"/>
          <w:szCs w:val="22"/>
          <w:color w:val="auto"/>
        </w:rPr>
      </w:pPr>
    </w:p>
    <w:p>
      <w:pPr>
        <w:ind w:firstLine="8"/>
        <w:spacing w:after="0" w:line="258" w:lineRule="auto"/>
        <w:tabs>
          <w:tab w:leader="none" w:pos="38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Joint Filer Agreement was executed by Steve R. Bailey on behalf of the individuals listed above pursuant to a Power of Attorney, a copy of which was filed with the SEC on April 18, 2022.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2"/>
      <w:numFmt w:val="bullet"/>
      <w:start w:val="1"/>
    </w:lvl>
  </w:abstractNum>
  <w:abstractNum w:abstractNumId="1">
    <w:nsid w:val="2443A858"/>
    <w:multiLevelType w:val="hybridMultilevel"/>
    <w:lvl w:ilvl="0">
      <w:lvlJc w:val="left"/>
      <w:lvlText w:val="3"/>
      <w:numFmt w:val="bullet"/>
      <w:start w:val="1"/>
    </w:lvl>
  </w:abstractNum>
  <w:abstractNum w:abstractNumId="2">
    <w:nsid w:val="2D1D5AE9"/>
    <w:multiLevelType w:val="hybridMultilevel"/>
    <w:lvl w:ilvl="0">
      <w:lvlJc w:val="left"/>
      <w:lvlText w:val="2"/>
      <w:numFmt w:val="bullet"/>
      <w:start w:val="1"/>
    </w:lvl>
  </w:abstractNum>
  <w:abstractNum w:abstractNumId="3">
    <w:nsid w:val="6763845E"/>
    <w:multiLevelType w:val="hybridMultilevel"/>
    <w:lvl w:ilvl="0">
      <w:lvlJc w:val="left"/>
      <w:lvlText w:val="3"/>
      <w:numFmt w:val="bullet"/>
      <w:start w:val="1"/>
    </w:lvl>
  </w:abstractNum>
  <w:abstractNum w:abstractNumId="4">
    <w:nsid w:val="75A2A8D4"/>
    <w:multiLevelType w:val="hybridMultilevel"/>
    <w:lvl w:ilvl="0">
      <w:lvlJc w:val="left"/>
      <w:lvlText w:val="9"/>
      <w:numFmt w:val="bullet"/>
      <w:start w:val="1"/>
    </w:lvl>
  </w:abstractNum>
  <w:abstractNum w:abstractNumId="5">
    <w:nsid w:val="8EDBDAB"/>
    <w:multiLevelType w:val="hybridMultilevel"/>
    <w:lvl w:ilvl="0">
      <w:lvlJc w:val="left"/>
      <w:lvlText w:val="2"/>
      <w:numFmt w:val="bullet"/>
      <w:start w:val="1"/>
    </w:lvl>
  </w:abstractNum>
  <w:abstractNum w:abstractNumId="6">
    <w:nsid w:val="79838CB2"/>
    <w:multiLevelType w:val="hybridMultilevel"/>
    <w:lvl w:ilvl="0">
      <w:lvlJc w:val="left"/>
      <w:lvlText w:val="2"/>
      <w:numFmt w:val="bullet"/>
      <w:start w:val="1"/>
    </w:lvl>
  </w:abstractNum>
  <w:abstractNum w:abstractNumId="7">
    <w:nsid w:val="4353D0CD"/>
    <w:multiLevelType w:val="hybridMultilevel"/>
    <w:lvl w:ilvl="0">
      <w:lvlJc w:val="left"/>
      <w:lvlText w:val="2"/>
      <w:numFmt w:val="bullet"/>
      <w:start w:val="1"/>
    </w:lvl>
  </w:abstractNum>
  <w:abstractNum w:abstractNumId="8">
    <w:nsid w:val="B03E0C6"/>
    <w:multiLevelType w:val="hybridMultilevel"/>
    <w:lvl w:ilvl="0">
      <w:lvlJc w:val="left"/>
      <w:lvlText w:val="2"/>
      <w:numFmt w:val="bullet"/>
      <w:start w:val="1"/>
    </w:lvl>
  </w:abstractNum>
  <w:abstractNum w:abstractNumId="9">
    <w:nsid w:val="189A769B"/>
    <w:multiLevelType w:val="hybridMultilevel"/>
    <w:lvl w:ilvl="0">
      <w:lvlJc w:val="left"/>
      <w:lvlText w:val="3"/>
      <w:numFmt w:val="bullet"/>
      <w:start w:val="1"/>
    </w:lvl>
  </w:abstractNum>
  <w:abstractNum w:abstractNumId="10">
    <w:nsid w:val="54E49EB4"/>
    <w:multiLevelType w:val="hybridMultilevel"/>
    <w:lvl w:ilvl="0">
      <w:lvlJc w:val="left"/>
      <w:lvlText w:val="2"/>
      <w:numFmt w:val="bullet"/>
      <w:start w:val="1"/>
    </w:lvl>
  </w:abstractNum>
  <w:abstractNum w:abstractNumId="11">
    <w:nsid w:val="71F32454"/>
    <w:multiLevelType w:val="hybridMultilevel"/>
    <w:lvl w:ilvl="0">
      <w:lvlJc w:val="left"/>
      <w:lvlText w:val="3"/>
      <w:numFmt w:val="bullet"/>
      <w:start w:val="1"/>
    </w:lvl>
  </w:abstractNum>
  <w:abstractNum w:abstractNumId="12">
    <w:nsid w:val="2CA88611"/>
    <w:multiLevelType w:val="hybridMultilevel"/>
    <w:lvl w:ilvl="0">
      <w:lvlJc w:val="left"/>
      <w:lvlText w:val="2"/>
      <w:numFmt w:val="bullet"/>
      <w:start w:val="1"/>
    </w:lvl>
  </w:abstractNum>
  <w:abstractNum w:abstractNumId="13">
    <w:nsid w:val="836C40E"/>
    <w:multiLevelType w:val="hybridMultilevel"/>
    <w:lvl w:ilvl="0">
      <w:lvlJc w:val="left"/>
      <w:lvlText w:val="2"/>
      <w:numFmt w:val="bullet"/>
      <w:start w:val="1"/>
    </w:lvl>
  </w:abstractNum>
  <w:abstractNum w:abstractNumId="14">
    <w:nsid w:val="2901D82"/>
    <w:multiLevelType w:val="hybridMultilevel"/>
    <w:lvl w:ilvl="0">
      <w:lvlJc w:val="left"/>
      <w:lvlText w:val="2"/>
      <w:numFmt w:val="bullet"/>
      <w:start w:val="1"/>
    </w:lvl>
  </w:abstractNum>
  <w:abstractNum w:abstractNumId="15">
    <w:nsid w:val="3A95F874"/>
    <w:multiLevelType w:val="hybridMultilevel"/>
    <w:lvl w:ilvl="0">
      <w:lvlJc w:val="left"/>
      <w:lvlText w:val="2"/>
      <w:numFmt w:val="bullet"/>
      <w:start w:val="1"/>
    </w:lvl>
  </w:abstractNum>
  <w:abstractNum w:abstractNumId="16">
    <w:nsid w:val="8138641"/>
    <w:multiLevelType w:val="hybridMultilevel"/>
    <w:lvl w:ilvl="0">
      <w:lvlJc w:val="left"/>
      <w:lvlText w:val="2"/>
      <w:numFmt w:val="bullet"/>
      <w:start w:val="1"/>
    </w:lvl>
  </w:abstractNum>
  <w:abstractNum w:abstractNumId="17">
    <w:nsid w:val="1E7FF521"/>
    <w:multiLevelType w:val="hybridMultilevel"/>
    <w:lvl w:ilvl="0">
      <w:lvlJc w:val="left"/>
      <w:lvlText w:val="3"/>
      <w:numFmt w:val="bullet"/>
      <w:start w:val="1"/>
    </w:lvl>
  </w:abstractNum>
  <w:abstractNum w:abstractNumId="18">
    <w:nsid w:val="7C3DBD3D"/>
    <w:multiLevelType w:val="hybridMultilevel"/>
    <w:lvl w:ilvl="0">
      <w:lvlJc w:val="left"/>
      <w:lvlText w:val="2"/>
      <w:numFmt w:val="bullet"/>
      <w:start w:val="1"/>
    </w:lvl>
  </w:abstractNum>
  <w:abstractNum w:abstractNumId="19">
    <w:nsid w:val="737B8DDC"/>
    <w:multiLevelType w:val="hybridMultilevel"/>
    <w:lvl w:ilvl="0">
      <w:lvlJc w:val="left"/>
      <w:lvlText w:val="3"/>
      <w:numFmt w:val="bullet"/>
      <w:start w:val="1"/>
    </w:lvl>
  </w:abstractNum>
  <w:abstractNum w:abstractNumId="20">
    <w:nsid w:val="6CEAF087"/>
    <w:multiLevelType w:val="hybridMultilevel"/>
    <w:lvl w:ilvl="0">
      <w:lvlJc w:val="left"/>
      <w:lvlText w:val="2"/>
      <w:numFmt w:val="bullet"/>
      <w:start w:val="1"/>
    </w:lvl>
  </w:abstractNum>
  <w:abstractNum w:abstractNumId="21">
    <w:nsid w:val="22221A70"/>
    <w:multiLevelType w:val="hybridMultilevel"/>
    <w:lvl w:ilvl="0">
      <w:lvlJc w:val="left"/>
      <w:lvlText w:val="2"/>
      <w:numFmt w:val="bullet"/>
      <w:start w:val="1"/>
    </w:lvl>
  </w:abstractNum>
  <w:abstractNum w:abstractNumId="22">
    <w:nsid w:val="4516DDE9"/>
    <w:multiLevelType w:val="hybridMultilevel"/>
    <w:lvl w:ilvl="0">
      <w:lvlJc w:val="left"/>
      <w:lvlText w:val="2"/>
      <w:numFmt w:val="bullet"/>
      <w:start w:val="1"/>
    </w:lvl>
  </w:abstractNum>
  <w:abstractNum w:abstractNumId="23">
    <w:nsid w:val="3006C83E"/>
    <w:multiLevelType w:val="hybridMultilevel"/>
    <w:lvl w:ilvl="0">
      <w:lvlJc w:val="left"/>
      <w:lvlText w:val="2"/>
      <w:numFmt w:val="bullet"/>
      <w:start w:val="1"/>
    </w:lvl>
  </w:abstractNum>
  <w:abstractNum w:abstractNumId="24">
    <w:nsid w:val="614FD4A1"/>
    <w:multiLevelType w:val="hybridMultilevel"/>
    <w:lvl w:ilvl="0">
      <w:lvlJc w:val="left"/>
      <w:lvlText w:val="3"/>
      <w:numFmt w:val="bullet"/>
      <w:start w:val="1"/>
    </w:lvl>
  </w:abstractNum>
  <w:abstractNum w:abstractNumId="25">
    <w:nsid w:val="419AC241"/>
    <w:multiLevelType w:val="hybridMultilevel"/>
    <w:lvl w:ilvl="0">
      <w:lvlJc w:val="left"/>
      <w:lvlText w:val="2"/>
      <w:numFmt w:val="bullet"/>
      <w:start w:val="1"/>
    </w:lvl>
  </w:abstractNum>
  <w:abstractNum w:abstractNumId="26">
    <w:nsid w:val="5577F8E1"/>
    <w:multiLevelType w:val="hybridMultilevel"/>
    <w:lvl w:ilvl="0">
      <w:lvlJc w:val="left"/>
      <w:lvlText w:val="1"/>
      <w:numFmt w:val="bullet"/>
      <w:start w:val="1"/>
    </w:lvl>
  </w:abstractNum>
  <w:abstractNum w:abstractNumId="27">
    <w:nsid w:val="440BADFC"/>
    <w:multiLevelType w:val="hybridMultilevel"/>
    <w:lvl w:ilvl="0">
      <w:lvlJc w:val="left"/>
      <w:lvlText w:val="2"/>
      <w:numFmt w:val="bullet"/>
      <w:start w:val="1"/>
    </w:lvl>
  </w:abstractNum>
  <w:abstractNum w:abstractNumId="28">
    <w:nsid w:val="5072367"/>
    <w:multiLevelType w:val="hybridMultilevel"/>
    <w:lvl w:ilvl="0">
      <w:lvlJc w:val="left"/>
      <w:lvlText w:val="2"/>
      <w:numFmt w:val="bullet"/>
      <w:start w:val="1"/>
    </w:lvl>
  </w:abstractNum>
  <w:abstractNum w:abstractNumId="29">
    <w:nsid w:val="3804823E"/>
    <w:multiLevelType w:val="hybridMultilevel"/>
    <w:lvl w:ilvl="0">
      <w:lvlJc w:val="left"/>
      <w:lvlText w:val="2"/>
      <w:numFmt w:val="bullet"/>
      <w:start w:val="1"/>
    </w:lvl>
  </w:abstractNum>
  <w:abstractNum w:abstractNumId="30">
    <w:nsid w:val="77465F01"/>
    <w:multiLevelType w:val="hybridMultilevel"/>
    <w:lvl w:ilvl="0">
      <w:lvlJc w:val="left"/>
      <w:lvlText w:val="3"/>
      <w:numFmt w:val="bullet"/>
      <w:start w:val="1"/>
    </w:lvl>
  </w:abstractNum>
  <w:abstractNum w:abstractNumId="31">
    <w:nsid w:val="7724C67E"/>
    <w:multiLevelType w:val="hybridMultilevel"/>
    <w:lvl w:ilvl="0">
      <w:lvlJc w:val="left"/>
      <w:lvlText w:val="2"/>
      <w:numFmt w:val="bullet"/>
      <w:start w:val="1"/>
    </w:lvl>
  </w:abstractNum>
  <w:abstractNum w:abstractNumId="32">
    <w:nsid w:val="5C482A97"/>
    <w:multiLevelType w:val="hybridMultilevel"/>
    <w:lvl w:ilvl="0">
      <w:lvlJc w:val="left"/>
      <w:lvlText w:val="3"/>
      <w:numFmt w:val="bullet"/>
      <w:start w:val="1"/>
    </w:lvl>
  </w:abstractNum>
  <w:abstractNum w:abstractNumId="33">
    <w:nsid w:val="2463B9EA"/>
    <w:multiLevelType w:val="hybridMultilevel"/>
    <w:lvl w:ilvl="0">
      <w:lvlJc w:val="left"/>
      <w:lvlText w:val="9"/>
      <w:numFmt w:val="bullet"/>
      <w:start w:val="1"/>
    </w:lvl>
  </w:abstractNum>
  <w:abstractNum w:abstractNumId="34">
    <w:nsid w:val="5E884ADC"/>
    <w:multiLevelType w:val="hybridMultilevel"/>
    <w:lvl w:ilvl="0">
      <w:lvlJc w:val="left"/>
      <w:lvlText w:val="2"/>
      <w:numFmt w:val="bullet"/>
      <w:start w:val="1"/>
    </w:lvl>
  </w:abstractNum>
  <w:abstractNum w:abstractNumId="35">
    <w:nsid w:val="51EAD36B"/>
    <w:multiLevelType w:val="hybridMultilevel"/>
    <w:lvl w:ilvl="0">
      <w:lvlJc w:val="left"/>
      <w:lvlText w:val="2"/>
      <w:numFmt w:val="bullet"/>
      <w:start w:val="1"/>
    </w:lvl>
  </w:abstractNum>
  <w:abstractNum w:abstractNumId="36">
    <w:nsid w:val="2D517796"/>
    <w:multiLevelType w:val="hybridMultilevel"/>
    <w:lvl w:ilvl="0">
      <w:lvlJc w:val="left"/>
      <w:lvlText w:val="2"/>
      <w:numFmt w:val="bullet"/>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Letter"/>
      <w:start w:val="1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2025-02-14T10:30:04Z</dcterms:created>
  <dcterms:modified xsi:type="dcterms:W3CDTF">2025-02-14T10:30:04Z</dcterms:modified>
</cp:coreProperties>
</file>