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nab-20260811.htm"/>
      <w:bookmarkStart w:id="1" w:name="ksanab202608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ANAPTYSBIO,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212" w:type="dxa"/>
        <w:jc w:val="left"/>
        <w:tblInd w:w="0" w:type="dxa"/>
        <w:tblLayout w:type="fixed"/>
        <w:tblCellMar>
          <w:top w:w="28" w:type="dxa"/>
          <w:left w:w="28" w:type="dxa"/>
          <w:bottom w:w="28" w:type="dxa"/>
          <w:right w:w="28" w:type="dxa"/>
        </w:tblCellMar>
      </w:tblPr>
      <w:tblGrid>
        <w:gridCol w:w="1071"/>
        <w:gridCol w:w="977"/>
        <w:gridCol w:w="982"/>
        <w:gridCol w:w="1846"/>
        <w:gridCol w:w="1336"/>
      </w:tblGrid>
      <w:tr>
        <w:trPr/>
        <w:tc>
          <w:tcPr>
            <w:tcW w:w="107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001-37985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20-3828755</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10770 Wateridge Circle, Suite 210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362-6295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35" w:type="dxa"/>
        <w:jc w:val="left"/>
        <w:tblInd w:w="0" w:type="dxa"/>
        <w:tblLayout w:type="fixed"/>
        <w:tblCellMar>
          <w:top w:w="28" w:type="dxa"/>
          <w:left w:w="28" w:type="dxa"/>
          <w:bottom w:w="28" w:type="dxa"/>
          <w:right w:w="28" w:type="dxa"/>
        </w:tblCellMar>
      </w:tblPr>
      <w:tblGrid>
        <w:gridCol w:w="3571"/>
        <w:gridCol w:w="146"/>
        <w:gridCol w:w="94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both"/>
        <w:rPr>
          <w:rFonts w:ascii="Times New Roman" w:hAnsi="Times New Roman"/>
          <w:sz w:val="20"/>
        </w:rPr>
      </w:pPr>
      <w:r>
        <w:rPr>
          <w:rFonts w:ascii="Times New Roman" w:hAnsi="Times New Roman"/>
          <w:color w:val="000000"/>
          <w:sz w:val="20"/>
        </w:rPr>
        <w:t>On August 11, 2026, AnaptysBio, Inc. (the “</w:t>
      </w:r>
      <w:r>
        <w:rPr>
          <w:rFonts w:ascii="Times New Roman" w:hAnsi="Times New Roman"/>
          <w:b/>
          <w:i/>
          <w:color w:val="000000"/>
          <w:sz w:val="20"/>
        </w:rPr>
        <w:t>Company</w:t>
      </w:r>
      <w:r>
        <w:rPr>
          <w:rFonts w:ascii="Times New Roman" w:hAnsi="Times New Roman"/>
          <w:color w:val="000000"/>
          <w:sz w:val="20"/>
        </w:rPr>
        <w:t>”) held its 2026 Annual Meeting of Stockholders and the following proposals were adopted: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Election of two Class III directors, Hollings Renton and John P. Schmid, each to serve a three-year term, which will expire at the 2029 Annual Meeting of Stockholders or until such time as his respective successor has been duly elected and qualified or until such director’s earlier resignation or removal: </w:t>
      </w:r>
    </w:p>
    <w:tbl>
      <w:tblPr>
        <w:tblW w:w="8063" w:type="dxa"/>
        <w:jc w:val="left"/>
        <w:tblInd w:w="0" w:type="dxa"/>
        <w:tblLayout w:type="fixed"/>
        <w:tblCellMar>
          <w:top w:w="28" w:type="dxa"/>
          <w:left w:w="28" w:type="dxa"/>
          <w:bottom w:w="28" w:type="dxa"/>
          <w:right w:w="28" w:type="dxa"/>
        </w:tblCellMar>
      </w:tblPr>
      <w:tblGrid>
        <w:gridCol w:w="522"/>
        <w:gridCol w:w="472"/>
        <w:gridCol w:w="475"/>
        <w:gridCol w:w="146"/>
        <w:gridCol w:w="146"/>
        <w:gridCol w:w="146"/>
        <w:gridCol w:w="344"/>
        <w:gridCol w:w="344"/>
        <w:gridCol w:w="348"/>
        <w:gridCol w:w="146"/>
        <w:gridCol w:w="146"/>
        <w:gridCol w:w="146"/>
        <w:gridCol w:w="854"/>
        <w:gridCol w:w="854"/>
        <w:gridCol w:w="856"/>
        <w:gridCol w:w="146"/>
        <w:gridCol w:w="146"/>
        <w:gridCol w:w="146"/>
        <w:gridCol w:w="507"/>
        <w:gridCol w:w="507"/>
        <w:gridCol w:w="666"/>
      </w:tblGrid>
      <w:tr>
        <w:trPr/>
        <w:tc>
          <w:tcPr>
            <w:tcW w:w="52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Nominees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For</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56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Withheld / Abstaining</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469"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Hollings Renton</w:t>
            </w:r>
          </w:p>
        </w:tc>
        <w:tc>
          <w:tcPr>
            <w:tcW w:w="43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036"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15,304,522</w:t>
            </w:r>
          </w:p>
        </w:tc>
        <w:tc>
          <w:tcPr>
            <w:tcW w:w="43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2564"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6,613,642</w:t>
            </w:r>
          </w:p>
        </w:tc>
        <w:tc>
          <w:tcPr>
            <w:tcW w:w="43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680"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2,084,465</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P. Schmid</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20,314,669</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1,603,495</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2,084,465</w:t>
            </w:r>
          </w:p>
        </w:tc>
      </w:tr>
    </w:tbl>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0"/>
        </w:rPr>
      </w:pPr>
      <w:r>
        <w:rPr>
          <w:rFonts w:ascii="Times New Roman" w:hAnsi="Times New Roman"/>
          <w:color w:val="000000"/>
          <w:sz w:val="20"/>
        </w:rPr>
        <w:t>Ratification of the appointment of KPMG LLP as the Company’s independent registered public accounting firm for the fiscal year ending June 30, 2027:</w:t>
      </w:r>
    </w:p>
    <w:p>
      <w:pPr>
        <w:pStyle w:val="TextBody"/>
        <w:bidi w:val="0"/>
        <w:jc w:val="both"/>
        <w:rPr/>
      </w:pPr>
      <w:r>
        <w:rPr/>
        <w:t> </w:t>
      </w:r>
    </w:p>
    <w:tbl>
      <w:tblPr>
        <w:tblW w:w="7883" w:type="dxa"/>
        <w:jc w:val="left"/>
        <w:tblInd w:w="0" w:type="dxa"/>
        <w:tblLayout w:type="fixed"/>
        <w:tblCellMar>
          <w:top w:w="28" w:type="dxa"/>
          <w:left w:w="28" w:type="dxa"/>
          <w:bottom w:w="28" w:type="dxa"/>
          <w:right w:w="28" w:type="dxa"/>
        </w:tblCellMar>
      </w:tblPr>
      <w:tblGrid>
        <w:gridCol w:w="372"/>
        <w:gridCol w:w="337"/>
        <w:gridCol w:w="342"/>
        <w:gridCol w:w="146"/>
        <w:gridCol w:w="146"/>
        <w:gridCol w:w="146"/>
        <w:gridCol w:w="454"/>
        <w:gridCol w:w="454"/>
        <w:gridCol w:w="456"/>
        <w:gridCol w:w="146"/>
        <w:gridCol w:w="146"/>
        <w:gridCol w:w="146"/>
        <w:gridCol w:w="824"/>
        <w:gridCol w:w="824"/>
        <w:gridCol w:w="826"/>
        <w:gridCol w:w="146"/>
        <w:gridCol w:w="146"/>
        <w:gridCol w:w="146"/>
        <w:gridCol w:w="507"/>
        <w:gridCol w:w="507"/>
        <w:gridCol w:w="666"/>
      </w:tblGrid>
      <w:tr>
        <w:trPr/>
        <w:tc>
          <w:tcPr>
            <w:tcW w:w="37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372"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For</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Against</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47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Withheld/Abstaining</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051"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22,343,352</w:t>
            </w:r>
          </w:p>
        </w:tc>
        <w:tc>
          <w:tcPr>
            <w:tcW w:w="43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364"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1,640,401</w:t>
            </w:r>
          </w:p>
        </w:tc>
        <w:tc>
          <w:tcPr>
            <w:tcW w:w="43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2474"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18,876</w:t>
            </w:r>
          </w:p>
        </w:tc>
        <w:tc>
          <w:tcPr>
            <w:tcW w:w="43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680"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0"/>
        </w:rPr>
      </w:pPr>
      <w:r>
        <w:rPr>
          <w:rFonts w:ascii="Times New Roman" w:hAnsi="Times New Roman"/>
          <w:color w:val="000000"/>
          <w:sz w:val="20"/>
        </w:rPr>
        <w:t>Non-binding, advisory approval of compensation paid to the Company’s named executive officers:</w:t>
      </w:r>
    </w:p>
    <w:p>
      <w:pPr>
        <w:pStyle w:val="TextBody"/>
        <w:bidi w:val="0"/>
        <w:jc w:val="both"/>
        <w:rPr/>
      </w:pPr>
      <w:r>
        <w:rPr/>
        <w:t> </w:t>
      </w:r>
    </w:p>
    <w:tbl>
      <w:tblPr>
        <w:tblW w:w="7883" w:type="dxa"/>
        <w:jc w:val="left"/>
        <w:tblInd w:w="0" w:type="dxa"/>
        <w:tblLayout w:type="fixed"/>
        <w:tblCellMar>
          <w:top w:w="28" w:type="dxa"/>
          <w:left w:w="28" w:type="dxa"/>
          <w:bottom w:w="28" w:type="dxa"/>
          <w:right w:w="28" w:type="dxa"/>
        </w:tblCellMar>
      </w:tblPr>
      <w:tblGrid>
        <w:gridCol w:w="372"/>
        <w:gridCol w:w="337"/>
        <w:gridCol w:w="342"/>
        <w:gridCol w:w="146"/>
        <w:gridCol w:w="146"/>
        <w:gridCol w:w="146"/>
        <w:gridCol w:w="454"/>
        <w:gridCol w:w="454"/>
        <w:gridCol w:w="456"/>
        <w:gridCol w:w="146"/>
        <w:gridCol w:w="146"/>
        <w:gridCol w:w="146"/>
        <w:gridCol w:w="824"/>
        <w:gridCol w:w="824"/>
        <w:gridCol w:w="826"/>
        <w:gridCol w:w="146"/>
        <w:gridCol w:w="146"/>
        <w:gridCol w:w="146"/>
        <w:gridCol w:w="507"/>
        <w:gridCol w:w="507"/>
        <w:gridCol w:w="666"/>
      </w:tblGrid>
      <w:tr>
        <w:trPr/>
        <w:tc>
          <w:tcPr>
            <w:tcW w:w="37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372"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For</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Against</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47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Withheld/Abstaining</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051"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21,274,791</w:t>
            </w:r>
          </w:p>
        </w:tc>
        <w:tc>
          <w:tcPr>
            <w:tcW w:w="43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364"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609,979</w:t>
            </w:r>
          </w:p>
        </w:tc>
        <w:tc>
          <w:tcPr>
            <w:tcW w:w="43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2474"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33,394</w:t>
            </w:r>
          </w:p>
        </w:tc>
        <w:tc>
          <w:tcPr>
            <w:tcW w:w="43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680"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2,084,465</w:t>
            </w:r>
          </w:p>
        </w:tc>
      </w:tr>
    </w:tbl>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0"/>
        </w:rPr>
      </w:pPr>
      <w:r>
        <w:rPr>
          <w:rFonts w:ascii="Times New Roman" w:hAnsi="Times New Roman"/>
          <w:color w:val="000000"/>
          <w:sz w:val="20"/>
        </w:rPr>
        <w:t>Approval of the amendment to the Company’s 2017 Equity Incentive Plan:</w:t>
      </w:r>
    </w:p>
    <w:p>
      <w:pPr>
        <w:pStyle w:val="TextBody"/>
        <w:bidi w:val="0"/>
        <w:jc w:val="both"/>
        <w:rPr/>
      </w:pPr>
      <w:r>
        <w:rPr/>
        <w:t> </w:t>
      </w:r>
    </w:p>
    <w:tbl>
      <w:tblPr>
        <w:tblW w:w="7883" w:type="dxa"/>
        <w:jc w:val="left"/>
        <w:tblInd w:w="0" w:type="dxa"/>
        <w:tblLayout w:type="fixed"/>
        <w:tblCellMar>
          <w:top w:w="28" w:type="dxa"/>
          <w:left w:w="28" w:type="dxa"/>
          <w:bottom w:w="28" w:type="dxa"/>
          <w:right w:w="28" w:type="dxa"/>
        </w:tblCellMar>
      </w:tblPr>
      <w:tblGrid>
        <w:gridCol w:w="372"/>
        <w:gridCol w:w="337"/>
        <w:gridCol w:w="342"/>
        <w:gridCol w:w="146"/>
        <w:gridCol w:w="146"/>
        <w:gridCol w:w="146"/>
        <w:gridCol w:w="454"/>
        <w:gridCol w:w="454"/>
        <w:gridCol w:w="456"/>
        <w:gridCol w:w="146"/>
        <w:gridCol w:w="146"/>
        <w:gridCol w:w="146"/>
        <w:gridCol w:w="824"/>
        <w:gridCol w:w="824"/>
        <w:gridCol w:w="826"/>
        <w:gridCol w:w="146"/>
        <w:gridCol w:w="146"/>
        <w:gridCol w:w="146"/>
        <w:gridCol w:w="507"/>
        <w:gridCol w:w="507"/>
        <w:gridCol w:w="666"/>
      </w:tblGrid>
      <w:tr>
        <w:trPr/>
        <w:tc>
          <w:tcPr>
            <w:tcW w:w="37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372"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For</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Against</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47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Withheld/Abstaining</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051"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15,563,882</w:t>
            </w:r>
          </w:p>
        </w:tc>
        <w:tc>
          <w:tcPr>
            <w:tcW w:w="43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364"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6,332,813</w:t>
            </w:r>
          </w:p>
        </w:tc>
        <w:tc>
          <w:tcPr>
            <w:tcW w:w="43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2474"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21,469</w:t>
            </w:r>
          </w:p>
        </w:tc>
        <w:tc>
          <w:tcPr>
            <w:tcW w:w="43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680" w:type="dxa"/>
            <w:gridSpan w:val="3"/>
            <w:tcBorders>
              <w:top w:val="double" w:sz="6" w:space="0" w:color="000000"/>
            </w:tcBorders>
            <w:shd w:fill="CCEEFF" w:val="clear"/>
            <w:tcMar>
              <w:top w:w="29"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2,084,465</w:t>
            </w:r>
          </w:p>
        </w:tc>
      </w:tr>
    </w:tbl>
    <w:p>
      <w:pPr>
        <w:pStyle w:val="Heading2"/>
        <w:bidi w:val="0"/>
        <w:spacing w:before="48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both"/>
        <w:rPr>
          <w:rFonts w:ascii="Times New Roman" w:hAnsi="Times New Roman"/>
          <w:color w:val="000000"/>
          <w:sz w:val="20"/>
        </w:rPr>
      </w:pPr>
      <w:r>
        <w:rPr>
          <w:rFonts w:ascii="Times New Roman" w:hAnsi="Times New Roman"/>
          <w:color w:val="000000"/>
          <w:sz w:val="20"/>
        </w:rPr>
        <w:t>(d) Exhibits.</w:t>
      </w:r>
    </w:p>
    <w:tbl>
      <w:tblPr>
        <w:tblW w:w="9571" w:type="dxa"/>
        <w:jc w:val="left"/>
        <w:tblInd w:w="0" w:type="dxa"/>
        <w:tblLayout w:type="fixed"/>
        <w:tblCellMar>
          <w:top w:w="28" w:type="dxa"/>
          <w:left w:w="28" w:type="dxa"/>
          <w:bottom w:w="28" w:type="dxa"/>
          <w:right w:w="28" w:type="dxa"/>
        </w:tblCellMar>
      </w:tblPr>
      <w:tblGrid>
        <w:gridCol w:w="170"/>
        <w:gridCol w:w="155"/>
        <w:gridCol w:w="156"/>
        <w:gridCol w:w="2740"/>
        <w:gridCol w:w="2740"/>
        <w:gridCol w:w="3610"/>
      </w:tblGrid>
      <w:tr>
        <w:trPr/>
        <w:tc>
          <w:tcPr>
            <w:tcW w:w="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610" w:type="dxa"/>
            <w:tcBorders/>
            <w:vAlign w:val="center"/>
          </w:tcPr>
          <w:p>
            <w:pPr>
              <w:pStyle w:val="TableContents"/>
              <w:bidi w:val="0"/>
              <w:spacing w:before="0" w:after="283"/>
              <w:jc w:val="left"/>
              <w:rPr>
                <w:sz w:val="4"/>
                <w:szCs w:val="4"/>
              </w:rPr>
            </w:pPr>
            <w:r>
              <w:rPr>
                <w:sz w:val="4"/>
                <w:szCs w:val="4"/>
              </w:rPr>
            </w:r>
          </w:p>
        </w:tc>
      </w:tr>
      <w:tr>
        <w:trPr/>
        <w:tc>
          <w:tcPr>
            <w:tcW w:w="170"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0" w:type="dxa"/>
            <w:tcBorders/>
            <w:tcMar>
              <w:top w:w="0" w:type="dxa"/>
              <w:left w:w="0" w:type="dxa"/>
              <w:bottom w:w="0" w:type="dxa"/>
              <w:right w:w="0" w:type="dxa"/>
            </w:tcMar>
            <w:vAlign w:val="center"/>
          </w:tcPr>
          <w:p>
            <w:pPr>
              <w:pStyle w:val="TableContents"/>
              <w:bidi w:val="0"/>
              <w:spacing w:before="0" w:after="283"/>
              <w:jc w:val="left"/>
              <w:rPr/>
            </w:pPr>
            <w:r>
              <w:rPr/>
              <w:t> </w:t>
            </w:r>
          </w:p>
        </w:tc>
        <w:tc>
          <w:tcPr>
            <w:tcW w:w="2740" w:type="dxa"/>
            <w:tcBorders/>
            <w:tcMar>
              <w:top w:w="0" w:type="dxa"/>
              <w:left w:w="0" w:type="dxa"/>
              <w:bottom w:w="0" w:type="dxa"/>
              <w:right w:w="0" w:type="dxa"/>
            </w:tcMar>
            <w:vAlign w:val="center"/>
          </w:tcPr>
          <w:p>
            <w:pPr>
              <w:pStyle w:val="TableContents"/>
              <w:bidi w:val="0"/>
              <w:spacing w:before="0" w:after="283"/>
              <w:jc w:val="left"/>
              <w:rPr/>
            </w:pPr>
            <w:r>
              <w:rPr/>
              <w:t> </w:t>
            </w:r>
          </w:p>
        </w:tc>
        <w:tc>
          <w:tcPr>
            <w:tcW w:w="36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090" w:type="dxa"/>
            <w:gridSpan w:val="3"/>
            <w:tcBorders/>
            <w:tcMar>
              <w:top w:w="0" w:type="dxa"/>
              <w:left w:w="0" w:type="dxa"/>
              <w:bottom w:w="0" w:type="dxa"/>
              <w:right w:w="0" w:type="dxa"/>
            </w:tcMar>
            <w:vAlign w:val="center"/>
          </w:tcPr>
          <w:p>
            <w:pPr>
              <w:pStyle w:val="TableContents"/>
              <w:bidi w:val="0"/>
              <w:spacing w:before="0" w:after="283"/>
              <w:jc w:val="left"/>
              <w:rPr/>
            </w:pPr>
            <w:hyperlink w:anchor="anab-ex10_1.htm">
              <w:r>
                <w:rPr>
                  <w:rStyle w:val="InternetLink"/>
                  <w:rFonts w:ascii="Times New Roman" w:hAnsi="Times New Roman"/>
                  <w:color w:val="0000FF"/>
                  <w:sz w:val="20"/>
                  <w:u w:val="single"/>
                </w:rPr>
                <w:t>Amendment No. 1 to AnaptysBio, Inc. Amended and Restated 2017 Equity Incentive Plan.</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09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XBRL tags are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4789" w:type="dxa"/>
        <w:jc w:val="left"/>
        <w:tblInd w:w="0" w:type="dxa"/>
        <w:tblLayout w:type="fixed"/>
        <w:tblCellMar>
          <w:top w:w="28" w:type="dxa"/>
          <w:left w:w="28" w:type="dxa"/>
          <w:bottom w:w="28" w:type="dxa"/>
          <w:right w:w="28" w:type="dxa"/>
        </w:tblCellMar>
      </w:tblPr>
      <w:tblGrid>
        <w:gridCol w:w="556"/>
        <w:gridCol w:w="1456"/>
        <w:gridCol w:w="451"/>
        <w:gridCol w:w="232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ANAPTYSBIO,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Christopher M. Murphy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Christopher M. Murphy</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anab-ex10_1.htm"/>
      <w:bookmarkStart w:id="3" w:name="ksanabex10_1"/>
      <w:bookmarkEnd w:id="2"/>
      <w:bookmarkEnd w:id="3"/>
      <w:r>
        <w:rPr>
          <w:rFonts w:ascii="Times New Roman" w:hAnsi="Times New Roman"/>
          <w:b/>
          <w:color w:val="000000"/>
          <w:sz w:val="20"/>
        </w:rPr>
        <w:t>Exhibit 10.1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AMENDMENT NO. 1</w:t>
      </w:r>
    </w:p>
    <w:p>
      <w:pPr>
        <w:pStyle w:val="TextBody"/>
        <w:bidi w:val="0"/>
        <w:jc w:val="center"/>
        <w:rPr>
          <w:rFonts w:ascii="Times New Roman" w:hAnsi="Times New Roman"/>
          <w:sz w:val="20"/>
        </w:rPr>
      </w:pPr>
      <w:r>
        <w:rPr>
          <w:rFonts w:ascii="Times New Roman" w:hAnsi="Times New Roman"/>
          <w:b/>
          <w:color w:val="000000"/>
          <w:sz w:val="20"/>
        </w:rPr>
        <w:t>TO THE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ANAPTYSBIO, INC.</w:t>
      </w:r>
    </w:p>
    <w:p>
      <w:pPr>
        <w:pStyle w:val="TextBody"/>
        <w:bidi w:val="0"/>
        <w:jc w:val="center"/>
        <w:rPr>
          <w:rFonts w:ascii="Times New Roman" w:hAnsi="Times New Roman"/>
          <w:b/>
          <w:color w:val="000000"/>
          <w:sz w:val="20"/>
        </w:rPr>
      </w:pPr>
      <w:r>
        <w:rPr>
          <w:rFonts w:ascii="Times New Roman" w:hAnsi="Times New Roman"/>
          <w:b/>
          <w:color w:val="000000"/>
          <w:sz w:val="20"/>
        </w:rPr>
        <w:t>AMENDED AND RESTATED 2017 EQUITY INCENTIVE PLAN</w:t>
      </w:r>
    </w:p>
    <w:p>
      <w:pPr>
        <w:pStyle w:val="TextBody"/>
        <w:bidi w:val="0"/>
        <w:jc w:val="left"/>
        <w:rPr/>
      </w:pPr>
      <w:r>
        <w:rPr/>
        <w:t>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August 11, 2026</w:t>
      </w:r>
    </w:p>
    <w:p>
      <w:pPr>
        <w:pStyle w:val="TextBody"/>
        <w:bidi w:val="0"/>
        <w:spacing w:before="0" w:after="240"/>
        <w:jc w:val="both"/>
        <w:rPr>
          <w:rFonts w:ascii="Times New Roman" w:hAnsi="Times New Roman"/>
          <w:sz w:val="20"/>
        </w:rPr>
      </w:pPr>
      <w:r>
        <w:rPr>
          <w:rFonts w:ascii="Times New Roman" w:hAnsi="Times New Roman"/>
          <w:color w:val="000000"/>
          <w:sz w:val="20"/>
        </w:rPr>
        <w:t>This Amendment No. 1 (this “</w:t>
      </w:r>
      <w:r>
        <w:rPr>
          <w:rFonts w:ascii="Times New Roman" w:hAnsi="Times New Roman"/>
          <w:b/>
          <w:i/>
          <w:color w:val="000000"/>
          <w:sz w:val="20"/>
        </w:rPr>
        <w:t>Amendment</w:t>
      </w:r>
      <w:r>
        <w:rPr>
          <w:rFonts w:ascii="Times New Roman" w:hAnsi="Times New Roman"/>
          <w:color w:val="000000"/>
          <w:sz w:val="20"/>
        </w:rPr>
        <w:t>”) to the AnaptysBio, Inc. Amended and Restated 2017 Equity Incentive Plan (the “</w:t>
      </w:r>
      <w:r>
        <w:rPr>
          <w:rFonts w:ascii="Times New Roman" w:hAnsi="Times New Roman"/>
          <w:b/>
          <w:i/>
          <w:color w:val="000000"/>
          <w:sz w:val="20"/>
        </w:rPr>
        <w:t>Plan</w:t>
      </w:r>
      <w:r>
        <w:rPr>
          <w:rFonts w:ascii="Times New Roman" w:hAnsi="Times New Roman"/>
          <w:color w:val="000000"/>
          <w:sz w:val="20"/>
        </w:rPr>
        <w:t>”) was approved and adopted by the Board of Directors (the “</w:t>
      </w:r>
      <w:r>
        <w:rPr>
          <w:rFonts w:ascii="Times New Roman" w:hAnsi="Times New Roman"/>
          <w:b/>
          <w:i/>
          <w:color w:val="000000"/>
          <w:sz w:val="20"/>
        </w:rPr>
        <w:t>Board</w:t>
      </w:r>
      <w:r>
        <w:rPr>
          <w:rFonts w:ascii="Times New Roman" w:hAnsi="Times New Roman"/>
          <w:color w:val="000000"/>
          <w:sz w:val="20"/>
        </w:rPr>
        <w:t>”) of AnaptysBio, Inc. (the “</w:t>
      </w:r>
      <w:r>
        <w:rPr>
          <w:rFonts w:ascii="Times New Roman" w:hAnsi="Times New Roman"/>
          <w:b/>
          <w:i/>
          <w:color w:val="000000"/>
          <w:sz w:val="20"/>
        </w:rPr>
        <w:t>Company</w:t>
      </w:r>
      <w:r>
        <w:rPr>
          <w:rFonts w:ascii="Times New Roman" w:hAnsi="Times New Roman"/>
          <w:color w:val="000000"/>
          <w:sz w:val="20"/>
        </w:rPr>
        <w:t>”) on the date first written above, and will be effective as of the date on which this Amendment is approved by the stockholders of the Company (the “</w:t>
      </w:r>
      <w:r>
        <w:rPr>
          <w:rFonts w:ascii="Times New Roman" w:hAnsi="Times New Roman"/>
          <w:b/>
          <w:i/>
          <w:color w:val="000000"/>
          <w:sz w:val="20"/>
        </w:rPr>
        <w:t>Amendment Effective Date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Company maintains the Plan, and pursuant to Section 24 of the Plan, the Board is authorized to amend the Plan;</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Board desires to amend the Plan to (i) extend the term of the Plan for ten (10) years from the date this Amendment is approved by the Board and (ii) update the yearly non-employee director compensation limitations; and</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xml:space="preserve">, following approval by the Board, this Amendment will become effective as of and contingent upon approval by the Company’s stockholders and if, for any reason, the Company’s stockholders fail to approve this Amendment, this Amendment shall be void </w:t>
      </w:r>
      <w:r>
        <w:rPr>
          <w:rFonts w:ascii="Times New Roman" w:hAnsi="Times New Roman"/>
          <w:i/>
          <w:color w:val="000000"/>
          <w:sz w:val="20"/>
        </w:rPr>
        <w:t>ab initio</w:t>
      </w:r>
      <w:r>
        <w:rPr>
          <w:rFonts w:ascii="Times New Roman" w:hAnsi="Times New Roman"/>
          <w:color w:val="000000"/>
          <w:sz w:val="20"/>
        </w:rPr>
        <w:t xml:space="preserve"> and the existing Plan shall continue in full force and effect.</w:t>
      </w:r>
    </w:p>
    <w:p>
      <w:pPr>
        <w:pStyle w:val="TextBody"/>
        <w:bidi w:val="0"/>
        <w:spacing w:before="0" w:after="240"/>
        <w:jc w:val="both"/>
        <w:rPr>
          <w:rFonts w:ascii="Times New Roman" w:hAnsi="Times New Roman"/>
          <w:sz w:val="20"/>
        </w:rPr>
      </w:pPr>
      <w:r>
        <w:rPr>
          <w:rFonts w:ascii="Times New Roman" w:hAnsi="Times New Roman"/>
          <w:b/>
          <w:color w:val="000000"/>
          <w:sz w:val="20"/>
        </w:rPr>
        <w:t>NOW</w:t>
      </w:r>
      <w:r>
        <w:rPr>
          <w:rFonts w:ascii="Times New Roman" w:hAnsi="Times New Roman"/>
          <w:color w:val="000000"/>
          <w:sz w:val="20"/>
        </w:rPr>
        <w:t xml:space="preserve">, </w:t>
      </w:r>
      <w:r>
        <w:rPr>
          <w:rFonts w:ascii="Times New Roman" w:hAnsi="Times New Roman"/>
          <w:b/>
          <w:color w:val="000000"/>
          <w:sz w:val="20"/>
        </w:rPr>
        <w:t>THEREFORE</w:t>
      </w:r>
      <w:r>
        <w:rPr>
          <w:rFonts w:ascii="Times New Roman" w:hAnsi="Times New Roman"/>
          <w:color w:val="000000"/>
          <w:sz w:val="20"/>
        </w:rPr>
        <w:t>, the Plan is hereby amended as follows, subject to and effective upon the Amendment Effective Date: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pPr>
      <w:r>
        <w:rPr>
          <w:rFonts w:ascii="Times New Roman" w:hAnsi="Times New Roman"/>
          <w:b/>
          <w:color w:val="000000"/>
          <w:sz w:val="20"/>
        </w:rPr>
        <w:t>Capitalized Terms</w:t>
      </w:r>
      <w:r>
        <w:rPr>
          <w:rFonts w:ascii="Times New Roman" w:hAnsi="Times New Roman"/>
          <w:color w:val="000000"/>
          <w:sz w:val="20"/>
        </w:rPr>
        <w:t>. Capitalized terms that are not defined in this Amendment shall have the meanings ascribed thereto in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pPr>
      <w:r>
        <w:rPr>
          <w:rFonts w:ascii="Times New Roman" w:hAnsi="Times New Roman"/>
          <w:b/>
          <w:color w:val="000000"/>
          <w:sz w:val="20"/>
        </w:rPr>
        <w:t>Amendments to the Plan</w:t>
      </w:r>
      <w:r>
        <w:rPr>
          <w:rFonts w:ascii="Times New Roman" w:hAnsi="Times New Roman"/>
          <w:color w:val="000000"/>
          <w:sz w:val="20"/>
        </w:rPr>
        <w:t>.</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0" w:after="160"/>
        <w:jc w:val="left"/>
        <w:rPr/>
      </w:pPr>
      <w:r>
        <w:rPr>
          <w:rFonts w:ascii="Times New Roman" w:hAnsi="Times New Roman"/>
          <w:b/>
          <w:color w:val="000000"/>
          <w:sz w:val="20"/>
        </w:rPr>
        <w:t xml:space="preserve">Section 23 (Term of Plan/Governing Law) </w:t>
      </w:r>
      <w:r>
        <w:rPr>
          <w:rFonts w:ascii="Times New Roman" w:hAnsi="Times New Roman"/>
          <w:color w:val="000000"/>
          <w:sz w:val="20"/>
        </w:rPr>
        <w:t>of the Plan is hereby amended by deleting the second sentence thereof in its entirety and replacing it with the following:</w:t>
      </w:r>
    </w:p>
    <w:p>
      <w:pPr>
        <w:pStyle w:val="TextBody"/>
        <w:bidi w:val="0"/>
        <w:spacing w:before="0" w:after="240"/>
        <w:jc w:val="left"/>
        <w:rPr>
          <w:color w:val="000000"/>
        </w:rPr>
      </w:pPr>
      <w:r>
        <w:rPr>
          <w:color w:val="000000"/>
        </w:rPr>
        <w:t>“</w:t>
      </w:r>
      <w:r>
        <w:rPr>
          <w:rFonts w:ascii="Times New Roman" w:hAnsi="Times New Roman"/>
          <w:color w:val="000000"/>
          <w:sz w:val="20"/>
        </w:rPr>
        <w:t>Unless earlier terminated as provided herein, this Plan will terminate ten (10) years from the date this Amendment is approved by the Board.”</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2.2.</w:t>
      </w:r>
    </w:p>
    <w:p>
      <w:pPr>
        <w:pStyle w:val="TextBody"/>
        <w:bidi w:val="0"/>
        <w:spacing w:before="0" w:after="160"/>
        <w:jc w:val="left"/>
        <w:rPr/>
      </w:pPr>
      <w:r>
        <w:rPr>
          <w:rFonts w:ascii="Times New Roman" w:hAnsi="Times New Roman"/>
          <w:b/>
          <w:color w:val="000000"/>
          <w:sz w:val="20"/>
        </w:rPr>
        <w:t xml:space="preserve">Section 12 (Grants to Non-Employee Directors) </w:t>
      </w:r>
      <w:r>
        <w:rPr>
          <w:rFonts w:ascii="Times New Roman" w:hAnsi="Times New Roman"/>
          <w:color w:val="000000"/>
          <w:sz w:val="20"/>
        </w:rPr>
        <w:t>of the Plan is hereby amended by deleting the last sentence of the first paragraph of Section 12 in its entirety and adding the following new Section 12.4 immediately following Section 12.3:</w:t>
      </w:r>
    </w:p>
    <w:p>
      <w:pPr>
        <w:pStyle w:val="TextBody"/>
        <w:bidi w:val="0"/>
        <w:spacing w:before="0" w:after="240"/>
        <w:jc w:val="both"/>
        <w:rPr/>
      </w:pPr>
      <w:r>
        <w:rPr>
          <w:color w:val="000000"/>
        </w:rPr>
        <w:t>“</w:t>
      </w:r>
      <w:r>
        <w:rPr>
          <w:rFonts w:ascii="Times New Roman" w:hAnsi="Times New Roman"/>
          <w:b/>
          <w:color w:val="000000"/>
          <w:sz w:val="20"/>
        </w:rPr>
        <w:t>12.4</w:t>
      </w:r>
      <w:r>
        <w:rPr>
          <w:rFonts w:ascii="Times New Roman" w:hAnsi="Times New Roman"/>
          <w:color w:val="000000"/>
          <w:sz w:val="20"/>
        </w:rPr>
        <w:t xml:space="preserve">. </w:t>
      </w:r>
      <w:r>
        <w:rPr>
          <w:rFonts w:ascii="Times New Roman" w:hAnsi="Times New Roman"/>
          <w:color w:val="000000"/>
          <w:sz w:val="20"/>
          <w:u w:val="single"/>
        </w:rPr>
        <w:t>Fiscal Year Compensation Limitation</w:t>
      </w:r>
      <w:r>
        <w:rPr>
          <w:rFonts w:ascii="Times New Roman" w:hAnsi="Times New Roman"/>
          <w:color w:val="000000"/>
          <w:sz w:val="20"/>
        </w:rPr>
        <w:t>. Commencing from July 1, 2026, no Non-Employee Director may receive Awards under the Plan that, when combined with cash compensation received for service as a Non-Employee Director, exceed $1,000,000 in value (as described below) in the fiscal year of his or her initial service as a Non-Employee Director, or $750,000 in value (as described below) in any subsequent fiscal year. The value of Awards for purposes of complying with this maximum will be determined as follows: (a) for Options and SARs, grant date fair value will be calculated using the Black-Scholes valuation methodology on the date of grant of such Option or SAR; and (b) for all other Awards other than Options and SARs,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as determined by the Board or Committee and the aggregate number of Shares subject to the Award. Awards granted, or cash compensation paid, to an individual while he or she was serving in the capacity as an Employee or while he or she was a Consultant but not a Non-Employee Director will not count for purposes of the limitations set forth in this Section 12.4.”</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3.</w:t>
      </w:r>
    </w:p>
    <w:p>
      <w:pPr>
        <w:pStyle w:val="TextBody"/>
        <w:bidi w:val="0"/>
        <w:spacing w:before="0" w:after="240"/>
        <w:jc w:val="both"/>
        <w:rPr/>
      </w:pPr>
      <w:r>
        <w:rPr>
          <w:rFonts w:ascii="Times New Roman" w:hAnsi="Times New Roman"/>
          <w:b/>
          <w:color w:val="000000"/>
          <w:sz w:val="20"/>
        </w:rPr>
        <w:t>Ratification and Confirmation</w:t>
      </w:r>
      <w:r>
        <w:rPr>
          <w:rFonts w:ascii="Times New Roman" w:hAnsi="Times New Roman"/>
          <w:color w:val="000000"/>
          <w:sz w:val="20"/>
        </w:rPr>
        <w:t>. Except as specifically amended by this Amendment, the Plan is hereby ratified and confirmed in all respects and remains valid and in full force and effect.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4.</w:t>
      </w:r>
    </w:p>
    <w:p>
      <w:pPr>
        <w:pStyle w:val="TextBody"/>
        <w:bidi w:val="0"/>
        <w:spacing w:before="0" w:after="240"/>
        <w:jc w:val="both"/>
        <w:rPr/>
      </w:pPr>
      <w:r>
        <w:rPr>
          <w:rFonts w:ascii="Times New Roman" w:hAnsi="Times New Roman"/>
          <w:b/>
          <w:color w:val="000000"/>
          <w:sz w:val="20"/>
        </w:rPr>
        <w:t>Choice of Law</w:t>
      </w:r>
      <w:r>
        <w:rPr>
          <w:rFonts w:ascii="Times New Roman" w:hAnsi="Times New Roman"/>
          <w:color w:val="000000"/>
          <w:sz w:val="20"/>
        </w:rPr>
        <w:t>. This Amendment shall be governed by and construed in accordance with the laws of the State of Delaware, without reference to the principles of conflicts of laws thereof.</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5.</w:t>
      </w:r>
    </w:p>
    <w:p>
      <w:pPr>
        <w:pStyle w:val="TextBody"/>
        <w:bidi w:val="0"/>
        <w:spacing w:before="0" w:after="240"/>
        <w:jc w:val="both"/>
        <w:rPr/>
      </w:pPr>
      <w:r>
        <w:rPr>
          <w:rFonts w:ascii="Times New Roman" w:hAnsi="Times New Roman"/>
          <w:b/>
          <w:color w:val="000000"/>
          <w:sz w:val="20"/>
        </w:rPr>
        <w:t>Headings</w:t>
      </w:r>
      <w:r>
        <w:rPr>
          <w:rFonts w:ascii="Times New Roman" w:hAnsi="Times New Roman"/>
          <w:color w:val="000000"/>
          <w:sz w:val="20"/>
        </w:rPr>
        <w:t>. Section headings are for convenience only and shall not be considered a part of this Amendment.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1230</Words>
  <Characters>6547</Characters>
  <CharactersWithSpaces>7821</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