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40" w:before="0" w:after="240"/>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 (Amendment No.)</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21" w:type="dxa"/>
        <w:jc w:val="left"/>
        <w:tblInd w:w="0" w:type="dxa"/>
        <w:tblLayout w:type="fixed"/>
        <w:tblCellMar>
          <w:top w:w="28" w:type="dxa"/>
          <w:left w:w="28" w:type="dxa"/>
          <w:bottom w:w="28" w:type="dxa"/>
          <w:right w:w="28" w:type="dxa"/>
        </w:tblCellMar>
      </w:tblPr>
      <w:tblGrid>
        <w:gridCol w:w="717"/>
        <w:gridCol w:w="630"/>
        <w:gridCol w:w="632"/>
        <w:gridCol w:w="145"/>
        <w:gridCol w:w="145"/>
        <w:gridCol w:w="145"/>
        <w:gridCol w:w="1144"/>
        <w:gridCol w:w="1144"/>
        <w:gridCol w:w="1147"/>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435" w:type="dxa"/>
            <w:gridSpan w:val="3"/>
            <w:tcBorders/>
            <w:tcMar>
              <w:top w:w="0" w:type="dxa"/>
              <w:left w:w="0" w:type="dxa"/>
              <w:bottom w:w="0" w:type="dxa"/>
              <w:right w:w="0" w:type="dxa"/>
            </w:tcMar>
            <w:vAlign w:val="center"/>
          </w:tcPr>
          <w:p>
            <w:pPr>
              <w:pStyle w:val="TableContents"/>
              <w:bidi w:val="0"/>
              <w:spacing w:lineRule="auto" w:line="240" w:before="240" w:after="283"/>
              <w:jc w:val="left"/>
              <w:rPr/>
            </w:pPr>
            <w:r>
              <w:rPr>
                <w:rFonts w:ascii="Wingdings;sans-serif" w:hAnsi="Wingdings;sans-serif"/>
                <w:b w:val="false"/>
                <w:color w:val="000000"/>
                <w:sz w:val="20"/>
              </w:rPr>
              <w:t>x</w:t>
            </w:r>
            <w:r>
              <w:rPr>
                <w:color w:val="000000"/>
              </w:rPr>
              <w:t xml:space="preserve">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§240.14a-12</w:t>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ANAPTYSBIO,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all boxes that apply): </w:t>
      </w:r>
    </w:p>
    <w:tbl>
      <w:tblPr>
        <w:tblW w:w="90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1495425" cy="342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95425" cy="3429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April 29, 2025</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Dear Stockholder: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cordially invited to attend the 2025 Annual Meeting of Stockholders of AnaptysBio, Inc. to be held at AnaptysBio’s corporate office at 10770 Wateridge Circle, Suite 210, San Diego, CA 92121, on Tuesday, June 17, 2025 at 8:00 a.m. (Pacific Time).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29, 2025, we expect to mail to stockholders a Notice of Internet Availability of Proxy Materials containing instructions on how to access our proxy statement for our 2025 Annual Meeting of Stockholders and our annual report on Form 10-K for the year ended December 31, 2024 to stockholders. The Notice of Internet Availability or Proxy Materials also provides instructions on how to vote through the Internet or by telephone and includes instructions on how to receive paper copies of the proxy materials by mail, if desired.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matters to be acted upon at the meeting are described in the accompanying notice of annual meeting and proxy statement.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Your vote is important.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Whether or not you plan to attend the meeting in person, please vote on the Internet or by telephone, or request, sign and return a proxy card to ensure that your shares are represented at the meeting.</w:t>
      </w:r>
    </w:p>
    <w:tbl>
      <w:tblPr>
        <w:tblW w:w="3405" w:type="dxa"/>
        <w:jc w:val="left"/>
        <w:tblInd w:w="0" w:type="dxa"/>
        <w:tblLayout w:type="fixed"/>
        <w:tblCellMar>
          <w:top w:w="28" w:type="dxa"/>
          <w:left w:w="28" w:type="dxa"/>
          <w:bottom w:w="28" w:type="dxa"/>
          <w:right w:w="28" w:type="dxa"/>
        </w:tblCellMar>
      </w:tblPr>
      <w:tblGrid>
        <w:gridCol w:w="1087"/>
        <w:gridCol w:w="955"/>
        <w:gridCol w:w="1363"/>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Sincerely,</w:t>
            </w:r>
          </w:p>
        </w:tc>
      </w:tr>
      <w:tr>
        <w:trPr/>
        <w:tc>
          <w:tcPr>
            <w:tcW w:w="340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95450" cy="5810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95450" cy="581025"/>
                          </a:xfrm>
                          <a:prstGeom prst="rect">
                            <a:avLst/>
                          </a:prstGeom>
                        </pic:spPr>
                      </pic:pic>
                    </a:graphicData>
                  </a:graphic>
                </wp:inline>
              </w:drawing>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Daniel Faga</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Diego, California 92121</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Tuesday, June 17, 2025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To Our Stockholders: </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NOTICE IS HEREBY GIVEN that the 2025 Annual Meeting of Stockholders of AnaptysBio, Inc. will be held at AnaptysBio’s corporate office at 10770 Wateridge Circle, Suite 210, San Diego, California 92121, on Tuesday, June 17, 2025 at 8:00 a.m. (Pacific Time). </w:t>
      </w:r>
    </w:p>
    <w:p>
      <w:pPr>
        <w:pStyle w:val="TextBody"/>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are holding the meeting for the following purposes, which are more fully described in the accompanying proxy statement: </w:t>
      </w:r>
    </w:p>
    <w:p>
      <w:pPr>
        <w:pStyle w:val="TextBody"/>
        <w:bidi w:val="0"/>
        <w:spacing w:lineRule="auto" w:line="288" w:before="0" w:after="120"/>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    To elect three Class II directors, each to serve three-year terms through the third annual meeting of stockholders following this meeting and until a successor has been elected and qualified or until earlier resignation or removal.</w:t>
      </w:r>
    </w:p>
    <w:p>
      <w:pPr>
        <w:pStyle w:val="TextBody"/>
        <w:bidi w:val="0"/>
        <w:spacing w:lineRule="auto" w:line="288" w:before="0" w:after="120"/>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    To ratify the appointment of KPMG LLP as our independent registered public accounting firm for the fiscal year ending December 31, 2025.</w:t>
      </w:r>
    </w:p>
    <w:p>
      <w:pPr>
        <w:pStyle w:val="TextBody"/>
        <w:bidi w:val="0"/>
        <w:spacing w:lineRule="auto" w:line="288" w:before="0" w:after="120"/>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3.    To conduct a non-binding advisory vote on the compensation of our named executive officers as disclosed in the accompanying materials.</w:t>
      </w:r>
    </w:p>
    <w:p>
      <w:pPr>
        <w:pStyle w:val="TextBody"/>
        <w:bidi w:val="0"/>
        <w:spacing w:lineRule="auto" w:line="288" w:before="0" w:after="120"/>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4.    To approve an amendment to our 2017 Equity Incentive Plan.</w:t>
      </w:r>
    </w:p>
    <w:p>
      <w:pPr>
        <w:pStyle w:val="TextBody"/>
        <w:bidi w:val="0"/>
        <w:spacing w:lineRule="auto" w:line="288" w:before="0" w:after="120"/>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5.    To conduct a non-binding advisory vote on the frequency of holding future advisory votes on named executive officer compensation.</w:t>
      </w:r>
    </w:p>
    <w:p>
      <w:pPr>
        <w:pStyle w:val="TextBody"/>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stockholders may be asked to consider and vote upon such other business as may properly come before the meeting or any adjournment or postponement thereof. </w:t>
      </w:r>
    </w:p>
    <w:p>
      <w:pPr>
        <w:pStyle w:val="TextBody"/>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Only stockholders of record at the close of business on April 21, 2025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 </w:t>
      </w:r>
    </w:p>
    <w:p>
      <w:pPr>
        <w:pStyle w:val="TextBody"/>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Your vote as an AnaptysBio, Inc. stockholder is very important. Each share of stock that you own represents one vote. </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 Only stockholders entitled to vote, or their duly authorized representatives, are entitled to attend the meeting. If you intend to attend the meeting in person, you must email info@anaptysbio.com no later than 5:00 p.m. on June 10, 2025 to confirm your attendance.</w:t>
      </w:r>
    </w:p>
    <w:tbl>
      <w:tblPr>
        <w:tblW w:w="3353" w:type="dxa"/>
        <w:jc w:val="left"/>
        <w:tblInd w:w="0" w:type="dxa"/>
        <w:tblLayout w:type="fixed"/>
        <w:tblCellMar>
          <w:top w:w="28" w:type="dxa"/>
          <w:left w:w="28" w:type="dxa"/>
          <w:bottom w:w="28" w:type="dxa"/>
          <w:right w:w="28" w:type="dxa"/>
        </w:tblCellMar>
      </w:tblPr>
      <w:tblGrid>
        <w:gridCol w:w="124"/>
        <w:gridCol w:w="109"/>
        <w:gridCol w:w="109"/>
        <w:gridCol w:w="880"/>
        <w:gridCol w:w="880"/>
        <w:gridCol w:w="1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809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828800" cy="8096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Orwin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bl>
    <w:p>
      <w:pPr>
        <w:pStyle w:val="TextBody"/>
        <w:bidi w:val="0"/>
        <w:spacing w:lineRule="auto" w:line="288" w:before="0" w:after="0"/>
        <w:ind w:left="0" w:right="0" w:firstLine="7"/>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19"/>
        </w:rPr>
      </w:pPr>
      <w:r>
        <w:rPr>
          <w:rFonts w:ascii="Times New Roman;sans-serif" w:hAnsi="Times New Roman;sans-serif"/>
          <w:b/>
          <w:color w:val="000000"/>
          <w:sz w:val="19"/>
        </w:rPr>
        <w:t>Important Notice Regarding the Availability of Proxy Materials for the Annual Meeting of Stockholders to be held on June 17, 2025: The Proxy Statement and our Annual Report on Form 10-K for the fiscal year ended December 31, 2024 are available at http://ir.anaptysbio.com.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FOR 2025 ANNUAL MEETING OF STOCKHOLDERS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5"/>
        <w:gridCol w:w="3109"/>
        <w:gridCol w:w="3118"/>
        <w:gridCol w:w="109"/>
        <w:gridCol w:w="109"/>
        <w:gridCol w:w="155"/>
      </w:tblGrid>
      <w:tr>
        <w:trPr/>
        <w:tc>
          <w:tcPr>
            <w:tcW w:w="3605"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3">
              <w:r>
                <w:rPr>
                  <w:rStyle w:val="InternetLink"/>
                  <w:rFonts w:ascii="Times New Roman;sans-serif" w:hAnsi="Times New Roman;sans-serif"/>
                  <w:b w:val="false"/>
                  <w:color w:val="0000FF"/>
                  <w:sz w:val="20"/>
                  <w:u w:val="single"/>
                </w:rPr>
                <w:t>INFORMATION ABOUT SOLICITATION AND VOTING</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3">
              <w:r>
                <w:rPr>
                  <w:rStyle w:val="InternetLink"/>
                  <w:rFonts w:ascii="Times New Roman;sans-serif" w:hAnsi="Times New Roman;sans-serif"/>
                  <w:b w:val="false"/>
                  <w:color w:val="0000FF"/>
                  <w:sz w:val="20"/>
                  <w:u w:val="singl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6">
              <w:r>
                <w:rPr>
                  <w:rStyle w:val="InternetLink"/>
                  <w:rFonts w:ascii="Times New Roman;sans-serif" w:hAnsi="Times New Roman;sans-serif"/>
                  <w:b w:val="false"/>
                  <w:color w:val="0000FF"/>
                  <w:sz w:val="20"/>
                  <w:u w:val="single"/>
                </w:rPr>
                <w:t>INTERNET AVAILABILITY OF PROXY MATERIALS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6">
              <w:r>
                <w:rPr>
                  <w:rStyle w:val="InternetLink"/>
                  <w:rFonts w:ascii="Times New Roman;sans-serif" w:hAnsi="Times New Roman;sans-serif"/>
                  <w:b w:val="false"/>
                  <w:color w:val="0000FF"/>
                  <w:sz w:val="20"/>
                  <w:u w:val="singl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9">
              <w:r>
                <w:rPr>
                  <w:rStyle w:val="InternetLink"/>
                  <w:rFonts w:ascii="Times New Roman;sans-serif" w:hAnsi="Times New Roman;sans-serif"/>
                  <w:b w:val="false"/>
                  <w:color w:val="0000FF"/>
                  <w:sz w:val="20"/>
                  <w:u w:val="single"/>
                </w:rPr>
                <w:t>GENERAL INFORMATION ABOUT THE MEETING</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19">
              <w:r>
                <w:rPr>
                  <w:rStyle w:val="InternetLink"/>
                  <w:rFonts w:ascii="Times New Roman;sans-serif" w:hAnsi="Times New Roman;sans-serif"/>
                  <w:b w:val="false"/>
                  <w:color w:val="0000FF"/>
                  <w:sz w:val="20"/>
                  <w:u w:val="singl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2">
              <w:r>
                <w:rPr>
                  <w:rStyle w:val="InternetLink"/>
                  <w:rFonts w:ascii="Times New Roman;sans-serif" w:hAnsi="Times New Roman;sans-serif"/>
                  <w:b w:val="false"/>
                  <w:color w:val="0000FF"/>
                  <w:sz w:val="20"/>
                  <w:u w:val="single"/>
                </w:rPr>
                <w:t>GENERAL PROXY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2">
              <w:r>
                <w:rPr>
                  <w:rStyle w:val="InternetLink"/>
                  <w:rFonts w:ascii="Times New Roman;sans-serif" w:hAnsi="Times New Roman;sans-serif"/>
                  <w:b w:val="false"/>
                  <w:color w:val="0000FF"/>
                  <w:sz w:val="20"/>
                  <w:u w:val="singl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5">
              <w:r>
                <w:rPr>
                  <w:rStyle w:val="InternetLink"/>
                  <w:rFonts w:ascii="Times New Roman;sans-serif" w:hAnsi="Times New Roman;sans-serif"/>
                  <w:b w:val="false"/>
                  <w:color w:val="0000FF"/>
                  <w:sz w:val="20"/>
                  <w:u w:val="single"/>
                </w:rPr>
                <w:t>CORPORATE GOVERNANCE STANDARDS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5">
              <w:r>
                <w:rPr>
                  <w:rStyle w:val="InternetLink"/>
                  <w:rFonts w:ascii="Times New Roman;sans-serif" w:hAnsi="Times New Roman;sans-serif"/>
                  <w:b w:val="false"/>
                  <w:color w:val="0000FF"/>
                  <w:sz w:val="20"/>
                  <w:u w:val="single"/>
                </w:rPr>
                <w:t>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8">
              <w:r>
                <w:rPr>
                  <w:rStyle w:val="InternetLink"/>
                  <w:rFonts w:ascii="Times New Roman;sans-serif" w:hAnsi="Times New Roman;sans-serif"/>
                  <w:b w:val="false"/>
                  <w:color w:val="0000FF"/>
                  <w:sz w:val="20"/>
                  <w:u w:val="single"/>
                </w:rPr>
                <w:t>PROPOSAL NO. 1 ELECTION OF CLASS II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28">
              <w:r>
                <w:rPr>
                  <w:rStyle w:val="InternetLink"/>
                  <w:rFonts w:ascii="Times New Roman;sans-serif" w:hAnsi="Times New Roman;sans-serif"/>
                  <w:b w:val="false"/>
                  <w:color w:val="0000FF"/>
                  <w:sz w:val="20"/>
                  <w:u w:val="single"/>
                </w:rPr>
                <w:t>10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1">
              <w:r>
                <w:rPr>
                  <w:rStyle w:val="InternetLink"/>
                  <w:rFonts w:ascii="Times New Roman;sans-serif" w:hAnsi="Times New Roman;sans-serif"/>
                  <w:b w:val="false"/>
                  <w:color w:val="0000FF"/>
                  <w:sz w:val="20"/>
                  <w:u w:val="single"/>
                </w:rPr>
                <w:t>PROPOSAL NO. 2 RATIFICATION OF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1">
              <w:r>
                <w:rPr>
                  <w:rStyle w:val="InternetLink"/>
                  <w:rFonts w:ascii="Times New Roman;sans-serif" w:hAnsi="Times New Roman;sans-serif"/>
                  <w:b w:val="false"/>
                  <w:color w:val="0000FF"/>
                  <w:sz w:val="20"/>
                  <w:u w:val="single"/>
                </w:rPr>
                <w:t>15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4">
              <w:r>
                <w:rPr>
                  <w:rStyle w:val="InternetLink"/>
                  <w:rFonts w:ascii="Times New Roman;sans-serif" w:hAnsi="Times New Roman;sans-serif"/>
                  <w:b w:val="false"/>
                  <w:color w:val="0000FF"/>
                  <w:sz w:val="20"/>
                  <w:u w:val="single"/>
                </w:rPr>
                <w:t>REPORT OF THE AUDIT COMMITTEE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4">
              <w:r>
                <w:rPr>
                  <w:rStyle w:val="InternetLink"/>
                  <w:rFonts w:ascii="Times New Roman;sans-serif" w:hAnsi="Times New Roman;sans-serif"/>
                  <w:b w:val="false"/>
                  <w:color w:val="0000FF"/>
                  <w:sz w:val="20"/>
                  <w:u w:val="single"/>
                </w:rPr>
                <w:t>16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7">
              <w:r>
                <w:rPr>
                  <w:rStyle w:val="InternetLink"/>
                  <w:rFonts w:ascii="Times New Roman;sans-serif" w:hAnsi="Times New Roman;sans-serif"/>
                  <w:b w:val="false"/>
                  <w:color w:val="0000FF"/>
                  <w:sz w:val="20"/>
                  <w:u w:val="single"/>
                </w:rPr>
                <w:t>PROPOSAL NO. 3 NON-BINDING ADVISORY VOTE ON COMPENSATION OF OUR NAMED 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37">
              <w:r>
                <w:rPr>
                  <w:rStyle w:val="InternetLink"/>
                  <w:rFonts w:ascii="Times New Roman;sans-serif" w:hAnsi="Times New Roman;sans-serif"/>
                  <w:b w:val="false"/>
                  <w:color w:val="0000FF"/>
                  <w:sz w:val="20"/>
                  <w:u w:val="single"/>
                </w:rPr>
                <w:t>17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49755814295">
              <w:r>
                <w:rPr>
                  <w:rStyle w:val="InternetLink"/>
                  <w:rFonts w:ascii="Times New Roman;sans-serif" w:hAnsi="Times New Roman;sans-serif"/>
                  <w:b w:val="false"/>
                  <w:color w:val="0000FF"/>
                  <w:sz w:val="20"/>
                  <w:u w:val="single"/>
                </w:rPr>
                <w:t>PROPOSAL NO. 4 APPROVE AMENDMENT TO OUR 2017 EQUITY INCENTIVE PLAN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49755814295">
              <w:r>
                <w:rPr>
                  <w:rStyle w:val="InternetLink"/>
                  <w:rFonts w:ascii="Times New Roman;sans-serif" w:hAnsi="Times New Roman;sans-serif"/>
                  <w:b w:val="false"/>
                  <w:color w:val="0000FF"/>
                  <w:sz w:val="20"/>
                  <w:u w:val="single"/>
                </w:rPr>
                <w:t>18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0">
              <w:r>
                <w:rPr>
                  <w:rStyle w:val="InternetLink"/>
                  <w:rFonts w:ascii="Times New Roman;sans-serif" w:hAnsi="Times New Roman;sans-serif"/>
                  <w:b w:val="false"/>
                  <w:color w:val="0000FF"/>
                  <w:sz w:val="20"/>
                  <w:u w:val="single"/>
                </w:rPr>
                <w:t>PROPOSAL NO.5 NON-BINDING ADVISORY VOTE ON THE FREQUENCY OF HOLDING FUTURE ADVISORY VOTES REGARDING NEO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0">
              <w:r>
                <w:rPr>
                  <w:rStyle w:val="InternetLink"/>
                  <w:rFonts w:ascii="Times New Roman;sans-serif" w:hAnsi="Times New Roman;sans-serif"/>
                  <w:b w:val="false"/>
                  <w:color w:val="0000FF"/>
                  <w:sz w:val="20"/>
                  <w:u w:val="single"/>
                </w:rPr>
                <w:t>26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3">
              <w:r>
                <w:rPr>
                  <w:rStyle w:val="InternetLink"/>
                  <w:rFonts w:ascii="Times New Roman;sans-serif" w:hAnsi="Times New Roman;sans-serif"/>
                  <w:b w:val="false"/>
                  <w:color w:val="0000FF"/>
                  <w:sz w:val="20"/>
                  <w:u w:val="single"/>
                </w:rPr>
                <w:t>SECURITY OWNERSHIP OF CERTAIN BENEFICIAL OWNERS AND MANAGEMENT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3">
              <w:r>
                <w:rPr>
                  <w:rStyle w:val="InternetLink"/>
                  <w:rFonts w:ascii="Times New Roman;sans-serif" w:hAnsi="Times New Roman;sans-serif"/>
                  <w:b w:val="false"/>
                  <w:color w:val="0000FF"/>
                  <w:sz w:val="20"/>
                  <w:u w:val="single"/>
                </w:rPr>
                <w:t>27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6">
              <w:r>
                <w:rPr>
                  <w:rStyle w:val="InternetLink"/>
                  <w:rFonts w:ascii="Times New Roman;sans-serif" w:hAnsi="Times New Roman;sans-serif"/>
                  <w:b w:val="false"/>
                  <w:color w:val="0000FF"/>
                  <w:sz w:val="20"/>
                  <w:u w:val="single"/>
                </w:rPr>
                <w:t>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6">
              <w:r>
                <w:rPr>
                  <w:rStyle w:val="InternetLink"/>
                  <w:rFonts w:ascii="Times New Roman;sans-serif" w:hAnsi="Times New Roman;sans-serif"/>
                  <w:b w:val="false"/>
                  <w:color w:val="0000FF"/>
                  <w:sz w:val="20"/>
                  <w:u w:val="single"/>
                </w:rPr>
                <w:t>29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9">
              <w:r>
                <w:rPr>
                  <w:rStyle w:val="InternetLink"/>
                  <w:rFonts w:ascii="Times New Roman;sans-serif" w:hAnsi="Times New Roman;sans-serif"/>
                  <w:b w:val="false"/>
                  <w:color w:val="0000FF"/>
                  <w:sz w:val="20"/>
                  <w:u w:val="single"/>
                </w:rPr>
                <w:t>EXECUTIVE COMPENSATION TABLES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9">
              <w:r>
                <w:rPr>
                  <w:rStyle w:val="InternetLink"/>
                  <w:rFonts w:ascii="Times New Roman;sans-serif" w:hAnsi="Times New Roman;sans-serif"/>
                  <w:b w:val="false"/>
                  <w:color w:val="0000FF"/>
                  <w:sz w:val="20"/>
                  <w:u w:val="singl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2">
              <w:r>
                <w:rPr>
                  <w:rStyle w:val="InternetLink"/>
                  <w:rFonts w:ascii="Times New Roman;sans-serif" w:hAnsi="Times New Roman;sans-serif"/>
                  <w:b w:val="false"/>
                  <w:color w:val="0000FF"/>
                  <w:sz w:val="20"/>
                  <w:u w:val="single"/>
                </w:rPr>
                <w:t>EQUITY COMPENSATION PLAN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2">
              <w:r>
                <w:rPr>
                  <w:rStyle w:val="InternetLink"/>
                  <w:rFonts w:ascii="Times New Roman;sans-serif" w:hAnsi="Times New Roman;sans-serif"/>
                  <w:b w:val="false"/>
                  <w:color w:val="0000FF"/>
                  <w:sz w:val="20"/>
                  <w:u w:val="singl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5">
              <w:r>
                <w:rPr>
                  <w:rStyle w:val="InternetLink"/>
                  <w:rFonts w:ascii="Times New Roman;sans-serif" w:hAnsi="Times New Roman;sans-serif"/>
                  <w:b w:val="false"/>
                  <w:color w:val="0000FF"/>
                  <w:sz w:val="20"/>
                  <w:u w:val="single"/>
                </w:rPr>
                <w:t>CERTAIN RELATIONSHIPS AND RELATED-PARTY TRANSACTIONS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5">
              <w:r>
                <w:rPr>
                  <w:rStyle w:val="InternetLink"/>
                  <w:rFonts w:ascii="Times New Roman;sans-serif" w:hAnsi="Times New Roman;sans-serif"/>
                  <w:b w:val="false"/>
                  <w:color w:val="0000FF"/>
                  <w:sz w:val="20"/>
                  <w:u w:val="singl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8">
              <w:r>
                <w:rPr>
                  <w:rStyle w:val="InternetLink"/>
                  <w:rFonts w:ascii="Times New Roman;sans-serif" w:hAnsi="Times New Roman;sans-serif"/>
                  <w:b w:val="false"/>
                  <w:color w:val="0000FF"/>
                  <w:sz w:val="20"/>
                  <w:u w:val="single"/>
                </w:rPr>
                <w:t>ADDITIONAL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58">
              <w:r>
                <w:rPr>
                  <w:rStyle w:val="InternetLink"/>
                  <w:rFonts w:ascii="Times New Roman;sans-serif" w:hAnsi="Times New Roman;sans-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61">
              <w:r>
                <w:rPr>
                  <w:rStyle w:val="InternetLink"/>
                  <w:rFonts w:ascii="Times New Roman;sans-serif" w:hAnsi="Times New Roman;sans-serif"/>
                  <w:b w:val="false"/>
                  <w:color w:val="0000FF"/>
                  <w:sz w:val="20"/>
                  <w:u w:val="single"/>
                </w:rPr>
                <w:t>OTHER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61">
              <w:r>
                <w:rPr>
                  <w:rStyle w:val="InternetLink"/>
                  <w:rFonts w:ascii="Times New Roman;sans-serif" w:hAnsi="Times New Roman;sans-serif"/>
                  <w:b w:val="false"/>
                  <w:color w:val="0000FF"/>
                  <w:sz w:val="20"/>
                  <w:u w:val="single"/>
                </w:rPr>
                <w:t>50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99">
              <w:r>
                <w:rPr>
                  <w:rStyle w:val="InternetLink"/>
                  <w:rFonts w:ascii="Times New Roman;sans-serif" w:hAnsi="Times New Roman;sans-serif"/>
                  <w:b w:val="false"/>
                  <w:color w:val="0000FF"/>
                  <w:sz w:val="20"/>
                  <w:u w:val="single"/>
                </w:rPr>
                <w:t>ANNEX A</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58b2509c5442fe8802a76bda53472f_499">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Diego, California 92121</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THE 2025 ANNUAL MEETING OF STOCKHOLDERS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Tuesday, June 17, 2025</w:t>
      </w:r>
    </w:p>
    <w:p>
      <w:pPr>
        <w:pStyle w:val="TextBody"/>
        <w:bidi w:val="0"/>
        <w:spacing w:before="0" w:after="200"/>
        <w:jc w:val="center"/>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proxy is solicited on behalf of AnaptysBio, Inc.’s board of directors (“Board”) for use at AnaptysBio’s 2025 Annual Meeting of Stockholders (“Annual Meeting”) to be held at AnaptysBio’s corporate office at 10770 Wateridge Circle, Suite 210, San Diego, California 92121, on Tuesday, June 17, 2025 at 8:00 a.m. (Pacific Time), and any adjournment or postponement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INTERNET AVAILABILITY OF PROXY MATERIALS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Under rules adopted by the Securities and Exchange Commission (“SEC”), we are furnishing proxy materials to our stockholders primarily via the Internet, instead of mailing printed copies to each stockholder. On or about April 29, 2025,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GENERAL INFORMATION ABOUT THE MEETING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Purpose of the Meeting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Record Date; Quorum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Only holders of record of common stock at the close of business on April 21, 2025, the record date, will be entitled to vote at the meeting. At the close of business on April 21, 2025, 29,573,595 shares of common stock were outstanding and entitled to vote.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presence, in person or by proxy, of at least a majority of the shares of common stock outstanding on the record date will constitute a quorum. Both abstentions and broker non-votes are counted for the purpose of determining the presence of a quorum.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GENERAL PROXY INFORMATION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shares of common stock is entitled to one vote for each share of common stock held as of the close of business on April 21, 2025,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pStyle w:val="TextBody"/>
        <w:bidi w:val="0"/>
        <w:spacing w:lineRule="auto" w:line="288" w:before="0" w:after="200"/>
        <w:jc w:val="left"/>
        <w:rPr/>
      </w:pPr>
      <w:r>
        <w:rPr>
          <w:rFonts w:ascii="Times New Roman;sans-serif" w:hAnsi="Times New Roman;sans-serif"/>
          <w:b w:val="false"/>
          <w:i/>
          <w:color w:val="000000"/>
          <w:sz w:val="20"/>
        </w:rPr>
        <w:t xml:space="preserve">Stockholder of Record: Shares Registered in Your Name. </w:t>
      </w:r>
      <w:r>
        <w:rPr>
          <w:rFonts w:ascii="Times New Roman;sans-serif" w:hAnsi="Times New Roman;sans-serif"/>
          <w:b w:val="false"/>
          <w:color w:val="000000"/>
          <w:sz w:val="20"/>
        </w:rPr>
        <w:t>If, on April 21, 2025, your shares were registered directly in your name with our transfer agent, Equiniti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pStyle w:val="TextBody"/>
        <w:bidi w:val="0"/>
        <w:spacing w:lineRule="auto" w:line="288" w:before="0" w:after="200"/>
        <w:jc w:val="left"/>
        <w:rPr/>
      </w:pPr>
      <w:r>
        <w:rPr>
          <w:rFonts w:ascii="Times New Roman;sans-serif" w:hAnsi="Times New Roman;sans-serif"/>
          <w:b w:val="false"/>
          <w:i/>
          <w:color w:val="000000"/>
          <w:sz w:val="20"/>
        </w:rPr>
        <w:t xml:space="preserve">Beneficial Owner: Shares Registered in the Name of a Broker or Nominee. </w:t>
      </w:r>
      <w:r>
        <w:rPr>
          <w:rFonts w:ascii="Times New Roman;sans-serif" w:hAnsi="Times New Roman;sans-serif"/>
          <w:b w:val="false"/>
          <w:color w:val="000000"/>
          <w:sz w:val="20"/>
        </w:rPr>
        <w:t>If on April 21, 2025, your shares were held in an account with a brokerage firm, 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Broker Non-Votes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banks, brokers or other nominee accounts, they are entitled to vote shares held for a beneficial owner on “routine” matters without instructions from the beneficial owner of those shares. For “non-routine” matters, the beneficial owner of such shares is required to provide instructions to the bank, broker or other nominee in order for them to be entitled to vote the shares held for the beneficial owner. 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such broker may be prevented from voting, or may otherwise choose not to vote, such shares held by such broker, resulting in broker non-votes with respect to such shares. To make sure that your vote is counted, you should instruct your broker to vote your shares of common stock, following the procedures provided by your broker.</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bidi w:val="0"/>
        <w:spacing w:lineRule="auto" w:line="288" w:before="0" w:after="200"/>
        <w:jc w:val="left"/>
        <w:rPr/>
      </w:pPr>
      <w:r>
        <w:rPr>
          <w:rFonts w:ascii="Times New Roman;sans-serif" w:hAnsi="Times New Roman;sans-serif"/>
          <w:b/>
          <w:i/>
          <w:color w:val="000000"/>
          <w:sz w:val="20"/>
        </w:rPr>
        <w:t>Proposal 1:</w:t>
      </w:r>
      <w:r>
        <w:rPr>
          <w:color w:val="000000"/>
        </w:rPr>
        <w:t xml:space="preserve"> </w:t>
      </w:r>
      <w:r>
        <w:rPr>
          <w:rFonts w:ascii="Times New Roman;sans-serif" w:hAnsi="Times New Roman;sans-serif"/>
          <w:b w:val="false"/>
          <w:color w:val="000000"/>
          <w:sz w:val="20"/>
        </w:rPr>
        <w:t>Each director will be elected by a plurality of the votes cast at the meeting. This means that the three individuals nominated for election to the Board at the meeting receiving the highest number of votes cast “FOR” that nominee will be elected. You may either vote “FOR” one or more of the nominees or “WITHHOLD” your vote with respect to any or all of nominees. You may not cumulate votes in the election of directors.</w:t>
      </w:r>
    </w:p>
    <w:p>
      <w:pPr>
        <w:pStyle w:val="TextBody"/>
        <w:bidi w:val="0"/>
        <w:spacing w:lineRule="auto" w:line="288" w:before="0" w:after="200"/>
        <w:jc w:val="left"/>
        <w:rPr/>
      </w:pPr>
      <w:r>
        <w:rPr>
          <w:rFonts w:ascii="Times New Roman;sans-serif" w:hAnsi="Times New Roman;sans-serif"/>
          <w:b/>
          <w:i/>
          <w:color w:val="000000"/>
          <w:sz w:val="20"/>
        </w:rPr>
        <w:t>Proposal 2:</w:t>
      </w:r>
      <w:r>
        <w:rPr>
          <w:color w:val="000000"/>
        </w:rPr>
        <w:t xml:space="preserve"> </w:t>
      </w:r>
      <w:r>
        <w:rPr>
          <w:rFonts w:ascii="Times New Roman;sans-serif" w:hAnsi="Times New Roman;sans-serif"/>
          <w:b w:val="false"/>
          <w:color w:val="000000"/>
          <w:sz w:val="20"/>
        </w:rPr>
        <w:t>Approval of the ratification of the appointment of our independent registered public accounting firm will be obtained if the number of votes cast “FOR” the proposal at the meeting exceeds the number of votes cast “AGAINST” the proposal.</w:t>
      </w:r>
    </w:p>
    <w:p>
      <w:pPr>
        <w:pStyle w:val="TextBody"/>
        <w:bidi w:val="0"/>
        <w:spacing w:lineRule="auto" w:line="288" w:before="0" w:after="200"/>
        <w:jc w:val="left"/>
        <w:rPr/>
      </w:pPr>
      <w:r>
        <w:rPr>
          <w:rFonts w:ascii="Times New Roman;sans-serif" w:hAnsi="Times New Roman;sans-serif"/>
          <w:b/>
          <w:i/>
          <w:color w:val="000000"/>
          <w:sz w:val="20"/>
        </w:rPr>
        <w:t>Proposal 3:</w:t>
      </w:r>
      <w:r>
        <w:rPr>
          <w:color w:val="000000"/>
        </w:rPr>
        <w:t xml:space="preserve"> </w:t>
      </w:r>
      <w:r>
        <w:rPr>
          <w:rFonts w:ascii="Times New Roman;sans-serif" w:hAnsi="Times New Roman;sans-serif"/>
          <w:b w:val="false"/>
          <w:color w:val="000000"/>
          <w:sz w:val="20"/>
        </w:rPr>
        <w:t>The advisory vote on named executive officer compensation will be obtained if the number of votes cast “FOR” the proposal at the meeting exceeds the number of votes cast “AGAINST” the proposal. This vote is advisory and non-binding in nature.</w:t>
      </w:r>
    </w:p>
    <w:p>
      <w:pPr>
        <w:pStyle w:val="TextBody"/>
        <w:bidi w:val="0"/>
        <w:spacing w:lineRule="auto" w:line="288" w:before="0" w:after="200"/>
        <w:jc w:val="left"/>
        <w:rPr/>
      </w:pPr>
      <w:r>
        <w:rPr>
          <w:rFonts w:ascii="Times New Roman;sans-serif" w:hAnsi="Times New Roman;sans-serif"/>
          <w:b/>
          <w:i/>
          <w:color w:val="000000"/>
          <w:sz w:val="20"/>
        </w:rPr>
        <w:t>Proposal 4</w:t>
      </w:r>
      <w:r>
        <w:rPr>
          <w:rFonts w:ascii="Times New Roman;sans-serif" w:hAnsi="Times New Roman;sans-serif"/>
          <w:b w:val="false"/>
          <w:color w:val="000000"/>
          <w:sz w:val="20"/>
        </w:rPr>
        <w:t>: Approval of the amendment of our 2017 Equity Incentive Plan will be obtained if the number of votes cast “FOR” the proposal at the meeting exceeds the number of votes cast “AGAINST” the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r>
        <w:rPr>
          <w:rFonts w:ascii="Times New Roman;sans-serif" w:hAnsi="Times New Roman;sans-serif"/>
          <w:b/>
          <w:i/>
          <w:color w:val="000000"/>
          <w:sz w:val="20"/>
        </w:rPr>
        <w:t>Proposal 5</w:t>
      </w:r>
      <w:r>
        <w:rPr>
          <w:rFonts w:ascii="Times New Roman;sans-serif" w:hAnsi="Times New Roman;sans-serif"/>
          <w:b w:val="false"/>
          <w:color w:val="000000"/>
          <w:sz w:val="20"/>
        </w:rPr>
        <w:t>: The advisory vote on the frequency of holding an advisory vote on named executive officer compensation will be the option of either “ONE YEAR,” “TWO YEARS,” or “THREE YEARS” that receives the highest number of votes. This vote is advisory and non-binding in nature.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for or against a matter and, therefore, will have no effect on the election of directors, the ratification of the appointment of KPMG LLP, the advisory vote on our named executive officer compensation, the amendment of our 2017 Equity Incentive Plan or the advisory vote on the frequency of holding an advisory vote on our named executive officer compensation. Proposal 2 is considered a routine proposal and is subject to the discretionary vote of the broker.</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Recommendations of the Board on Each of the Proposals Scheduled to be Voted on at the Meeting </w:t>
      </w:r>
    </w:p>
    <w:p>
      <w:pPr>
        <w:pStyle w:val="TextBody"/>
        <w:bidi w:val="0"/>
        <w:spacing w:lineRule="auto" w:line="288" w:before="0" w:after="200"/>
        <w:jc w:val="left"/>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each of the Class II directors named in this proxy statement (Proposal 1),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KPMG LLP as our independent registered public accounting firm for the fiscal year ending December 31, 2025 (Proposal 2),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non-binding advisory vote on named executive officer compensation (Proposal 3),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approval of the amendment of our 2017 Equity Incentive Plan (Proposal 4), and “</w:t>
      </w:r>
      <w:r>
        <w:rPr>
          <w:rFonts w:ascii="Times New Roman;sans-serif" w:hAnsi="Times New Roman;sans-serif"/>
          <w:b/>
          <w:color w:val="000000"/>
          <w:sz w:val="20"/>
        </w:rPr>
        <w:t>ONE YEAR</w:t>
      </w:r>
      <w:r>
        <w:rPr>
          <w:color w:val="000000"/>
        </w:rPr>
        <w:t xml:space="preserve">” </w:t>
      </w:r>
      <w:r>
        <w:rPr>
          <w:rFonts w:ascii="Times New Roman;sans-serif" w:hAnsi="Times New Roman;sans-serif"/>
          <w:b w:val="false"/>
          <w:color w:val="000000"/>
          <w:sz w:val="20"/>
        </w:rPr>
        <w:t>for the non-binding advisory vote on the frequency of holding an advisory vote on named executive officer compensation (Proposal 5).</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Voting Instructions; Voting of Proxies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you may: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vote in person - we will provide a ballot to stockholders who attend the meeting and wish to vote in person;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vote through the Internet or by telephone - in order to do so, please follow the instructions shown on your Notice of Internet Availability or proxy card; or</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vote by mail - if you request or receive a paper proxy card and voting instructions by mail, simply complete, sign and date the proxy card and return it as soon as possible before the meeting in the envelope provided.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Votes submitted through the Internet or by telephone must be received by 11:59 p.m., Eastern Time, on June 16, 2025.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Proposal 1, you may vote “FOR” each of the nominees to the Board or you may “WITHHOLD” your vote from any nominee you specify. A “WITHHOLD” vote will have the same effect as a vote to abstain.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Proposal 2, Proposal 3, and Proposal 4, you may vote “FOR” or “AGAINST” or “ABSTAIN” from voting. For Proposal 5, you may vote “ONE YEAR,” “TWO YEARS,” “THREE YEARS” or “ABSTAIN”. Your vote is important. Whether or not you plan to attend the meeting, we urge you to vote by proxy to ensure that your vote is counted.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stated above.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Internet. If you requested or received paper proxy materials by mail, please complete, sign and return each proxy card to ensure that all of your shares are voted.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Expenses of Soliciting Proxies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Revocability of Proxies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stockholder of record who has given a proxy may revoke it at any time before the closing of the polls by the inspector of elections at the meeting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delivering to our Corporate Secretary (by any means) a written notice stating that the proxy is revoked;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signing and delivering a proxy bearing a later date;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voting again through the Internet or by telephone; or</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attending and voting at the meeting (although attendance at the meeting will not, by itself, revoke a proxy).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Please note, however, that if your shares are held of record by a brokerage firm, bank or other nominee and you wish to revoke a proxy, you must contact that firm to revoke or change any prior voting instructions.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Electronic Access to the Proxy Materials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of Internet Availability will provide you with instructions regarding how to: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view our proxy materials for the meeting through the Internet;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instruct us to mail paper copies of our future proxy materials to you;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instruct us to send our future proxy materials to you electronically by email.</w:t>
      </w:r>
    </w:p>
    <w:p>
      <w:pPr>
        <w:pStyle w:val="TextBody"/>
        <w:bidi w:val="0"/>
        <w:spacing w:lineRule="auto" w:line="288" w:before="0" w:after="200"/>
        <w:ind w:left="0" w:right="0" w:firstLine="7"/>
        <w:jc w:val="left"/>
        <w:rPr>
          <w:rFonts w:ascii="Times New Roman;sans-serif" w:hAnsi="Times New Roman;sans-serif"/>
          <w:b w:val="false"/>
          <w:color w:val="000000"/>
          <w:sz w:val="20"/>
        </w:rPr>
      </w:pPr>
      <w:r>
        <w:rPr>
          <w:rFonts w:ascii="Times New Roman;sans-serif" w:hAnsi="Times New Roman;sans-serif"/>
          <w:b w:val="false"/>
          <w:color w:val="000000"/>
          <w:sz w:val="20"/>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Voting Results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Voting results will be tabulated and certified by the inspector of elections appointed for the meeting. The preliminary voting results will be announced at the meeting. The final results will be tallied by the inspector of elections and filed with the SEC in a current report on Form 8-K within four business days of the meeting.</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Implications of being a “Smaller Reporting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STANDARDS AND DIRECTOR INDEPENDENCE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good corporate governance practices. These practices provide an important framework within which our Board and management pursue our strategic objectives for the benefit of our stockholders.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Corporate Governance Guidelines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Board Composition and Leadership Structure </w:t>
      </w:r>
    </w:p>
    <w:p>
      <w:pPr>
        <w:pStyle w:val="TextBody"/>
        <w:bidi w:val="0"/>
        <w:spacing w:lineRule="auto" w:line="288" w:before="0" w:after="200"/>
        <w:jc w:val="left"/>
        <w:rPr/>
      </w:pPr>
      <w:r>
        <w:rPr>
          <w:rFonts w:ascii="Times New Roman;sans-serif" w:hAnsi="Times New Roman;sans-serif"/>
          <w:b w:val="false"/>
          <w:color w:val="000000"/>
          <w:sz w:val="20"/>
        </w:rPr>
        <w:t>The positions of Chief Executive Officer and Chairman of our Board are held by two different individuals. Daniel Faga has served as our</w:t>
      </w:r>
      <w:r>
        <w:rPr>
          <w:color w:val="000000"/>
          <w:shd w:fill="FFFFFF" w:val="clear"/>
        </w:rPr>
        <w:t xml:space="preserve"> </w:t>
      </w:r>
      <w:r>
        <w:rPr>
          <w:rFonts w:ascii="Times New Roman;sans-serif" w:hAnsi="Times New Roman;sans-serif"/>
          <w:b w:val="false"/>
          <w:color w:val="000000"/>
          <w:sz w:val="20"/>
          <w:shd w:fill="FFFFFF" w:val="clear"/>
        </w:rPr>
        <w:t>President and Chief Executive Officer since August 3, 2023 and was our Interim President and Chief Executive Officer from March 21, 2022 through August 2, 2023.</w:t>
      </w:r>
      <w:r>
        <w:rPr>
          <w:color w:val="000000"/>
        </w:rPr>
        <w:t xml:space="preserve"> </w:t>
      </w:r>
      <w:r>
        <w:rPr>
          <w:rFonts w:ascii="Times New Roman;sans-serif" w:hAnsi="Times New Roman;sans-serif"/>
          <w:b w:val="false"/>
          <w:color w:val="000000"/>
          <w:sz w:val="20"/>
        </w:rPr>
        <w:t>John Orwin serves as Chairman of our Board. This separated structure allows our Chief Executive Officer to focus on our day-to-day business while our Chairman leads our Board in its fundamental role of providing advice to, and independent oversight of, management. Our Board believes such separation is appropriate, as it enhances the accountability of the Chief Executive Officer to the Board and strengthens the independence of the Board from management.</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Board’s Role in Risk Oversight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believes that open communication between management and the Board is essential for effective risk management and oversight. Our Board meets with our Chief Executive Officer and other members of the senior management team at quarterly Board meetings, where, among other topics, they discuss strategy and risks in the context of reports from the management team and evaluate the risks inherent in significant transactions. While our Board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cybersecurity assessment and internal control over financial reporting and disclosure controls and procedures. The compensation committee assists our Board in assessing risks created by the incentives inherent in our compensation policies. The nominating and corporate governance committee assists our Board in fulfilling its oversight responsibilities with respect to the management of corporate, legal and regulatory risk.</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Cybersecurity Risk Oversight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Securing the information of participants in our studies, medical professionals, team members, and other third parties is important to us. Moreover, our Board recognizes the critical importance of maintaining the trust and confidence of our investors, business partners and employees.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our audit committee, and management. Additional information relating to cybersecurity and information security is contained in the section titled “Cybersecurity” in our Annual Report on Form 10-K for the year ended December 31, 2024.</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Select Market (“Nasdaq”). Under Nasdaq rules, independent directors must comprise a majority of a listed company’s Board.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that person does not have a relationship that would interfere with the exercise of independent judgment in carrying out the responsibilities of a director.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from the listed company or any of its subsidiaries; or (ii) be an affiliated person of the listed company or any of its subsidiaries. Additionally, compensation committee members must not have a relationship with the listed company that is material to the director’s ability to be independent from management in connection with the duties of a compensation committee member.</w:t>
      </w:r>
    </w:p>
    <w:p>
      <w:pPr>
        <w:pStyle w:val="TextBody"/>
        <w:bidi w:val="0"/>
        <w:spacing w:lineRule="auto" w:line="288" w:before="0" w:after="200"/>
        <w:jc w:val="left"/>
        <w:rPr/>
      </w:pPr>
      <w:r>
        <w:rPr>
          <w:rFonts w:ascii="Times New Roman;sans-serif" w:hAnsi="Times New Roman;sans-serif"/>
          <w:b w:val="false"/>
          <w:color w:val="000000"/>
          <w:sz w:val="20"/>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Dennis Fenton, Ph.D., Rita Jain, M.D., Magda Marquet, Ph.D., Hollings Renton, John P. Schmid, John Orwin, Oleg Nodelman and J. Anthony Ware, M.D., representing eight of our nine directors, are “independent directors” as defined under the applicable rules and regulations of the SEC, and the listing requirements and rules of Nasdaq. Mr. Faga is not independent given his role as our</w:t>
      </w:r>
      <w:r>
        <w:rPr>
          <w:color w:val="000000"/>
          <w:shd w:fill="FFFFFF" w:val="clear"/>
        </w:rPr>
        <w:t xml:space="preserve"> </w:t>
      </w:r>
      <w:r>
        <w:rPr>
          <w:rFonts w:ascii="Times New Roman;sans-serif" w:hAnsi="Times New Roman;sans-serif"/>
          <w:b w:val="false"/>
          <w:color w:val="000000"/>
          <w:sz w:val="20"/>
          <w:shd w:fill="FFFFFF" w:val="clear"/>
        </w:rPr>
        <w:t>President and Chief Executive Officer.</w:t>
      </w:r>
      <w:r>
        <w:rPr>
          <w:color w:val="000000"/>
        </w:rPr>
        <w:t xml:space="preserve"> </w:t>
      </w:r>
      <w:r>
        <w:rPr>
          <w:rFonts w:ascii="Times New Roman;sans-serif" w:hAnsi="Times New Roman;sans-serif"/>
          <w:b w:val="false"/>
          <w:color w:val="000000"/>
          <w:sz w:val="20"/>
        </w:rPr>
        <w:t>In making these determinations, our Board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Committees of Our Board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an audit committee, a compensation committee, and a nominating and corporate governance committee, each of which has the composition and responsibilities described below. Members serve on these committees until their resignation or until otherwise determined by our Board. Each committee operates under a charter approved by our Board. Copies of each committee’s charter are posted on the investor relations section of our website at http://ir.anaptysbio.com.</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is composed of Dr. Marquet, Mr. Schmid and Dr. Ware. Mr. Schmid is the chairperson of our audit committee. Dr. Marquet, Mr. Schmid and Dr. Ware each meet the requirements for independence under the current Nasdaq listing standards and SEC rules and regulations. Each member of our audit committee is financially literate. In addition, our Board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Our audit committee is responsible for, among other things: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accounting and financial reporting processes, including our financial statement audits and the integrity of our financial statements;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compliance with legal and regulatory requirements;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reviewing and approving related person transactions;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selecting and hiring our registered independent public accounting firm;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overseeing our cybersecurity risk management process;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assisting the Board with risk assessment and management;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qualifications, independence and performance of our independent auditors; and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preparation of the audit committee report to be included in our annual proxy statement.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Compensation Committee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composed of Dr. Fenton, Dr. Jain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evaluating, recommending, approving and reviewing executive officer and director compensation arrangements, plans, policies and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administering our cash-based and equity-based compensation plans;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making recommendations to our Board regarding any other board of director responsibilities relating to executive compensation;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reviewing our compensation policies for elements of risk;</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reviewing and discussing with management the disclosures contained under the caption “Executive Compensation” for use in our annual proxy statement, if required;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performing the other responsibilities set forth in its charters as in effect from time to time.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retained an independent compensation consultant, Compensia, Inc. (“Compensia”), a national compensation consulting firm, to assist in structuring our executive officer and director compensation on an ongoing basis. On September 12, 2024, our compensation committee ended its engagement with Compensia and engaged Alpine Rewards as the Company’s new independent compensation consultant effective as of September 12, 2024.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Compensia, and subsequently Alpine Rewards, provided our compensation committee with market data and analyses from a peer group of biotechnology companies with product candidates in a similar stage of development and similar financial and size characteristics. Neither Compensia nor Alpine Rewards have provided our company or our compensation committee with any other services that would compromise their independence or pose a conflict of interest.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Nominating and Corporate Governance Committee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composed of Mr. Nodelman, Mr. Renton, Mr. Orwin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identifying, considering and recommending candidates for membership on our Board;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developing and recommending corporate governance guidelines and policies;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overseeing the process of evaluating the performance of our Board; and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advising our Board on other corporate governance matters.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Codes of Business Conduct and Ethics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adopted a Code of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pertaining to a member of our Board or one of our executive officers will be disclosed on our website at the above-referenced address.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our Annual Report on Form 10-K, filed on February 27, 2025.</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Hedging and Pledging Prohibitions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Insider Trading Policy, our employees, executive officers, and members of our Board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equity swaps, collars and exchange funds; or (iii) purchasing our securities on margin, borrowing against any account in which our securities are held, or pledging our securities as collateral for a loan.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Timing of Equity Grants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time equity grants to take advantage of a depressed stock price or an anticipated increase in stock price and generally make awards on predetermined dates to ensure that awards cannot be timed to take advantage of material non-public information. Annual employee and non-employee director grants are completed in January each year, new hire stock awards to employees are generally granted on the 15th of the month immediately following their start date, and initial awards to non-employee directors are granted on the date of the non-employee director’s initial appointment or election to our board of directors.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executive officers has served as a member of the Board, or as a member of the compensation or similar committee, of any entity that has one or more executive officers who served on our Board or compensation committee during the year ended December 31, 2024.</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Board and Committee Meetings and Attendance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Board and its committees meet regularly throughout the year and also hold special meetings and act by written consent from time to time. During 2024, the Board held eight meetings, including by videoconference, the audit committee held four meetings, our compensation committee held four meetings and the nominating and corporate governance committee held three meetings. During 2024, none of the directors attended fewer than 75% of the aggregate of the total number of meetings held by the Board during his or her tenure and the total number of meetings held by all committees of the Board on which such director served during his or her tenure. The independent members of the Board also meet separately without management directors on a regular basis to discuss such matters as the independent directors consider appropriate.</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Board Attendance at Annual Stockholders’ Meeting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Nine directors were in attendance at our 2024 annual meeting of stockholders. We invite and encourage each member of our Board to attend our annual meetings of stockholders; however, we do not have a formal policy regarding attendance of annual meetings by the members of our Board.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Communication with Directors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interested parties who wish to communicate with our Board, non-management members of our Board as a group, a committee of the Board or a specific member of our Board (including our Chairman) may do so by letters addressed to the attention of our Corporate Secretary, AnaptysBio, Inc., 10770 Wateridge Circle, Suite 210, San Diego, CA 92121.</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All communications by letter addressed to the attention of our Corporate Secretary will be reviewed by the Corporate Secretary and provided to the members of the Board unless such communications are unsolicited items, sales materials and other routine items and items unrelated to the duties and responsibilities of the Board.</w:t>
      </w: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 In addition, on our Board there are two directors who hold medical doctorates and two directors who hold doctorates in scientific fields.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Considerations in Evaluating Director Nominees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is responsible for identifying, evaluating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will recommend to the Board for selection all nominees to be proposed by the Board for election by the stockholders, including approval or recommendation of a slate of director nominees to be proposed by the Board for election at each annual meeting of stockholders, and will recommend all director nominees to be appointed by the Board to fill interim director vacancies.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encourages selection of directors who will contribute to the Company’s overall corporate goals. The nominating and corporate governance committee may from time to time review and recommend to the Board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Exceptional candidates who do not meet all of these criteria may still be considered. In evaluating potential candidates for the Board, the nominating and corporate governance committee considers these factors in the light of the specific needs of the Board at that time.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our Corporate Governance Guidelines, a director is expected to spend the time and effort necessary to properly discharge such director’s responsibilities. Accordingly, a director is expected to regularly attend meetings of the Board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Stockholder Recommendations for Nominations to the Board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will consider properly submitted stockholder recommendations for candidates for our Board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regarding the nominee and proposing stockholder as specified in our Bylaws, and certain representations regarding the nomination.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 In addition to satisfying the foregoing requirements under the Bylaws, to comply with the universal proxy rules, stockholders who intend to solicit proxies in support of director nominees other than the Company’s nominees for the 2026 Annual Meeting of Stockholders must provide notice that sets forth the information required by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w:t>
        <w:br/>
        <w:t>ELECTION OF CLASS II DIRECTORS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is divided into three classes. Each class serves for three years, with the terms of office of the respective classes expiring in successive years. Directors and director nominees in Class II will stand for election at this meeting. The terms of office of directors in Class III and Class I do not expire until the annual meetings of stockholders to be held in 2026 and 2027, respectively.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Class II directors, whose terms will expire at this Annual Meeting, are Dr. Jain, Mr. Orwin and Dr. Ware.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At the recommendation of our nominating and corporate governance committee, our Board proposes that each of Dr. Jain, Mr. Orwin and Dr. Ware, each an incumbent Class II director, be elected as a Class II director for a three-year term expiring at the annual meeting of stockholders to be held in 2028 and until such director’s successor is duly elected and qualified or until such director’s earlier resignation or removal.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director will be elected by a plurality of the votes present in person or represented by proxy at the meeting and entitled to vote on the election of directors. This means that the three individuals nominated for election to the Board at the meeting receiving the highest number of “FOR” votes will be elected. You may either vote “FOR” one or more nominees or “WITHHOLD” your vote with respect to any or all of the individuals nominated for election to the Board. A “WITHHOLD” vote will have the same effect as an abstention. You may not cumulate votes in the election of directors. Shares represented by proxies will be voted “FOR” the election of each of the Class 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Nominees to the Board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nominees and their ages are provided in the table below. Additional biographical information for each nominee is set forth in the text below the table.</w:t>
      </w:r>
    </w:p>
    <w:tbl>
      <w:tblPr>
        <w:tblW w:w="5249" w:type="dxa"/>
        <w:jc w:val="left"/>
        <w:tblInd w:w="0" w:type="dxa"/>
        <w:tblLayout w:type="fixed"/>
        <w:tblCellMar>
          <w:top w:w="28" w:type="dxa"/>
          <w:left w:w="28" w:type="dxa"/>
          <w:bottom w:w="28" w:type="dxa"/>
          <w:right w:w="28" w:type="dxa"/>
        </w:tblCellMar>
      </w:tblPr>
      <w:tblGrid>
        <w:gridCol w:w="771"/>
        <w:gridCol w:w="677"/>
        <w:gridCol w:w="681"/>
        <w:gridCol w:w="145"/>
        <w:gridCol w:w="145"/>
        <w:gridCol w:w="146"/>
        <w:gridCol w:w="785"/>
        <w:gridCol w:w="785"/>
        <w:gridCol w:w="111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and Class</w:t>
            </w:r>
          </w:p>
        </w:tc>
      </w:tr>
      <w:tr>
        <w:trPr/>
        <w:tc>
          <w:tcPr>
            <w:tcW w:w="21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Rita Jain. M.D.</w:t>
            </w:r>
            <w:r>
              <w:rPr>
                <w:rFonts w:ascii="Times New Roman;sans-serif" w:hAnsi="Times New Roman;sans-serif"/>
                <w:b w:val="false"/>
                <w:color w:val="000000"/>
                <w:sz w:val="13"/>
              </w:rPr>
              <w:t>(1)</w:t>
            </w:r>
          </w:p>
        </w:tc>
        <w:tc>
          <w:tcPr>
            <w:tcW w:w="4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John Orwin</w:t>
            </w:r>
            <w:r>
              <w:rPr>
                <w:rFonts w:ascii="Times New Roman;sans-serif" w:hAnsi="Times New Roman;sans-serif"/>
                <w:b w:val="false"/>
                <w:color w:val="000000"/>
                <w:sz w:val="13"/>
              </w:rPr>
              <w:t>(2)</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Class II</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J. Anthony Ware, M.D.</w:t>
            </w:r>
            <w:r>
              <w:rPr>
                <w:rFonts w:ascii="Times New Roman;sans-serif" w:hAnsi="Times New Roman;sans-serif"/>
                <w:b w:val="false"/>
                <w:color w:val="000000"/>
                <w:sz w:val="13"/>
              </w:rPr>
              <w:t>(3)</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w:t>
            </w:r>
          </w:p>
        </w:tc>
      </w:tr>
    </w:tbl>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Member of the compensation committee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Member of the nominating and corporate governance committee</w:t>
      </w:r>
    </w:p>
    <w:p>
      <w:pPr>
        <w:pStyle w:val="TextBody"/>
        <w:bidi w:val="0"/>
        <w:spacing w:lineRule="auto" w:line="288" w:before="0" w:after="20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Member of the audit committee and the nominating and corporate governance committee</w:t>
      </w:r>
    </w:p>
    <w:p>
      <w:pPr>
        <w:pStyle w:val="TextBody"/>
        <w:bidi w:val="0"/>
        <w:spacing w:lineRule="auto" w:line="288" w:before="0" w:after="200"/>
        <w:jc w:val="left"/>
        <w:rPr/>
      </w:pPr>
      <w:r>
        <w:rPr>
          <w:rFonts w:ascii="Times New Roman;sans-serif" w:hAnsi="Times New Roman;sans-serif"/>
          <w:b/>
          <w:i/>
          <w:color w:val="000000"/>
          <w:sz w:val="20"/>
        </w:rPr>
        <w:t>Rita Jain, M.D.</w:t>
      </w:r>
      <w:r>
        <w:rPr>
          <w:color w:val="000000"/>
        </w:rPr>
        <w:t xml:space="preserve"> </w:t>
      </w:r>
      <w:r>
        <w:rPr>
          <w:rFonts w:ascii="Times New Roman;sans-serif" w:hAnsi="Times New Roman;sans-serif"/>
          <w:b w:val="false"/>
          <w:color w:val="000000"/>
          <w:sz w:val="20"/>
        </w:rPr>
        <w:t>has served as a member of our board of directors since April 2023. Dr. Jain is currently a member of the board of directors of Celldex Therapeutics, Inc. and previously a board member of Provention Bio, Inc. until its acquisition by Sanofi in April 27, 2023. Dr. Jain was also a member of the supervisory board of AM-Pharma B.V. since 2020. She previously served on the board of directors of ChemoCentryx, Inc. from 2019 until its acquisition by Amgen in 2022. From 2021 to 2022, Dr. Jain served as Executive Vice President, Chief Medical Officer of ChemoCentryx, Inc. and in 2021 served as Chief Medical Officer of Immunovant, Inc. Additionally, since August 2021, Dr. Jain has served as Chief Executive Officer of Heartwood Biopharma Group, a private consulting group, until September 2023 and currently serves as an independent consultant.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Our board of directors believes that Dr. Jain’s extensive life sciences experience provides her with the qualifications and skills to serve on our board of directors.</w:t>
      </w:r>
    </w:p>
    <w:p>
      <w:pPr>
        <w:pStyle w:val="TextBody"/>
        <w:bidi w:val="0"/>
        <w:spacing w:lineRule="auto" w:line="288" w:before="0" w:after="200"/>
        <w:jc w:val="left"/>
        <w:rPr/>
      </w:pPr>
      <w:r>
        <w:rPr>
          <w:rFonts w:ascii="Times New Roman;sans-serif" w:hAnsi="Times New Roman;sans-serif"/>
          <w:b/>
          <w:i/>
          <w:color w:val="000000"/>
          <w:sz w:val="20"/>
        </w:rPr>
        <w:t>John Orwin </w:t>
      </w:r>
      <w:r>
        <w:rPr>
          <w:rFonts w:ascii="Times New Roman;sans-serif" w:hAnsi="Times New Roman;sans-serif"/>
          <w:b w:val="false"/>
          <w:color w:val="000000"/>
          <w:sz w:val="20"/>
        </w:rPr>
        <w:t xml:space="preserve">has served as a member and Chairman of our board of directors since September 2023. Mr. Orwin has been a venture partner at Samsara BioCapital, L.P., a venture capital group, since 2024, and currently serves as the chair of the board of directors of Nested Therapeutics, Inc., a privately held company, serves on the board of directors of Ambrosia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Biosciences, Inc., a privately held company, and as executive chairman of the board of directors of Agni Bio, Inc., a privately held company. Mr. Orwin served as the President and Chief Executive of Officer of Atreca, Inc. from April 2018 to June 2024. He also has served as a member of the board of directors of CARGO Therapeutics, Inc. since August 2022, and Travere Therapeutics, Inc. since March 2017. He previously served as a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Our Board believes that Mr. Orwin’s extensive industry experience and executive positions at multiple biopharmaceutical companies qualify him to serve on our Board.</w:t>
      </w:r>
    </w:p>
    <w:p>
      <w:pPr>
        <w:pStyle w:val="TextBody"/>
        <w:bidi w:val="0"/>
        <w:spacing w:lineRule="auto" w:line="288" w:before="0" w:after="200"/>
        <w:jc w:val="left"/>
        <w:rPr/>
      </w:pPr>
      <w:r>
        <w:rPr>
          <w:rFonts w:ascii="Times New Roman;sans-serif" w:hAnsi="Times New Roman;sans-serif"/>
          <w:b/>
          <w:i/>
          <w:color w:val="000000"/>
          <w:sz w:val="20"/>
        </w:rPr>
        <w:t>J. Anthony Ware, M.D.</w:t>
      </w:r>
      <w:r>
        <w:rPr>
          <w:color w:val="000000"/>
        </w:rPr>
        <w:t> </w:t>
      </w:r>
      <w:r>
        <w:rPr>
          <w:rFonts w:ascii="Times New Roman;sans-serif" w:hAnsi="Times New Roman;sans-serif"/>
          <w:b w:val="false"/>
          <w:color w:val="000000"/>
          <w:sz w:val="20"/>
        </w:rPr>
        <w:t>has served as a member of our board of directors since August 2017. From 2001 to January 2018, Dr. Ware held numerous 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who are serving or who have been appointed for terms that end following the meeting, and their ages (as of the date of this Proxy Statement), occupations and length of board service are provided in the table below. Additional biographical information for each nominee is set forth in the text below the table.</w:t>
      </w:r>
    </w:p>
    <w:tbl>
      <w:tblPr>
        <w:tblW w:w="3900" w:type="dxa"/>
        <w:jc w:val="left"/>
        <w:tblInd w:w="0" w:type="dxa"/>
        <w:tblLayout w:type="fixed"/>
        <w:tblCellMar>
          <w:top w:w="28" w:type="dxa"/>
          <w:left w:w="28" w:type="dxa"/>
          <w:bottom w:w="28" w:type="dxa"/>
          <w:right w:w="28" w:type="dxa"/>
        </w:tblCellMar>
      </w:tblPr>
      <w:tblGrid>
        <w:gridCol w:w="695"/>
        <w:gridCol w:w="606"/>
        <w:gridCol w:w="619"/>
        <w:gridCol w:w="135"/>
        <w:gridCol w:w="135"/>
        <w:gridCol w:w="136"/>
        <w:gridCol w:w="460"/>
        <w:gridCol w:w="460"/>
        <w:gridCol w:w="654"/>
      </w:tblGrid>
      <w:tr>
        <w:trPr/>
        <w:tc>
          <w:tcPr>
            <w:tcW w:w="69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Position and Class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Daniel Faga</w:t>
            </w:r>
            <w:r>
              <w:rPr>
                <w:rFonts w:ascii="Times New Roman;sans-serif" w:hAnsi="Times New Roman;sans-serif"/>
                <w:b w:val="false"/>
                <w:color w:val="000000"/>
                <w:sz w:val="12"/>
              </w:rPr>
              <w:t>(1)</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Dennis Fenton, Ph.D.</w:t>
            </w:r>
            <w:r>
              <w:rPr>
                <w:rFonts w:ascii="Times New Roman;sans-serif" w:hAnsi="Times New Roman;sans-serif"/>
                <w:b w:val="false"/>
                <w:color w:val="000000"/>
                <w:sz w:val="12"/>
              </w:rPr>
              <w:t>(2)</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Oleg Nodelman</w:t>
            </w:r>
            <w:r>
              <w:rPr>
                <w:rFonts w:ascii="Times New Roman;sans-serif" w:hAnsi="Times New Roman;sans-serif"/>
                <w:b w:val="false"/>
                <w:color w:val="000000"/>
                <w:sz w:val="12"/>
              </w:rPr>
              <w:t>(3)</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Magda Marquet, Ph.D.</w:t>
            </w:r>
            <w:r>
              <w:rPr>
                <w:rFonts w:ascii="Times New Roman;sans-serif" w:hAnsi="Times New Roman;sans-serif"/>
                <w:b w:val="false"/>
                <w:color w:val="000000"/>
                <w:sz w:val="12"/>
              </w:rPr>
              <w:t>(4)</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III</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Hollings Renton</w:t>
            </w:r>
            <w:r>
              <w:rPr>
                <w:rFonts w:ascii="Times New Roman;sans-serif" w:hAnsi="Times New Roman;sans-serif"/>
                <w:b w:val="false"/>
                <w:color w:val="000000"/>
                <w:sz w:val="12"/>
              </w:rPr>
              <w:t>(3)</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III</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John P. Schmid</w:t>
            </w:r>
            <w:r>
              <w:rPr>
                <w:rFonts w:ascii="Times New Roman;sans-serif" w:hAnsi="Times New Roman;sans-serif"/>
                <w:b w:val="false"/>
                <w:color w:val="000000"/>
                <w:sz w:val="12"/>
              </w:rPr>
              <w:t>(2)(4)</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Class III</w:t>
            </w:r>
          </w:p>
        </w:tc>
      </w:tr>
    </w:tbl>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Mr. Faga is our President and Chief Executive Officer</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Member of the compensation committee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Member of the nominating and corporate governance committee</w:t>
      </w:r>
    </w:p>
    <w:p>
      <w:pPr>
        <w:pStyle w:val="TextBody"/>
        <w:bidi w:val="0"/>
        <w:spacing w:lineRule="auto" w:line="288" w:before="0" w:after="20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Member of the audit committee</w:t>
      </w:r>
    </w:p>
    <w:p>
      <w:pPr>
        <w:pStyle w:val="TextBody"/>
        <w:bidi w:val="0"/>
        <w:spacing w:lineRule="auto" w:line="288" w:before="0" w:after="200"/>
        <w:jc w:val="left"/>
        <w:rPr/>
      </w:pPr>
      <w:r>
        <w:rPr>
          <w:rFonts w:ascii="Times New Roman;sans-serif" w:hAnsi="Times New Roman;sans-serif"/>
          <w:b/>
          <w:i/>
          <w:color w:val="000000"/>
          <w:sz w:val="20"/>
        </w:rPr>
        <w:t>Daniel Faga</w:t>
      </w:r>
      <w:r>
        <w:rPr>
          <w:color w:val="000000"/>
        </w:rPr>
        <w:t xml:space="preserve"> </w:t>
      </w:r>
      <w:r>
        <w:rPr>
          <w:rFonts w:ascii="Times New Roman;sans-serif" w:hAnsi="Times New Roman;sans-serif"/>
          <w:b w:val="false"/>
          <w:color w:val="000000"/>
          <w:sz w:val="20"/>
        </w:rPr>
        <w:t>has served as a member of our Board since November 2021, and has served as our President and Chief Executive Officer since August 2023. Mr. Faga previously served as our Interim President and Chief Executive Officer from March 2022 to August 2023. From January 2020 to November 2021, Mr. Faga served as Chief Operating Officer at Mirati Therapeutics, responsible for leading the company’s corporate strategy, finance, legal and other business operations. Prior to joining Mirati,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believes that Mr. Faga’s extensive industry experience and executive experience provides him with the qualifications and skills to serve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r>
        <w:rPr>
          <w:rFonts w:ascii="Times New Roman;sans-serif" w:hAnsi="Times New Roman;sans-serif"/>
          <w:b/>
          <w:i/>
          <w:color w:val="000000"/>
          <w:sz w:val="20"/>
        </w:rPr>
        <w:t>Dennis Fenton, Ph.D</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has served as a member of our board of directors since March 2018. From 1981 to 2008, Dr. Fenton held numerous positions at 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In the past five years, Dr. Fenton previously served on the boards of directors of Sienna Biopharmaceuticals, Inc., Portola Pharmaceuticals, Inc. and Pfenex Inc., a publicly traded company.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pStyle w:val="TextBody"/>
        <w:bidi w:val="0"/>
        <w:spacing w:lineRule="auto" w:line="288" w:before="0" w:after="200"/>
        <w:jc w:val="left"/>
        <w:rPr/>
      </w:pPr>
      <w:r>
        <w:rPr>
          <w:rFonts w:ascii="Times New Roman;sans-serif" w:hAnsi="Times New Roman;sans-serif"/>
          <w:b/>
          <w:i/>
          <w:color w:val="000000"/>
          <w:sz w:val="20"/>
        </w:rPr>
        <w:t>Oleg Nodelman</w:t>
      </w:r>
      <w:r>
        <w:rPr>
          <w:color w:val="000000"/>
        </w:rPr>
        <w:t xml:space="preserve"> </w:t>
      </w:r>
      <w:r>
        <w:rPr>
          <w:rFonts w:ascii="Times New Roman;sans-serif" w:hAnsi="Times New Roman;sans-serif"/>
          <w:b w:val="false"/>
          <w:color w:val="000000"/>
          <w:sz w:val="20"/>
        </w:rPr>
        <w:t>has served as a member of our Board since April 2021. Mr. Nodelman has served as the Founder and Portfolio Manager of EcoR1 Capital LLC, a biotech-focused investment advisory firm established in 2013, and one of our principal stockholders, since its inception. Previously, Mr. Nodelman served as a Portfolio Manager at BVF Partners from 2001 to 2012. Mr. Nodelman earned a B.S.F.S. in Science and Technology from Georgetown University, School of Foreign Service in 1999. Mr. Nodelman currently serves on the board of directors of both Galapagos NV and Zymeworks, and previously served on the board of directors of Prothena Corporation plc from 2019 to 2024, Nuvation Bio Inc. from February 2021 to December 2023 and Panacea Acquisition Corp. II from April 2020 to February 2021. Our Board believes that Mr. Nodelman’s extensive industry experience provides him with the qualifications and skills to serve on our Board.</w:t>
      </w:r>
    </w:p>
    <w:p>
      <w:pPr>
        <w:pStyle w:val="TextBody"/>
        <w:bidi w:val="0"/>
        <w:spacing w:lineRule="auto" w:line="288" w:before="0" w:after="200"/>
        <w:jc w:val="left"/>
        <w:rPr/>
      </w:pPr>
      <w:r>
        <w:rPr>
          <w:rFonts w:ascii="Times New Roman;sans-serif" w:hAnsi="Times New Roman;sans-serif"/>
          <w:b/>
          <w:i/>
          <w:color w:val="000000"/>
          <w:sz w:val="20"/>
        </w:rPr>
        <w:t>Magda Marquet, Ph.D.</w:t>
      </w:r>
      <w:r>
        <w:rPr>
          <w:color w:val="000000"/>
        </w:rPr>
        <w:t xml:space="preserve"> </w:t>
      </w:r>
      <w:r>
        <w:rPr>
          <w:rFonts w:ascii="Times New Roman;sans-serif" w:hAnsi="Times New Roman;sans-serif"/>
          <w:b w:val="false"/>
          <w:color w:val="000000"/>
          <w:sz w:val="20"/>
        </w:rPr>
        <w:t>has served as a member of our Board since January 2021. As a former founder and Chief Executive Officer, Dr. Marquet holds a Ph.D. in 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 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Our Board believes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w:t>
      </w:r>
    </w:p>
    <w:p>
      <w:pPr>
        <w:pStyle w:val="TextBody"/>
        <w:bidi w:val="0"/>
        <w:spacing w:lineRule="auto" w:line="288" w:before="0" w:after="200"/>
        <w:jc w:val="left"/>
        <w:rPr/>
      </w:pPr>
      <w:r>
        <w:rPr>
          <w:rFonts w:ascii="Times New Roman;sans-serif" w:hAnsi="Times New Roman;sans-serif"/>
          <w:b/>
          <w:i/>
          <w:color w:val="000000"/>
          <w:sz w:val="20"/>
        </w:rPr>
        <w:t>Hollings Renton</w:t>
      </w:r>
      <w:r>
        <w:rPr>
          <w:color w:val="000000"/>
        </w:rPr>
        <w:t xml:space="preserve"> </w:t>
      </w:r>
      <w:r>
        <w:rPr>
          <w:rFonts w:ascii="Times New Roman;sans-serif" w:hAnsi="Times New Roman;sans-serif"/>
          <w:b w:val="false"/>
          <w:color w:val="000000"/>
          <w:sz w:val="20"/>
        </w:rPr>
        <w:t>has served as a member of our Board since June 2015. Mr. Renton previously served as the Chief Executive Officer and President of Onyx Pharmaceuticals, Inc. from 1993 to 2008 and as the chairperson of its board of directors from 2000 to 2008. Before joining Onyx Pharmaceuticals, Mr. Renton served as the President and Chief Operating Officer of Chiron Corporation, a pharmaceutical company, from 1991 to 1993, following its acquisition of Cetus Corporation. Mr. Renton served as the President of Cetus Corporation from 1990 to 1991, as Chief Operating Officer from 1987 to 1990, and as Chief Financial Officer from 1983 to 1987. Mr. Renton previously served on the board of directors of Zymeworks, Inc., a publicly traded company from 2017 to 2024 and Portola Pharmaceuticals, Inc., a publicly traded company, from March 2010 to June 2020. Mr. Renton received his M.B.A. from the University of Michigan and his B.S. in Mathematics from Colorado State University. Our Board believes that Mr. Renton’s extensive industry experience and board memberships provide him with the qualifications and skills to serve on our Board.</w:t>
      </w:r>
    </w:p>
    <w:p>
      <w:pPr>
        <w:pStyle w:val="TextBody"/>
        <w:bidi w:val="0"/>
        <w:spacing w:lineRule="auto" w:line="288" w:before="0" w:after="200"/>
        <w:jc w:val="left"/>
        <w:rPr/>
      </w:pPr>
      <w:r>
        <w:rPr>
          <w:rFonts w:ascii="Times New Roman;sans-serif" w:hAnsi="Times New Roman;sans-serif"/>
          <w:b/>
          <w:i/>
          <w:color w:val="000000"/>
          <w:sz w:val="20"/>
        </w:rPr>
        <w:t>John P. Schmid</w:t>
      </w:r>
      <w:r>
        <w:rPr>
          <w:color w:val="000000"/>
        </w:rPr>
        <w:t xml:space="preserve"> </w:t>
      </w:r>
      <w:r>
        <w:rPr>
          <w:rFonts w:ascii="Times New Roman;sans-serif" w:hAnsi="Times New Roman;sans-serif"/>
          <w:b w:val="false"/>
          <w:color w:val="000000"/>
          <w:sz w:val="20"/>
        </w:rPr>
        <w:t>has served as a member of our Board since June 2015. Mr. Schmid served as Chief Financial Officer of Auspex 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and Xeris Pharmaceuticals, both pharmaceutical companies, as well as Helix Acquisition Corp. II, a special purpose acquisition company, and Bright Peak Therapeutics, a private biotechnology company. In the last five years, Mr. Schmid has previously served on the board of directors of Helix Acquisition Corp., a special purpose acquisition company, Neos Therapeutics and Poseida Therapeutics, Inc, both pharmaceutical companies. Mr. Schmid received his M.B.A. from the University of San Diego and his B.A. from Wesleyan University. Our Board believes that Mr. Schmid’s extensive industry experience and executive positions at multiple biopharmaceutical companies qualify him to serve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any of our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compensation for each person who served as a non-employee member of our Board in the year ended December 31, 2024. Mr. Faga is not paid any fees or other compensation for services as a member of our Board. For Mr. Faga’s compensation as our President and Chief Executive Officer, see the section below entitled “Executive Compensation.”</w:t>
      </w:r>
    </w:p>
    <w:tbl>
      <w:tblPr>
        <w:tblW w:w="7151" w:type="dxa"/>
        <w:jc w:val="left"/>
        <w:tblInd w:w="0" w:type="dxa"/>
        <w:tblLayout w:type="fixed"/>
        <w:tblCellMar>
          <w:top w:w="28" w:type="dxa"/>
          <w:left w:w="28" w:type="dxa"/>
          <w:bottom w:w="28" w:type="dxa"/>
          <w:right w:w="28" w:type="dxa"/>
        </w:tblCellMar>
      </w:tblPr>
      <w:tblGrid>
        <w:gridCol w:w="658"/>
        <w:gridCol w:w="577"/>
        <w:gridCol w:w="579"/>
        <w:gridCol w:w="738"/>
        <w:gridCol w:w="408"/>
        <w:gridCol w:w="413"/>
        <w:gridCol w:w="688"/>
        <w:gridCol w:w="382"/>
        <w:gridCol w:w="385"/>
        <w:gridCol w:w="638"/>
        <w:gridCol w:w="354"/>
        <w:gridCol w:w="358"/>
        <w:gridCol w:w="237"/>
        <w:gridCol w:w="304"/>
        <w:gridCol w:w="432"/>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Name</w:t>
            </w:r>
            <w:r>
              <w:rPr>
                <w:rFonts w:ascii="Times New Roman;sans-serif" w:hAnsi="Times New Roman;sans-serif"/>
                <w:b/>
                <w:color w:val="000000"/>
                <w:sz w:val="12"/>
              </w:rPr>
              <w:t>(1)</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Fees Earned </w:t>
              <w:br/>
              <w:t>or Paid in Cash ($)</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Option Awards</w:t>
            </w:r>
            <w:r>
              <w:rPr>
                <w:rFonts w:ascii="Times New Roman;sans-serif" w:hAnsi="Times New Roman;sans-serif"/>
                <w:b/>
                <w:color w:val="000000"/>
                <w:sz w:val="12"/>
              </w:rPr>
              <w:t>(2)</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Stock Awards</w:t>
            </w:r>
            <w:r>
              <w:rPr>
                <w:rFonts w:ascii="Times New Roman;sans-serif" w:hAnsi="Times New Roman;sans-serif"/>
                <w:b/>
                <w:color w:val="000000"/>
                <w:sz w:val="12"/>
              </w:rPr>
              <w:t>(2)</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Dennis Fenton, Ph.D.</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441,694</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Rita Jain, M.D.</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46,750</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423,444</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Magda Marquet, Ph.D.</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426,694</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Oleg Nodelman</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Orwin</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456,694</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Hollings Renton</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426,694</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P. Schmid</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66,750</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443,444</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 Anthony Ware, M.D.</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248,918</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127,776</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446,694</w:t>
            </w:r>
          </w:p>
        </w:tc>
      </w:tr>
    </w:tbl>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As of December 31, 2024, Dr. Fenton held outstanding options to purchase 75,817 shares of common stock and 6,030 RSUs (as defined below); Dr. Jain held outstanding options to purchase 35,125 shares of common stock and 8,630 RSUs; Dr. Marquet held outstanding options to purchase 59,094 shares of common stock and 6,030 RSUs; Mr. Nodelman did not hold outstanding options to purchase shares of common stock or RSUs; Mr. Orwin held outstanding options to purchase 30,421 shares of common stock and 8,630 RSUs; Mr. Renton held outstanding options to purchase 116,466 shares of common stock and 6,030 RSUs; Mr. Schmid held outstanding options to purchase 127,647 shares of common stock and 6,030 RSUs; and Dr. Ware held outstanding options to purchase 109,575 shares of common stock and 6,030 RSUs.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The amounts reported in the Option Awards and the Stock Awards columns represent the grant date fair value of such awards granted to the directors during the year ended December 31, 2024 as computed in accordance with Financial Accounting Standards Board Accounting Standards Codification Topic 718 (“ASC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2024. Note that the amounts reported in this column reflect the accounting cost for these stock options and RSUs, and do not correspond to the actual economic value that may be received by our directors from the options.</w:t>
      </w:r>
    </w:p>
    <w:p>
      <w:pPr>
        <w:pStyle w:val="TextBody"/>
        <w:bidi w:val="0"/>
        <w:spacing w:before="0" w:after="120"/>
        <w:ind w:left="0" w:right="0" w:hanging="4"/>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arrangements for non-employee directors are reviewed periodically by our compensation committee and our Board of Directors. In addition, Compensia, the compensation committee’s independent compensation consultant until September 2024, provided a competitive analysis of director compensation levels, practices and design features as compared to the general market as well as to our compensation peer group. Based on this analysis, certain of the compensation terms described below were increased for 2024 from the prior year to better align with compensation paid by our peer group and market practices and to remain competitive.</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Compensation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non-employee director compensation policy each of our non-employee directors is provided with an annual cash compensation. Cash compensation is paid quarterly in arrears, and is prorated for partial service during a quarter.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cash compensation of our non-employee directors for 2024 pursuant to our director compensation policy, as well as the changes from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6059" w:type="dxa"/>
        <w:jc w:val="left"/>
        <w:tblInd w:w="0" w:type="dxa"/>
        <w:tblLayout w:type="fixed"/>
        <w:tblCellMar>
          <w:top w:w="28" w:type="dxa"/>
          <w:left w:w="28" w:type="dxa"/>
          <w:bottom w:w="28" w:type="dxa"/>
          <w:right w:w="28" w:type="dxa"/>
        </w:tblCellMar>
      </w:tblPr>
      <w:tblGrid>
        <w:gridCol w:w="1496"/>
        <w:gridCol w:w="1310"/>
        <w:gridCol w:w="1319"/>
        <w:gridCol w:w="259"/>
        <w:gridCol w:w="259"/>
        <w:gridCol w:w="263"/>
        <w:gridCol w:w="109"/>
        <w:gridCol w:w="109"/>
        <w:gridCol w:w="109"/>
        <w:gridCol w:w="241"/>
        <w:gridCol w:w="241"/>
        <w:gridCol w:w="344"/>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Retainer</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$40,000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Chair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Chair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$6,750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Nomination and Governance Committee Chair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Nomination and Governance Committee Member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Committee Chair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Committee Member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Chair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$35,000</w:t>
            </w:r>
          </w:p>
        </w:tc>
      </w:tr>
    </w:tbl>
    <w:p>
      <w:pPr>
        <w:pStyle w:val="TextBody"/>
        <w:bidi w:val="0"/>
        <w:spacing w:lineRule="auto" w:line="288" w:before="0" w:after="200"/>
        <w:ind w:left="0" w:right="0" w:firstLine="7"/>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non-employee directors generally receives an annual stock option grant in January to purchase 16,510 shares of common stock and 6,030 restricted stock units (“RSUs”). The stock option vests in equal monthly installments over one year and the RSUs vest on the date of the next annual meeting, in each case subject to the director’s continued service.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new non-employee directors receive a stock option to purchase 16,510 shares of common stock and 6,030 RSUs as well as a prorated annual equity grant. The new director stock option vests in equal monthly installments over three years and the new director RSUs award will vest in equal annual installments over three years, subject to the director’s continued service.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All equity awards held by our non-employee directors will accelerate in full upon a change in control.</w:t>
      </w:r>
    </w:p>
    <w:p>
      <w:pPr>
        <w:pStyle w:val="TextBody"/>
        <w:bidi w:val="0"/>
        <w:spacing w:lineRule="auto" w:line="288" w:before="200" w:after="200"/>
        <w:jc w:val="left"/>
        <w:rPr/>
      </w:pPr>
      <w:r>
        <w:rPr>
          <w:rFonts w:ascii="Times New Roman;sans-serif" w:hAnsi="Times New Roman;sans-serif"/>
          <w:b/>
          <w:color w:val="000000"/>
          <w:sz w:val="20"/>
        </w:rPr>
        <w:t xml:space="preserve">OUR BOARD RECOMMENDS A VOTE </w:t>
      </w:r>
      <w:r>
        <w:rPr>
          <w:color w:val="000000"/>
        </w:rPr>
        <w:t>“</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THE ELECTION OF EACH OF THE NOMINATED CLASS II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PROPOSAL NO. 2</w:t>
        <w:br/>
        <w:t xml:space="preserve">RATIFICATION OF INDEPENDENT REGISTERED PUBLIC ACCOUNTING FIRM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has selected KPMG LLP as our principal independent registered public accounting firm to perform the audit of our consolidated financial statements for the fiscal year ending December 31, 2025. KPMG LLP audited our financial statements for the fiscal years ended December 31, 2024 and 2023. We expect that representatives of KPMG LLP will be present at the Annual Meeting, will be able to make a statement if they so desire and will be available to respond to appropriate questions.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stockholders are being asked to ratify the appointment of KPMG LLP as our independent registered public accounting firm for the fiscal year ending December 31, 2025.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services rendered by KPMG LLP for the years ended December 31, 2024 and 2023 (in thousands).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tbl>
      <w:tblPr>
        <w:tblW w:w="5513"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71"/>
        <w:gridCol w:w="345"/>
        <w:gridCol w:w="348"/>
        <w:gridCol w:w="109"/>
        <w:gridCol w:w="109"/>
        <w:gridCol w:w="109"/>
        <w:gridCol w:w="626"/>
        <w:gridCol w:w="322"/>
        <w:gridCol w:w="46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Fees Billed to AnaptysBio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2023</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r>
    </w:tbl>
    <w:p>
      <w:pPr>
        <w:pStyle w:val="TextBody"/>
        <w:bidi w:val="0"/>
        <w:spacing w:before="0" w:after="40"/>
        <w:jc w:val="left"/>
        <w:rPr/>
      </w:pPr>
      <w:r>
        <w:rPr/>
      </w:r>
    </w:p>
    <w:p>
      <w:pPr>
        <w:pStyle w:val="TextBody"/>
        <w:bidi w:val="0"/>
        <w:spacing w:lineRule="auto" w:line="288" w:before="0" w:after="120"/>
        <w:ind w:left="0" w:right="0" w:hanging="360"/>
        <w:jc w:val="left"/>
        <w:rPr/>
      </w:pPr>
      <w:r>
        <w:rPr>
          <w:rFonts w:ascii="Times New Roman;sans-serif" w:hAnsi="Times New Roman;sans-serif"/>
          <w:b w:val="false"/>
          <w:color w:val="000000"/>
          <w:sz w:val="18"/>
        </w:rPr>
        <w:t>(1)    “</w:t>
      </w:r>
      <w:r>
        <w:rPr>
          <w:rFonts w:ascii="Times New Roman;sans-serif" w:hAnsi="Times New Roman;sans-serif"/>
          <w:b w:val="false"/>
          <w:i/>
          <w:color w:val="000000"/>
          <w:sz w:val="18"/>
        </w:rPr>
        <w:t>Audit fees</w:t>
      </w:r>
      <w:r>
        <w:rPr>
          <w:color w:val="000000"/>
        </w:rPr>
        <w:t xml:space="preserve">” </w:t>
      </w:r>
      <w:r>
        <w:rPr>
          <w:rFonts w:ascii="Times New Roman;sans-serif" w:hAnsi="Times New Roman;sans-serif"/>
          <w:b w:val="false"/>
          <w:color w:val="000000"/>
          <w:sz w:val="18"/>
        </w:rPr>
        <w:t>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pStyle w:val="TextBody"/>
        <w:bidi w:val="0"/>
        <w:spacing w:lineRule="auto" w:line="288" w:before="0" w:after="200"/>
        <w:ind w:left="0" w:right="0" w:hanging="360"/>
        <w:jc w:val="left"/>
        <w:rPr/>
      </w:pPr>
      <w:r>
        <w:rPr>
          <w:rFonts w:ascii="Times New Roman;sans-serif" w:hAnsi="Times New Roman;sans-serif"/>
          <w:b w:val="false"/>
          <w:color w:val="000000"/>
          <w:sz w:val="18"/>
        </w:rPr>
        <w:t>(2)    “</w:t>
      </w:r>
      <w:r>
        <w:rPr>
          <w:rFonts w:ascii="Times New Roman;sans-serif" w:hAnsi="Times New Roman;sans-serif"/>
          <w:b w:val="false"/>
          <w:i/>
          <w:color w:val="000000"/>
          <w:sz w:val="18"/>
        </w:rPr>
        <w:t>Tax fees</w:t>
      </w:r>
      <w:r>
        <w:rPr>
          <w:color w:val="000000"/>
        </w:rPr>
        <w:t xml:space="preserve">” </w:t>
      </w:r>
      <w:r>
        <w:rPr>
          <w:rFonts w:ascii="Times New Roman;sans-serif" w:hAnsi="Times New Roman;sans-serif"/>
          <w:b w:val="false"/>
          <w:color w:val="000000"/>
          <w:sz w:val="18"/>
        </w:rPr>
        <w:t>include fees related to tax compliance and advice. Tax advice fees encompass a variety of permissible services, including technical tax advice related to federal and state income tax matters; and assistance with tax audits.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2024, all services billed by KPMG LLP were pre-approved by the audit committee in accordance with this policy.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pStyle w:val="TextBody"/>
        <w:bidi w:val="0"/>
        <w:spacing w:lineRule="auto" w:line="288" w:before="0" w:after="200"/>
        <w:jc w:val="center"/>
        <w:rPr/>
      </w:pPr>
      <w:r>
        <w:rPr>
          <w:rFonts w:ascii="Times New Roman;sans-serif" w:hAnsi="Times New Roman;sans-serif"/>
          <w:b/>
          <w:color w:val="000000"/>
          <w:sz w:val="20"/>
        </w:rPr>
        <w:t xml:space="preserve">OUR BOARD RECOMMENDS A VOTE </w:t>
      </w:r>
      <w:r>
        <w:rPr>
          <w:color w:val="000000"/>
        </w:rPr>
        <w:t>“</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APPROVAL OF PROPOSAL NO.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REPORT OF THE AUDIT COMMITTEE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with our management and KPMG LLP our audited consolidated financial statements as of and for the year ended December 31, 2024. The audit committee has also discussed with KPMG LLP the matters required to be discussed by applicable standards of the Public Company Accounting Oversight Board (United States).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the audit committee recommended to our Board that the audited consolidated financial statements as of and for the year ended December 31, 2024 be included in our annual report on Form 10-K for the year ended December 31, 2024 for filing with the 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Submitted by the Audit Committee</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P. Schmid (Chair)</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Magda Marquet, Ph.D.</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 Anthony Ware, M.D.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3</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NON-BINDING ADVISORY VOTE ON COMPENSATION OF OUR NAMED EXECUTIVE OFFICERS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are seeking a non-binding, advisory stockholder vote on the compensation awarded to our named executive officers for the fiscal year ended December 31, 2024, known as a “Say-on-Pay” vote.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of 2010 (the “Dodd-Frank Act”)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Say-on-Pay vote. The majority of our stockholders voted to hold the Say-on-Pay vote on an annual basis, and therefore, based on that vote, we present this vote every year.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is aligned with long-term stockholder interests. Stockholders are encouraged to read the Executive Compensation section of this proxy statement.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above, we request that stockholders approve, on a non-binding advisory basis, the compensation of our named executive officers as described in this proxy statement pursuant to the following resolution:</w:t>
      </w:r>
    </w:p>
    <w:p>
      <w:pPr>
        <w:pStyle w:val="TextBody"/>
        <w:bidi w:val="0"/>
        <w:spacing w:lineRule="auto" w:line="288" w:before="0" w:after="20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that the compensation paid to AnaptysBio’s named executive officers, as disclosed in this proxy statement, including the “Executive Compensation” section, compensation tables and narrative discussion, is hereby APPROVED.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Approval of named executive officer compensation requires the approval of a majority of the votes present or represented by proxy and voted for or against the matter.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non-binding. Although the vote is non-binding, our Board and compensation committee value the opinions of our stockholders and will consider the outcome of the vote when making future compensation decisions for our named executive officers.</w:t>
      </w:r>
    </w:p>
    <w:p>
      <w:pPr>
        <w:pStyle w:val="TextBody"/>
        <w:bidi w:val="0"/>
        <w:spacing w:lineRule="auto" w:line="288" w:before="0" w:after="200"/>
        <w:jc w:val="center"/>
        <w:rPr/>
      </w:pPr>
      <w:r>
        <w:rPr>
          <w:rFonts w:ascii="Times New Roman;sans-serif" w:hAnsi="Times New Roman;sans-serif"/>
          <w:b/>
          <w:color w:val="000000"/>
          <w:sz w:val="20"/>
        </w:rPr>
        <w:t>OUR BOARD RECOMMENDS A VOTE “</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APPROVAL OF PROPOSAL NO. 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PROPOSAL NO. 4</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APPROVE AMENDMENT TO OUR 2017 EQUITY INCENTIVE PLAN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2017 Equity Incentive Plan was adopted in connection with our initial public offering in 2017. On June 12, 2024, our stockholders approved the amendment and restatement of our 2017 Plan. We refer to our 2017 Plan as amended and restated as the “2017 Plan” in this proxy statement.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an amendment to our 2017 Plan (as amended, the “Amended Plan”). Our Board has approved the Amended Plan, subject to stockholder approval. If the Amended Plan is approved by our stockholders, it will become effective on the date of such stockholder approval (the “Amendment Effective Date”). If the Amended Plan is not approved, our current 2017 Plan will remain as-is.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determined that it is in the best interests of the Company and our stockholders to seek approval of the Amended Plan, which increases the number of shares that may be issued by 1,650,000 shares.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Rationale For and Reasons Why the Board Recommends a Vote FOR the Amended Plan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 is a Critical Element of Our Compensation Program</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equity compensation, including the grant of options, RSUs, certain performance-based options and performance-based restricted stock units (“PSUs”), has historically been a significant part of our overall compensation philosophy and a cornerstone of our method for attracting and retaining top caliber employees. We believe that the adoption of the Amended Plan is in the best interests of the Company, most importantly for the following reasons: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Allow us to recruit, retain and motivate highly qualified talent in an intensely competitive industry. If the Amended Plan is not approved and we are not able to offer competitive equity grants to prospective and current employees, qualified talent may join other companies instead of joining or staying with us, and our ability to compete in our industry would be seriously and negatively impacted, which could affect our long-term success.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Support our continued growth. Our need for shares has grown with our employee population. Since our 2017 initial public offering, our employee population has grown by approximately 178%. This growth has been organic as we have expanded our workforce to scale our operations. We currently anticipate that our employee population will continue to grow over the next few years as we continue to develop and advance our clinical pipeline.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Incentivize performance. Providing employees with an ownership stake creates a strong incentive for our employees to work hard for our future growth and success.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Align employee interests with those of our stockholders. We believe that our equity incentive compensation program aligns the interests of employees and stockholders, and focuses employee grantees on achieving strong corporate performance and creating long-term stockholder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 Amended Plan is not approved by our stockholders, our 2017 Plan will remain in effect, with, as of April 1, 2025, only 845,138 shares remaining available to be granted. This remaining pool is unlikely to be sufficient given our projected equity award needs through 2026. If we run out of shares, we may be forced to consider cash replacement alternatives to provide a market-competitive total compensation package necessary to attract, retain and motivate the employee talent critical to our future successes. These cash replacement alternatives could, among other things, reduce the cash available for investment in growth and development and cause a loss of motivation by employees to achieve superior performance over a longer period of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Current 2017 Plan Information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30,332,693 total shares of our common stock outstanding.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845,138 shares available for grant under the 2017 Plan.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7,633,612 shares issuable upon the exercise of outstanding time-vesting stock options and performance-vesting stock options (assuming maximum achievement) with a weighted-average exercise price of $23.06 and a weighted average remaining contractual term of 7.91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1,516,708 shares subject to outstanding RSUs.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498,000 shares subject to outstanding PSUs contingent on achieving a $50, $75, and $100 share price.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were no shares available for grant under the Amended and Restated 2006 Equity Incentive Plan (the “2006 Plan”) (the predecessor plan that terminated in connection with our 2017 Plan).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closing market price of our common stock on April 1, 2025 was $18.40.</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Carefully Consider and Forecast Our Need for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After carefully forecasting our anticipated growth rate for the next few years and considering our historical usage and forfeiture rates, we are requesting approval of 1,650,000 shares, or approximately 5.4% of the shares of our common stock outstanding, for the 2017 Plan to allow us to make anticipated grants of equity incentive awards as part of our total compensation program for the remainder of 2025 and 2026. However, a change in business conditions, Company strategy or market performance could alter this projection.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thoughtfully administers our equity incentive programs to manage potential stockholder dilution and to this end our compensation committee considered both our “burn rate” and our “overhang” in evaluating the impact of the 2017 Plan on our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Grant Practices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past three fiscal years, we granted equity awards under our 2017 Plan as summarized in the chart below. Our three-year average burn rate was approximately 9.32% for fiscal years 2022 through 2024 (see chart below for a calculation of our three-year burn rate).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“burn rate” as the number of time-based and performance-based equity awards granted during the year divided by the weighted average total number of shares of common stock outstanding.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burn rate figures included below are based on equity awards granted under our 2017 Plan, and exclude potential dilution resulting from shares issued pursuant to our 2017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tbl>
      <w:tblPr>
        <w:tblW w:w="10205" w:type="dxa"/>
        <w:jc w:val="left"/>
        <w:tblInd w:w="0" w:type="dxa"/>
        <w:tblLayout w:type="fixed"/>
        <w:tblCellMar>
          <w:top w:w="28" w:type="dxa"/>
          <w:left w:w="28" w:type="dxa"/>
          <w:bottom w:w="28" w:type="dxa"/>
          <w:right w:w="28" w:type="dxa"/>
        </w:tblCellMar>
      </w:tblPr>
      <w:tblGrid>
        <w:gridCol w:w="258"/>
        <w:gridCol w:w="227"/>
        <w:gridCol w:w="229"/>
        <w:gridCol w:w="660"/>
        <w:gridCol w:w="660"/>
        <w:gridCol w:w="662"/>
        <w:gridCol w:w="574"/>
        <w:gridCol w:w="574"/>
        <w:gridCol w:w="576"/>
        <w:gridCol w:w="571"/>
        <w:gridCol w:w="571"/>
        <w:gridCol w:w="572"/>
        <w:gridCol w:w="1033"/>
        <w:gridCol w:w="1033"/>
        <w:gridCol w:w="1036"/>
        <w:gridCol w:w="304"/>
        <w:gridCol w:w="277"/>
        <w:gridCol w:w="222"/>
        <w:gridCol w:w="166"/>
      </w:tblGrid>
      <w:tr>
        <w:trP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w:t>
            </w:r>
          </w:p>
        </w:tc>
        <w:tc>
          <w:tcPr>
            <w:tcW w:w="19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Granted Appreciation Awards (Options)</w:t>
            </w:r>
            <w:r>
              <w:rPr>
                <w:rFonts w:ascii="Times New Roman;sans-serif" w:hAnsi="Times New Roman;sans-serif"/>
                <w:b/>
                <w:color w:val="000000"/>
                <w:sz w:val="12"/>
              </w:rPr>
              <w:t>(1)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Granted Full-Value Awards (RSUs</w:t>
            </w:r>
            <w:r>
              <w:rPr>
                <w:rFonts w:ascii="Times New Roman;sans-serif" w:hAnsi="Times New Roman;sans-serif"/>
                <w:b/>
                <w:color w:val="000000"/>
                <w:sz w:val="12"/>
              </w:rPr>
              <w:t>(2)</w:t>
            </w:r>
            <w:r>
              <w:rPr>
                <w:rFonts w:ascii="Times New Roman;sans-serif" w:hAnsi="Times New Roman;sans-serif"/>
                <w:b/>
                <w:color w:val="000000"/>
                <w:sz w:val="18"/>
              </w:rPr>
              <w:t>)</w:t>
            </w:r>
          </w:p>
        </w:tc>
        <w:tc>
          <w:tcPr>
            <w:tcW w:w="1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Granted Full-Value Awards (PSUs)</w:t>
            </w:r>
            <w:r>
              <w:rPr>
                <w:rFonts w:ascii="Times New Roman;sans-serif" w:hAnsi="Times New Roman;sans-serif"/>
                <w:b/>
                <w:color w:val="000000"/>
                <w:sz w:val="12"/>
              </w:rPr>
              <w:t>(3)</w:t>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Common Stock Outstanding as of December 31st of the applicable year</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Burn Rate</w:t>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1,693,080</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143,400</w:t>
            </w:r>
          </w:p>
        </w:tc>
        <w:tc>
          <w:tcPr>
            <w:tcW w:w="1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28,165,051</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1,579,331</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568,574</w:t>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26,923,798</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2,423,788</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882,385</w:t>
            </w:r>
          </w:p>
        </w:tc>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511,000</w:t>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28,381,729</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11.65%</w:t>
            </w:r>
            <w:r>
              <w:rPr>
                <w:rFonts w:ascii="Times New Roman;sans-serif" w:hAnsi="Times New Roman;sans-serif"/>
                <w:b w:val="false"/>
                <w:color w:val="000000"/>
                <w:sz w:val="13"/>
              </w:rPr>
              <w:t>(4)</w:t>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time-based options granted during 2022, 2023 and 2024 and performance-based options granted during 2022 and 2023.</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(2) Includes time-based RSUs granted during 2022, 2023 and 2024; however, excludes the one-time RSU grant (887,043) required to recruit a CEO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Includes PSUs granted during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Excludes the PSUs granted in 2024 that will not vest unless we achieve $50, $75, and $100 share price targets. Including such PSUs our adjusted burn rate for 2024 would be 13.45%.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additional metric that the Company uses to measure the cumulative impact of its equity incentive programs is “overhang.” We define overhang as: (i) the sum of: (a) the number of shares subject to equity awards outstanding, but not exercised or settled; and (b) the number of shares available for grant under the equity plans; divided by (ii) the sum of: (a) the total number of shares outstanding as of April 1, 2025; (b) the number of shares subject to equity awards outstanding, but not exercised or settled; and (c) the number of shares available for grant under the equity plans. If the proposed amendment to the 2017 Plan is approved, the Company’s overhang would be 28.6%, which we would expect to decline as awards are exercised and/or become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1"/>
        <w:gridCol w:w="615"/>
        <w:gridCol w:w="618"/>
        <w:gridCol w:w="606"/>
        <w:gridCol w:w="606"/>
        <w:gridCol w:w="607"/>
        <w:gridCol w:w="617"/>
        <w:gridCol w:w="617"/>
        <w:gridCol w:w="618"/>
        <w:gridCol w:w="526"/>
        <w:gridCol w:w="526"/>
        <w:gridCol w:w="528"/>
        <w:gridCol w:w="524"/>
        <w:gridCol w:w="524"/>
        <w:gridCol w:w="526"/>
        <w:gridCol w:w="421"/>
        <w:gridCol w:w="421"/>
        <w:gridCol w:w="60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Appreciation Awards (Options and SARs) under all plans</w:t>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options</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term of options</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Full value RSU awards outstanding under all plans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Full value PSU awards outstanding under all plans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available for grant under all plans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(2017 Plan Only)</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7,633,612</w:t>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$23.06</w:t>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1,516,708</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498,000</w:t>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845,138</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evaluates and considers factors that may impact burn rate and overhang. The following factors that are beneficial to all stockholders have impacted our burn rate and overhang relative to peers: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 2023, we repurchased $50.0 million of our common stock, resulting in the reduction of 2.1 million shares of stock outstanding, or approximately 7.4%.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 March 2025, we announced our intention to repurchase up to $75.0 million of our common stock. If we were to complete this repurchase at an average share purchase price of $18.40 (our closing per share price as of April 1, 2025), this would result in the reduction of 4.1 million shares of stock outstanding, or approximately 13.5%.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number of shares of common stock outstanding as of April 1, 2025, 30.3 million, is significantly lower than the 50th percentile of number of shares of common stock outstanding of our peer group 59.8 million.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removed the automatic increase “evergreen” provision of our 2017 Plan in June 2024, that provided for an automatic 4% annual increase to the share pool, which would have been approximately 1.2 million shares in 2025.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factors include stock price and out-of-cycle grants (which include significant new hires and special one-time retention grants).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Purpose of Proposed Amendment of the 2017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we are requesting approval of an increase of 1,650,000 shares for the 2017 Plan to cover anticipated equity awards, such as those for new hires, refresh awards, potential special retention needs, merger and acquisition activities and non-employee director grants. We are not proposing any other changes to the 2017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approved by our stockholders, the Amended Plan will be effective on the date of stockholder approval. We intend to register the additional shares authorized under the Amended Plan under the Securities Act. If our stockholders do not approve the Amended Plan, the 2017 Plan will continue without amendment.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Summary of the Amended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features of the Amended Plan. This summary, however, does not purport to be a complete description of all of the provisions of the Amended Plan. It is qualified in its entirety by reference to the full text of the Amended Plan, as proposed to be amended, a copy of which is attached hereto as Annex A.</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Background; Purpose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2017 Plan was adopted by our Board on January 12, 2017 and became effective on January 24, 2017 (the “Original Effective Date”). The Amended Plan will terminate 10 years after January 12, 2017 the date the 2017 Plan was originally approved by our Board. The purpose of the Amended Plan is to provide incentives to attract, retain and motivate eligible persons whose present and potential contributions are important to our success.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Employees, officers, directors, consultants, independent contractors and advisors of the Company or any parent, subsidiary or affiliate of the Company are eligible to receive awards. As of April 1, 2025, we had four executive officers (as such term is defined under Rule 16a-1(f)), eight non-employee directors and approximately 135 other employees and other service providers who would be eligible to participate in the Amended Plan.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Plan will be administered by our compensation committee, all of the members of which are non-employee directors under applicable federal securities laws and outside directors as defined under applicable federal tax laws. Our compensation committee will act as the plan administrator and have the authority to construe and interpret the Amended Plan, grant awards, determine the terms and conditions of awards and make all other determinations necessary or advisable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administration of the Amended Plan (subject to the limitations set forth in the Amended Plan). However, our Board establishes the terms for the grant of awards to non-employee directors as discussed above under “Proposal No. 1 Election of Class II Directors-Non-Employee Director Compensation”.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Reserve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stockholders approve the Amended Plan, there will be a cumulative total of 14,136,075 shares authorized, which includes (i) the approved pool of 11,870,410 shares under the 2017 Plan,(ii) 308,343 reserved shares not issued or subject to outstanding grants under the 2006 Plan on the IPO date, (iii) 307,322 cancelled grants from the 2006 Plan since the IPO date through April 1, 2025 and (iv) the new 1,650,000 shares which stockholders are asked to approve under this Proposal No. 4. The Amended Plan does not include an “evergreen” provision, and there will be no automatic annual increases thereunder.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shares of our common stock will be available for grant and issuance under our Amended Plan:</w:t>
      </w:r>
    </w:p>
    <w:p>
      <w:pPr>
        <w:pStyle w:val="TextBody"/>
        <w:bidi w:val="0"/>
        <w:spacing w:lineRule="auto" w:line="288" w:before="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With respect to awards granted under the Amended Plan (include prior to its amendment):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shares subject to issuance upon exercise of a stock option or stock appreciation right granted under the Amended Plan but which cease to be subject to the option or stock appreciation right for any reason other than exercise of the stock option or stock appreciation right;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shares subject to awards granted under the Amended Plan that are forfeited or are repurchased by the Company at the original issue price;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shares subject to awards granted under the Amended Plan that otherwise terminate without such shares being issued;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shares surrendered pursuant to a stockholder-approved Exchange Program.</w:t>
      </w:r>
    </w:p>
    <w:p>
      <w:pPr>
        <w:pStyle w:val="TextBody"/>
        <w:bidi w:val="0"/>
        <w:spacing w:lineRule="auto" w:line="288" w:before="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With respect to awards granted under the 2006 Plan: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shares that are subject to stock options or other awards granted under the 2006 Plan that cease to be subject to such stock options or other awards by forfeiture or otherwise after the Original Effective Date,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shares issued under the 2006 Plan before or after the Original Effective Date pursuant to the exercise of stock options that are, after the Original Effective Date, forfeited;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shares issued under the 2006 Plan that are repurchased by the Company at the original issue price.</w:t>
      </w:r>
    </w:p>
    <w:p>
      <w:pPr>
        <w:pStyle w:val="TextBody"/>
        <w:bidi w:val="0"/>
        <w:spacing w:lineRule="auto" w:line="288" w:before="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With respect to awards granted under the Amended Plan or the 2006 Plan: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shares that are used to pay the exercise price of an award or withheld to satisfy the tax withholding obligations related to an award.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Shares that otherwise become available for grant and issuance shall not include shares subject to awards that initially became available because of the Company’s substitution or assumption of awards granted by another company in connection with an acquisition of such company, or otherwise, as permitted under the Amended Plan.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Equitable Adjustments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proportionate adjustments will be made to (a) the number and class of shares reserved for issuance and future grant under the Amended Plan (including the maximum number and class of ISOs (as defined below)), (b) the exercise prices of and number and class of shares subject to outstanding options and stock appreciation rights, (c) the number and class of shares subject to outstanding awards (other than options and stock appreciation rights), and (d) the number and class of shares that may be granted as awards to non-employee directors, subject to any required action by the Board or the stockholders of the Company.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will permit us to grant the following types of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Stock Options. The Amended Plan provides for the grant of Incentive Stock Options (“ISOs”) and Non-qualified Stock Options (“NSOs”). ISOs may be granted only to our employees or employees of our parent, subsidiaries and affiliates. NSOs may be granted to eligible employees, consultants and directors of any of our parent, subsidiaries or affiliates. We are able to issue no more than 12,000,000 shares pursuant to the grant of ISOs under the Amended Plan. Our compensation committee determines the terms of each option award, provided that ISOs are subject to statutory limitations. Our compensation committee also determines the exercise price for a stock option, provided that the exercise price of an option may not be less than the fair market value of our common stock on the date of grant (with certain additional requirements for certain ISOs). Options granted under the Amended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Amended Plan, up to a term of ten years (with certain additional requirements for certain ISOs). 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Restricted Stock Units. RSUs represent the right to receive shares of our common stock at a specified date in the future or upon satisfaction of performance goals specified by the compensation committee, subject to forfeiture of 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 Our compensation committee determines the term of RSUs granted under the Amended Plan.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Restricted Stock Awards. A restricted stock award is an offer by us to sell shares of our common stock subject to restrictions that our compensation committee may impose. These restrictions may be based on completion of a specified period of service with us or upon the achievement of performance goals during a performance period. Our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Stock Bonus Awards. A stock bonus is an award of shares of our common stock for past or future services to us. Stock bonuses can be granted as additional compensation for performance and, therefore, are not issued in exchange for cash. Our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Stock Appreciation Rights. Stock appreciation rights provide for a payment, or payments, in cash or shares of our common stock to the holder based upon the difference between the fair market value of our common stock on the date of exercise and the stated exercise price of the stock appreciation right. Stock appreciation rights may vest based on time or achievement of performance goals. Our compensation committee determines the term of stock appreciation rights granted under the Amended Plan, up to a term of ten years.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Performance Awards. A performance award is an award of a cash bonus or a bonus denominated in shares or units that is subject to performance factors. The award of performance shares may be settled in cash or by issuance of those shares (which may consist of restricted stock). These awards are subject to forfeiture because of termination of employment or failure to achieve the performance conditions.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may establish performance goals from the performance criteria set forth in the Amended Plan, which include the following: profit before tax; billings; revenue; net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operating expenses or operating expenses as a percentage of revenue; net income; earning per share; total stockholder return; market share; return on assets or net assets; the Company’s stock price; growth in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value relative to a pre-determined index; return on equity; return on invested capital; cash flow (including free cash flow or operating cash flows);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attainment of research and development milestones;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and any other metric that is capable of measurement as determined by the compensation committee. The compensation committee may provide for one or more equitable adjustments to the performance criteria, including to preserve compensation committee’s original intent regarding such criteria at the time of the initial award grant, such as but not limited to, adjustments in recognition of unusual or non-recurring items such as acquisition related activities or changes in applicable accounting rules.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Approval Required for Repricing, Exchange and Buyout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not, without the approval of our stockholders, reprice options or stock appreciation rights, including pursuant to an exchange program whereby cash or new awards are issued in exchange for the surrender and cancellation of any, or all, outstanding awards.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Clawback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participant who receives an award will comply with any policy adopted by the Company from time to time covering transactions in our securities by employees, officers and/or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awards will be subject to clawback or recoupment pursuant to any compensation clawback or recoupment policy adopted by the Board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Restrictions on Dividends and Dividend Equivalents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undergo a Corporate Transaction (as defined in the Amended Plan), any or all outstanding awards may be 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the Amended Plan to the contrary, such awards will expire on such transaction at such time and on such conditions as the Board will determine; the Board (or, the compensation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compensation committee will notify the participant in writing or electronically that such award will be exercisable for a period of time determined by the compensation committee in its sole discretion, and such award will terminate upon the expiration of such period. Awards need not be treated similarly in a Corporate Transaction and treatment may vary from award to award and/or from participant to participant.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Award Recipients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Transferability of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compensation committee provides otherwise, the Amended Plan does not allow for the transfer of awards, other than by will or the laws of descent and distribution, and generally only the recipient of an award may exercise it during his or her lifetime.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Grants to Non-Employee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Grants to non-employee directors are eligible to receive any type of award offered under the Amended Plan except ISOs. Awards to non-employee directors under the Amended Plan may be automatically made pursuant to a policy adopted by the Board, or made from time to time as determined in the discretion of the Board. The aggregate number of shares subject to awards granted to a non-employee director under the Amended Plan in any calendar year shall not exceed one hundred thousand (100,000).</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and Termination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is permitted to amend or terminate the Amended Plan at any time, subject to stockholder approval where required. In any event, no termination or amendment of the Amended Plan or any outstanding award may adversely affect any then outstanding award without the consent of the participant, unless such termination or amendment is necessary to comply with applicable law, regulation or rule.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2017 Plan originally become effective on the Original Effective Date. Unless earlier terminated as provided in the Amended Plan, the Amended Plan will become effective on the Amended Effective Date and will terminate ten (10) years from January 12, 2017, the date the 2017 Plan, prior to its amendment and restatement, was originally adopted by the Board.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Income Tax Consequences.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under current law of certain U.S. federal income tax consequences to participants who are citizens or individual residents of the United States relating to the types of equity awards that may be granted under the Amended Plan. This summary deals with the general tax principles and is provided only for general information. Certain kinds of taxes, such as foreign taxes, state and local income taxes, payroll taxes and the alternative minimum tax, are not discussed.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Nonqualified Stock Options, Stock Appreciation Rights. A recipient of an NSO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Incentive Stock Options. Neither the grant nor the exercise of an ISO will generally result in any taxable income to the recipient, except that the 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short‐term or long‐term capital gain or loss, depending on the length of time the recipient holds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Restricted Stock Units. A holder of RSUs does not recognize taxable income when the RSUs are granted. The recipient of the award generally will recognize ordinary income in each year in which the units vest in an amount equal to the fair market value of the shares of common stock received.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Awards. The grant of restricted stock awards, stock bonus awards and performance shares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pStyle w:val="TextBody"/>
        <w:bidi w:val="0"/>
        <w:spacing w:lineRule="auto" w:line="288" w:before="0" w:after="180"/>
        <w:jc w:val="left"/>
        <w:rPr/>
      </w:pPr>
      <w:r>
        <w:rPr>
          <w:rFonts w:ascii="Times New Roman;sans-serif" w:hAnsi="Times New Roman;sans-serif"/>
          <w:b w:val="false"/>
          <w:i/>
          <w:color w:val="000000"/>
          <w:sz w:val="20"/>
        </w:rPr>
        <w:t>ERISA Information</w:t>
      </w:r>
      <w:r>
        <w:rPr>
          <w:rFonts w:ascii="Times New Roman;sans-serif" w:hAnsi="Times New Roman;sans-serif"/>
          <w:b w:val="false"/>
          <w:color w:val="000000"/>
          <w:sz w:val="20"/>
        </w:rPr>
        <w:t>. The Amended Plan is not subject to the provisions of the Employee Retirement Income Security Act of 1974, as amended.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New Plan Benefits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and members of our Board have an interest in this proposal by virtue of them being eligible to receive equity awards under the Amended Plan. No awards have been granted that are contingent on the approval of the Amended Plan. Future awards under the Amended Plan to executive officers, employees or other eligible participants are discretionary and cannot be determined at this time. Currently, our non-employee directors are entitled to receive cash and equity compensation for their service as directors as described above under “Proposal No. 1 Election of Class II Directors-Non-Employee Director Compensation”.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Historical Plan Benefits Table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subject to stock options or restricted or performance stock unit awards granted under the 2017 Plan from its Original Effective Date through December 31, 2024, excluding shares underlying options or awards that were granted under the 2017 Plan that expired unexercised or were canceled:</w:t>
      </w:r>
    </w:p>
    <w:tbl>
      <w:tblPr>
        <w:tblW w:w="9749" w:type="dxa"/>
        <w:jc w:val="left"/>
        <w:tblInd w:w="0" w:type="dxa"/>
        <w:tblLayout w:type="fixed"/>
        <w:tblCellMar>
          <w:top w:w="28" w:type="dxa"/>
          <w:left w:w="28" w:type="dxa"/>
          <w:bottom w:w="28" w:type="dxa"/>
          <w:right w:w="28" w:type="dxa"/>
        </w:tblCellMar>
      </w:tblPr>
      <w:tblGrid>
        <w:gridCol w:w="2209"/>
        <w:gridCol w:w="1938"/>
        <w:gridCol w:w="1943"/>
        <w:gridCol w:w="1070"/>
        <w:gridCol w:w="1070"/>
        <w:gridCol w:w="1519"/>
      </w:tblGrid>
      <w:tr>
        <w:trPr/>
        <w:tc>
          <w:tcPr>
            <w:tcW w:w="22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 of Securities Underlying Awards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6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Faga, Chief Executive Officer</w:t>
            </w:r>
          </w:p>
        </w:tc>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1,854,194</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Lizzul, M.D., Ph.D., Chief Medical Officer</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541,410</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 Chief Financial Officer</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464,790</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current executive officers (including named executive officers)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persons)</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3,424,534</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non-employee directors as a group (8 persons)</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648,924</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employees (excluding current executive officers and directors)</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5,214,051</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approval of the Amended Plan requires the approval of a majority of the votes present or represented by proxy and voted for or against the matter.</w:t>
      </w:r>
    </w:p>
    <w:p>
      <w:pPr>
        <w:pStyle w:val="TextBody"/>
        <w:bidi w:val="0"/>
        <w:spacing w:lineRule="auto" w:line="288" w:before="0" w:after="200"/>
        <w:jc w:val="center"/>
        <w:rPr/>
      </w:pPr>
      <w:r>
        <w:rPr>
          <w:rFonts w:ascii="Times New Roman;sans-serif" w:hAnsi="Times New Roman;sans-serif"/>
          <w:b/>
          <w:color w:val="000000"/>
          <w:sz w:val="20"/>
        </w:rPr>
        <w:t>OUR BOARD RECOMMENDS A VOTE “</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APPROVAL OF PROPOSAL NO.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5</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NON-BINDING ADVISORY VOTE ON THE FREQUENCY OF HOLDING FUTURE ADVISORY VOTES REGARDING NAMED EXECUTIVE OFFICER COMPENSATION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Section 14A of the Exchange Act, at least every six years our stockholders are entitled to cast an advisory vote to indicate the frequency with which we should hold future non- binding votes to approve executive compensation, commonly known as a “say-when-on-pay” vote, or to abstain from voting.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requesting your non-binding vote to determine whether the frequency of the vote to approve the compensation of our named executive officers should be every one year, two years or three years. Our board of directors and the compensation committee believe that annual votes will allow the compensation committee, management, and our stockholders to continue to engage in a timely, open and meaningful dialogue regarding our executive compensation philosophy, policies and practices.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option of one year, two years or three years that receives the highest number of votes cast by the holders of shares represented in person or by proxy at the meeting and entitled to vote thereon will be the frequency for the advisory vote on named executive officer compensation that has been selected by stockholders. Abstentions and broker non-votes will have no effect on the outcome of the vote. As an advisory vote, the vote on this Proposal 5 is not binding on us. However, the board of directors and the compensation and nominating and governance committees of the Board value the opinions of our stockholders and will consider the outcome of the vote when setting the frequency of the advisory vote on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BOARD RECOMMENDS A VOTE FOR A FREQUENCY OF EVERY YEAR (ONE YEAR) FOR HOLDING FUTURE NON- BINDING VOTES TO APPROVE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our common stock as of April 1, 2025 for: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each of our directors;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each of our named executive officers;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all of our directors and executive officers as a group; and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each person, or group of affiliated persons, known by us to be the beneficial owner of more than 5% of our common stock.</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percentage ownership is based on 30,332,693 shares of common stock issued and outstanding as of April 1, 2025.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April 1, 2025.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tbl>
      <w:tblPr>
        <w:tblW w:w="9972" w:type="dxa"/>
        <w:jc w:val="left"/>
        <w:tblInd w:w="0" w:type="dxa"/>
        <w:tblLayout w:type="fixed"/>
        <w:tblCellMar>
          <w:top w:w="28" w:type="dxa"/>
          <w:left w:w="28" w:type="dxa"/>
          <w:bottom w:w="28" w:type="dxa"/>
          <w:right w:w="28" w:type="dxa"/>
        </w:tblCellMar>
      </w:tblPr>
      <w:tblGrid>
        <w:gridCol w:w="1825"/>
        <w:gridCol w:w="1602"/>
        <w:gridCol w:w="1612"/>
        <w:gridCol w:w="799"/>
        <w:gridCol w:w="799"/>
        <w:gridCol w:w="801"/>
        <w:gridCol w:w="742"/>
        <w:gridCol w:w="742"/>
        <w:gridCol w:w="1050"/>
      </w:tblGrid>
      <w:tr>
        <w:trPr/>
        <w:tc>
          <w:tcPr>
            <w:tcW w:w="18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Beneficial Owner</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w:t>
            </w:r>
          </w:p>
        </w:tc>
      </w:tr>
      <w:tr>
        <w:trPr/>
        <w:tc>
          <w:tcPr>
            <w:tcW w:w="5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Named Executive Officers and Directors</w:t>
            </w:r>
          </w:p>
        </w:tc>
        <w:tc>
          <w:tcPr>
            <w:tcW w:w="2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Daniel Faga</w:t>
            </w:r>
            <w:r>
              <w:rPr>
                <w:rFonts w:ascii="Times New Roman;sans-serif" w:hAnsi="Times New Roman;sans-serif"/>
                <w:b w:val="false"/>
                <w:color w:val="000000"/>
                <w:sz w:val="12"/>
              </w:rPr>
              <w:t>(1)</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699,219</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Paul Lizzul, M.D., Ph.D.</w:t>
            </w:r>
            <w:r>
              <w:rPr>
                <w:rFonts w:ascii="Times New Roman;sans-serif" w:hAnsi="Times New Roman;sans-serif"/>
                <w:b w:val="false"/>
                <w:color w:val="000000"/>
                <w:sz w:val="12"/>
              </w:rPr>
              <w:t>(2)</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315,155</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Dennis Mulroy</w:t>
            </w:r>
            <w:r>
              <w:rPr>
                <w:rFonts w:ascii="Times New Roman;sans-serif" w:hAnsi="Times New Roman;sans-serif"/>
                <w:b w:val="false"/>
                <w:color w:val="000000"/>
                <w:sz w:val="12"/>
              </w:rPr>
              <w:t>(3)</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284,939</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Dennis Fenton, Ph.D.</w:t>
            </w:r>
            <w:r>
              <w:rPr>
                <w:rFonts w:ascii="Times New Roman;sans-serif" w:hAnsi="Times New Roman;sans-serif"/>
                <w:b w:val="false"/>
                <w:color w:val="000000"/>
                <w:sz w:val="12"/>
              </w:rPr>
              <w:t>(4)</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83,270</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Magda Marquet, Ph.D.</w:t>
            </w:r>
            <w:r>
              <w:rPr>
                <w:rFonts w:ascii="Times New Roman;sans-serif" w:hAnsi="Times New Roman;sans-serif"/>
                <w:b w:val="false"/>
                <w:color w:val="000000"/>
                <w:sz w:val="12"/>
              </w:rPr>
              <w:t>(5)</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68,497</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Oleg Nodelman</w:t>
            </w:r>
            <w:r>
              <w:rPr>
                <w:rFonts w:ascii="Times New Roman;sans-serif" w:hAnsi="Times New Roman;sans-serif"/>
                <w:b w:val="false"/>
                <w:color w:val="000000"/>
                <w:sz w:val="12"/>
              </w:rPr>
              <w:t>(6)</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7,880,094</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Hollings Renton</w:t>
            </w:r>
            <w:r>
              <w:rPr>
                <w:rFonts w:ascii="Times New Roman;sans-serif" w:hAnsi="Times New Roman;sans-serif"/>
                <w:b w:val="false"/>
                <w:color w:val="000000"/>
                <w:sz w:val="12"/>
              </w:rPr>
              <w:t>(7)</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123,919</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John P. Schmid</w:t>
            </w:r>
            <w:r>
              <w:rPr>
                <w:rFonts w:ascii="Times New Roman;sans-serif" w:hAnsi="Times New Roman;sans-serif"/>
                <w:b w:val="false"/>
                <w:color w:val="000000"/>
                <w:sz w:val="12"/>
              </w:rPr>
              <w:t>(8)</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148,118</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 Anthony Ware, M.D.</w:t>
            </w:r>
            <w:r>
              <w:rPr>
                <w:rFonts w:ascii="Times New Roman;sans-serif" w:hAnsi="Times New Roman;sans-serif"/>
                <w:b w:val="false"/>
                <w:color w:val="000000"/>
                <w:sz w:val="12"/>
              </w:rPr>
              <w:t>(9)</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122,578</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Rita Jain, M.D.</w:t>
            </w:r>
            <w:r>
              <w:rPr>
                <w:rFonts w:ascii="Times New Roman;sans-serif" w:hAnsi="Times New Roman;sans-serif"/>
                <w:b w:val="false"/>
                <w:color w:val="000000"/>
                <w:sz w:val="12"/>
              </w:rPr>
              <w:t>(10)</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41,923</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John Orwin</w:t>
            </w:r>
            <w:r>
              <w:rPr>
                <w:rFonts w:ascii="Times New Roman;sans-serif" w:hAnsi="Times New Roman;sans-serif"/>
                <w:b w:val="false"/>
                <w:color w:val="000000"/>
                <w:sz w:val="12"/>
              </w:rPr>
              <w:t>(11)</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34,548</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Executive Officers and Directors as a Group (12 people)</w:t>
            </w:r>
            <w:r>
              <w:rPr>
                <w:rFonts w:ascii="Times New Roman;sans-serif" w:hAnsi="Times New Roman;sans-serif"/>
                <w:b/>
                <w:color w:val="000000"/>
                <w:sz w:val="12"/>
              </w:rPr>
              <w:t>(12)</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10,175,040</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33.5%</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5% Stockholders</w:t>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EcoR1 Capital LLC</w:t>
            </w:r>
            <w:r>
              <w:rPr>
                <w:rFonts w:ascii="Times New Roman;sans-serif" w:hAnsi="Times New Roman;sans-serif"/>
                <w:b w:val="false"/>
                <w:color w:val="000000"/>
                <w:sz w:val="12"/>
              </w:rPr>
              <w:t>(13)</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7,880,094</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First Light Asset Management, LLC.</w:t>
            </w:r>
            <w:r>
              <w:rPr>
                <w:rFonts w:ascii="Times New Roman;sans-serif" w:hAnsi="Times New Roman;sans-serif"/>
                <w:b w:val="false"/>
                <w:color w:val="000000"/>
                <w:sz w:val="12"/>
              </w:rPr>
              <w:t>(14)</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4,653,068</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FMR LLC</w:t>
            </w:r>
            <w:r>
              <w:rPr>
                <w:rFonts w:ascii="Times New Roman;sans-serif" w:hAnsi="Times New Roman;sans-serif"/>
                <w:b w:val="false"/>
                <w:color w:val="000000"/>
                <w:sz w:val="12"/>
              </w:rPr>
              <w:t>(15)</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2,870,618</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BlackRock, Inc.</w:t>
            </w:r>
            <w:r>
              <w:rPr>
                <w:rFonts w:ascii="Times New Roman;sans-serif" w:hAnsi="Times New Roman;sans-serif"/>
                <w:b w:val="false"/>
                <w:color w:val="000000"/>
                <w:sz w:val="12"/>
              </w:rPr>
              <w:t>(16)</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2,548,468</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Point72 Asset Management, L.P.</w:t>
            </w:r>
            <w:r>
              <w:rPr>
                <w:rFonts w:ascii="Times New Roman;sans-serif" w:hAnsi="Times New Roman;sans-serif"/>
                <w:b w:val="false"/>
                <w:color w:val="000000"/>
                <w:sz w:val="12"/>
              </w:rPr>
              <w:t>(17)</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1,691,372</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r>
    </w:tbl>
    <w:p>
      <w:pPr>
        <w:pStyle w:val="TextBody"/>
        <w:bidi w:val="0"/>
        <w:spacing w:before="0" w:after="40"/>
        <w:jc w:val="left"/>
        <w:rPr/>
      </w:pPr>
      <w:r>
        <w:rPr/>
      </w:r>
    </w:p>
    <w:p>
      <w:pPr>
        <w:pStyle w:val="TextBody"/>
        <w:bidi w:val="0"/>
        <w:spacing w:lineRule="auto" w:line="240"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Represents beneficial ownership of less than one percent.</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 xml:space="preserve">Consists of (a) 436,466 shares of common stock held directly by Mr. Faga and (b) 262,753 shares of common stock issuable to Mr. Faga upon the exercise of stock options that are exercisable or restricted stock units that are vesting within 60 days of April 1, 2025.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Consists of (a) 25,643 shares of common stock held directly by Dr. Lizzul and (b) 289,512 shares of common stock issuable to Dr. Lizzul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Consists of (a) 13,802 shares of common stock held directly by Mr. Mulroy and (b) 271,137 shares of common stock issuable to Mr. Mulroy upon the exercise of stock options that are exercisable within 60 days of April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Consists of (a) 1,950 shares of common stock held directly by Dr. Fenton and (b) 81,320 shares of common stock issuable to Dr. Fenton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    Consists of (a) 3,900 shares of common stock held directly by Dr. Marquet and (b) 64,597 shares of common stock issuable to Dr. Marquet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    Consists of the shares of common stock described in footnote 13 below. Mr. Nodelman joined our Board in April 2021, and disclaims beneficial ownership of such shares, except to the extent of his pecuniary interest therein.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    Consists of 1,950 shares of commons stock held directly by Mr. Renton and (b) 121,969 shares of common stock issuable to Mr. Renton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(8)    Consists of (a) 46,237 shares of common stock held directly by Mr. Schmid (b) 11,068 shares of common stock held indirectly related to his position as the trustee of the SpeakInc. Employee Stock Ownership Plan; and (c) 90,813 shares of common stock issuable to Mr. Schmid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(9)    Consists of (a) 7,500 shares of common stock held directly by Dr. Ware and (b) 115,078 shares of common stock issuable to Dr. Ware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(10)    Consists of 4,534 shares of common stock held directly by Dr. Jain and (b) 37,389 issuable to Dr. Jain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(11)    Consists of (a) 3,335 shares of common stock held directly by Mr. Orwin and (b) 31,213 shares of common stock issuable to Mr. Orwin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(12)    Includes shares beneficially owned by our executive officers and directors. Consists of (a) 8,447,482 shares of common stock and (b) 1,727,558 shares of common stock issuable upon the exercise of stock options that are exercisable within 60 days of April 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(13)    Consists of 7,880,094 shares of common stock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(14)    Based on a Schedule 13-G filed by First Light Asset Management, LLC on February 28, 2025. Consists of 4,653,068 shares of common stock held by First Light Asset Management. First Light Asset Management’s address is 3300 Edinborough Way, Suite 201, Edina, MN 55435.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(15)    Based on a Schedule 13-G filed by FMR, LLC. on July 9, 2024. Consists of 2,870,618 shares of common stock held by FMR, LLC. FMR’s address is 245 Summer Street, Boston, MA 02210.</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(16)    Based on a Schedule 13-G filed by BlackRock, Inc. (“BlackRock”) on December 31, 2024. Consists of 2,548,468 shares of common stock held by certain business units of BlackRock. BlackRock’s address is 50 Hudson Yards, New York, NY 10001.</w:t>
      </w:r>
    </w:p>
    <w:p>
      <w:pPr>
        <w:pStyle w:val="TextBody"/>
        <w:bidi w:val="0"/>
        <w:spacing w:lineRule="auto" w:line="288" w:before="0" w:after="20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(17)    Based on a Schedule 13-G filed by Point72 Asset Management, L.P. on February 14, 2025. Consists of 1,691,372 shares of common stock held by Point72 Associates, LLC, Point72 Capital Advisors, Inc. and Steven A. Cohen. The address of the principal business office of Point72 Asset Management, Point72 Capital Advisors Inc., and Mr. Cohen is 72 Cummings Point Road, Stamford, CT 06902.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our executive officers as of March 31, 2025: </w:t>
      </w:r>
    </w:p>
    <w:tbl>
      <w:tblPr>
        <w:tblW w:w="6735" w:type="dxa"/>
        <w:jc w:val="left"/>
        <w:tblInd w:w="0" w:type="dxa"/>
        <w:tblLayout w:type="fixed"/>
        <w:tblCellMar>
          <w:top w:w="28" w:type="dxa"/>
          <w:left w:w="28" w:type="dxa"/>
          <w:bottom w:w="28" w:type="dxa"/>
          <w:right w:w="28" w:type="dxa"/>
        </w:tblCellMar>
      </w:tblPr>
      <w:tblGrid>
        <w:gridCol w:w="749"/>
        <w:gridCol w:w="659"/>
        <w:gridCol w:w="661"/>
        <w:gridCol w:w="135"/>
        <w:gridCol w:w="135"/>
        <w:gridCol w:w="136"/>
        <w:gridCol w:w="1244"/>
        <w:gridCol w:w="1244"/>
        <w:gridCol w:w="177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20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4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2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Director</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Loumeau, J.D.</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Lizzul, M.D., Ph.D.</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Medical Officer</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Mr. Faga’s biographical information is set forth above under the heading “Proposal No. 1 Election of Class II Directors-Nominees to the Board – Continuing Directors.”</w:t>
      </w:r>
    </w:p>
    <w:p>
      <w:pPr>
        <w:pStyle w:val="TextBody"/>
        <w:bidi w:val="0"/>
        <w:spacing w:lineRule="auto" w:line="288" w:before="0" w:after="200"/>
        <w:jc w:val="left"/>
        <w:rPr/>
      </w:pPr>
      <w:r>
        <w:rPr>
          <w:rFonts w:ascii="Times New Roman;sans-serif" w:hAnsi="Times New Roman;sans-serif"/>
          <w:b/>
          <w:i/>
          <w:color w:val="000000"/>
          <w:sz w:val="20"/>
        </w:rPr>
        <w:t xml:space="preserve">Eric Loumeau, J.D. </w:t>
      </w:r>
      <w:r>
        <w:rPr>
          <w:rFonts w:ascii="Times New Roman;sans-serif" w:hAnsi="Times New Roman;sans-serif"/>
          <w:b w:val="false"/>
          <w:color w:val="000000"/>
          <w:sz w:val="20"/>
        </w:rPr>
        <w:t>has served as our Chief Legal Officer since May 2023. He previously served as our Chief Operating Officer from July 2020 to May 2023 and as our General Counsel from August 2018 to May 2023. Mr. Loumeau also served as 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pStyle w:val="TextBody"/>
        <w:bidi w:val="0"/>
        <w:spacing w:lineRule="auto" w:line="288" w:before="0" w:after="200"/>
        <w:jc w:val="left"/>
        <w:rPr/>
      </w:pPr>
      <w:r>
        <w:rPr>
          <w:rFonts w:ascii="Times New Roman;sans-serif" w:hAnsi="Times New Roman;sans-serif"/>
          <w:b/>
          <w:i/>
          <w:color w:val="000000"/>
          <w:sz w:val="20"/>
        </w:rPr>
        <w:t xml:space="preserve">Paul Lizzul M.D., Ph.D., M.P.H. </w:t>
      </w:r>
      <w:r>
        <w:rPr>
          <w:rFonts w:ascii="Times New Roman;sans-serif" w:hAnsi="Times New Roman;sans-serif"/>
          <w:b w:val="false"/>
          <w:color w:val="000000"/>
          <w:sz w:val="20"/>
        </w:rPr>
        <w:t>has served as our Chief Medical Officer since July 2020. From January 2020 to July 2020, he served as Executive Medical Director of Amgen Inc. From January 2016 to December 2019, he served as Chief Medical Officer of Sienna Biopharmaceuticals, Inc. Dr. Lizzul previously served as Senior Medical Director and Head of Safety at Kythera Biopharmaceuticals, Inc. from August 2012 until it was acquired by Allergan plc in October 2015. Prior to joining Kythera, Dr. Lizzul served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pStyle w:val="TextBody"/>
        <w:bidi w:val="0"/>
        <w:spacing w:lineRule="auto" w:line="288" w:before="0" w:after="200"/>
        <w:jc w:val="left"/>
        <w:rPr/>
      </w:pPr>
      <w:r>
        <w:rPr>
          <w:rFonts w:ascii="Times New Roman;sans-serif" w:hAnsi="Times New Roman;sans-serif"/>
          <w:b/>
          <w:i/>
          <w:color w:val="000000"/>
          <w:sz w:val="20"/>
        </w:rPr>
        <w:t>Dennis Mulroy</w:t>
      </w:r>
      <w:r>
        <w:rPr>
          <w:color w:val="000000"/>
        </w:rPr>
        <w:t xml:space="preserve"> </w:t>
      </w:r>
      <w:r>
        <w:rPr>
          <w:rFonts w:ascii="Times New Roman;sans-serif" w:hAnsi="Times New Roman;sans-serif"/>
          <w:b w:val="false"/>
          <w:color w:val="000000"/>
          <w:sz w:val="20"/>
        </w:rPr>
        <w:t>has served as our Chief Financial Officer since July 2020. From April 2015 to May 2020, Mr. Mulroy served as Chief Financial Officer of La Jolla Pharmaceutical Company. From 2005 to 2015, he served as Chief Financial Officer of Taxus Cardium Pharmaceuticals Group, Inc. From 2004 to 2005, Mr. Mulroy served as Chief Financial Officer of Molecular Imaging, Inc. Mr. Mulroy began his career at Ernst &amp; Young LLP. Mr. Mulroy received a B.B.A. degree in accounting from the University of San Diego and is a Certified Public Accountant (inactive) in the state of California.</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appointed by, and serve at the discretion of, our Board. There are no family relationships among any of our directors or executive officers.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overview and narrative (“Compensation Disclosure”) describes the key elements of our executive compensation program and compensation decisions for our named executive officers for 2024. This Compensation Disclosure is intended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r>
        <w:rPr>
          <w:rFonts w:ascii="Times New Roman;sans-serif" w:hAnsi="Times New Roman;sans-serif"/>
          <w:b w:val="false"/>
          <w:color w:val="000000"/>
          <w:sz w:val="20"/>
        </w:rPr>
        <w:t xml:space="preserve">to be read in conjunction with the tables that immediately follow this section, which provide additional compensation information for our named executive officers. As a “smaller reporting company” as defined in Item 10(f)(1) of Regulation S-K, we are not required to include a Compensation Discussion and Analysis section and have elected to comply with the scaled disclosure requirements applicable to smaller reporting companies. </w:t>
      </w:r>
      <w:r>
        <w:rPr>
          <w:rFonts w:ascii="Times New Roman;sans-serif" w:hAnsi="Times New Roman;sans-serif"/>
          <w:b w:val="false"/>
          <w:color w:val="000000"/>
          <w:sz w:val="20"/>
          <w:shd w:fill="FFFFFF" w:val="clear"/>
        </w:rPr>
        <w:t>However, we believe the additional narrative disclosure with respect to our executive compensation program will provide our stockholders with further information regarding our company and our executive compensation program and practices and therefore will assist in their consideration of Proposal No. 3, the non-binding advisory vote with respect to named executive officer compensation.</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2024, our “named executive officers” or “NEOs” were:</w:t>
      </w:r>
    </w:p>
    <w:p>
      <w:pPr>
        <w:pStyle w:val="TextBody"/>
        <w:bidi w:val="0"/>
        <w:spacing w:lineRule="auto" w:line="288" w:before="0" w:after="2"/>
        <w:ind w:left="0" w:right="0" w:hanging="360"/>
        <w:jc w:val="left"/>
        <w:rPr/>
      </w:pPr>
      <w:r>
        <w:rPr>
          <w:color w:val="000000"/>
        </w:rPr>
        <w:t>•</w:t>
      </w:r>
      <w:r>
        <w:rPr>
          <w:rFonts w:ascii="Times New Roman;sans-serif" w:hAnsi="Times New Roman;sans-serif"/>
          <w:b w:val="false"/>
          <w:color w:val="000000"/>
          <w:sz w:val="20"/>
        </w:rPr>
        <w:t>Daniel Faga, President and Chief Executive Officer and Director;</w:t>
      </w:r>
    </w:p>
    <w:p>
      <w:pPr>
        <w:pStyle w:val="TextBody"/>
        <w:bidi w:val="0"/>
        <w:spacing w:lineRule="auto" w:line="288" w:before="0" w:after="2"/>
        <w:ind w:left="0" w:right="0" w:hanging="360"/>
        <w:jc w:val="left"/>
        <w:rPr/>
      </w:pPr>
      <w:r>
        <w:rPr>
          <w:color w:val="000000"/>
        </w:rPr>
        <w:t>•</w:t>
      </w:r>
      <w:r>
        <w:rPr>
          <w:rFonts w:ascii="Times New Roman;sans-serif" w:hAnsi="Times New Roman;sans-serif"/>
          <w:b w:val="false"/>
          <w:color w:val="000000"/>
          <w:sz w:val="20"/>
        </w:rPr>
        <w:t>Paul Lizzul, Chief Medical Officer; and</w:t>
      </w:r>
    </w:p>
    <w:p>
      <w:pPr>
        <w:pStyle w:val="TextBody"/>
        <w:bidi w:val="0"/>
        <w:spacing w:lineRule="auto" w:line="288" w:before="0" w:after="2"/>
        <w:ind w:left="0" w:right="0" w:hanging="360"/>
        <w:jc w:val="left"/>
        <w:rPr/>
      </w:pPr>
      <w:r>
        <w:rPr>
          <w:color w:val="000000"/>
        </w:rPr>
        <w:t>•</w:t>
      </w:r>
      <w:r>
        <w:rPr>
          <w:rFonts w:ascii="Times New Roman;sans-serif" w:hAnsi="Times New Roman;sans-serif"/>
          <w:b w:val="false"/>
          <w:color w:val="000000"/>
          <w:sz w:val="20"/>
        </w:rPr>
        <w:t>Dennis Mulroy, Chief Financial Officer</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Business Overview</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in a Phase 1 trial. We have also discovered multiple therapeutic antibodies licensed to GlaxoSmithKline, Inc. (“GSK”) in a financial collaboration for immuno-oncology, including a PD-1 antagonist (Jemperli (dostarlimab-gxly)) and a TIM-3 antagonist (cobolimab, GSK4069889). We currently recognize revenue from milestones and royalties achieved under our immuno-oncology collaboration with GSK and license and transition services revenue from our collaboration with Vanda Pharmaceuticals.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2024 Corporate Performance Summary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made progress on several program and corporate milestones during 2024, including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Advanced a global Phase 2b trial to treat RA with rosnilimab, with initial clinical data reported in February 2025 and full clinical data expected in the second quarter of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Advanced a global Phase 2 trial to treat UC with rosnilimab, initial clinical data expected second half of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Completed a global Phase 2b trial to treat AD with ANB032, our BTLA agonist;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Initiated a Phase 1 trial of ANB033;</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Advanced preclinical development of ANB101, with a Phase 1 trial initiated in the first quarter of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Out-licensed imsidolimab for $15 million to Vanda Pharmaceuticals in January 2025;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Raised approximately $100 million in gross proceeds in an underwritten equity offering at $36.50 per share.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Executive Compensation Policies and Practices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pStyle w:val="TextBody"/>
        <w:bidi w:val="0"/>
        <w:spacing w:lineRule="auto" w:line="288" w:before="0" w:after="24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What We Do</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Maintain an Independent Compensation Committee. </w:t>
      </w:r>
      <w:r>
        <w:rPr>
          <w:rFonts w:ascii="Times New Roman;sans-serif" w:hAnsi="Times New Roman;sans-serif"/>
          <w:b w:val="false"/>
          <w:color w:val="000000"/>
          <w:sz w:val="20"/>
        </w:rPr>
        <w:t>Our compensation committee consists solely of independent directors who establish our compensation practices.</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Retain an Independent Compensation Advisor. </w:t>
      </w:r>
      <w:r>
        <w:rPr>
          <w:rFonts w:ascii="Times New Roman;sans-serif" w:hAnsi="Times New Roman;sans-serif"/>
          <w:b w:val="false"/>
          <w:color w:val="000000"/>
          <w:sz w:val="20"/>
        </w:rPr>
        <w:t xml:space="preserve">Our compensation committee has engaged its own compensation consultant to provide information, analysis, and other advice on executive compensation independent of management. In September 2024, the compensation committee’s engagement with Compensia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ended and the compensation committee retained Alpine Rewards as its new independent compensation consultant. Neither Compensia nor Alpine Rewards performed other consulting or other services for us in 2024.</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Annual Executive Compensation Review. </w:t>
      </w:r>
      <w:r>
        <w:rPr>
          <w:rFonts w:ascii="Times New Roman;sans-serif" w:hAnsi="Times New Roman;sans-serif"/>
          <w:b w:val="false"/>
          <w:color w:val="000000"/>
          <w:sz w:val="20"/>
        </w:rPr>
        <w:t>Our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Compensation At-Risk. </w:t>
      </w:r>
      <w:r>
        <w:rPr>
          <w:rFonts w:ascii="Times New Roman;sans-serif" w:hAnsi="Times New Roman;sans-serif"/>
          <w:b w:val="false"/>
          <w:color w:val="000000"/>
          <w:sz w:val="20"/>
        </w:rPr>
        <w:t>Our executive compensation program is designed so that a significant portion of each of our named executive officer’s compensation is “at-risk” based on corporate performance against pre-specified annual goals, as well as equity-based, to align the interests of our executive officers and stockholders.</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Use a “Pay-for-Performance” Philosophy. </w:t>
      </w:r>
      <w:r>
        <w:rPr>
          <w:rFonts w:ascii="Times New Roman;sans-serif" w:hAnsi="Times New Roman;sans-serif"/>
          <w:b w:val="false"/>
          <w:color w:val="000000"/>
          <w:sz w:val="20"/>
        </w:rPr>
        <w:t>The majority of our named executive officers’ compensation is directly linked to corporate performance through short-term performance-based annual bonuses and long-term equity awards, including certain corporate performance-based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pStyle w:val="TextBody"/>
        <w:bidi w:val="0"/>
        <w:spacing w:lineRule="auto" w:line="288" w:before="0" w:after="200"/>
        <w:ind w:left="0" w:right="0" w:hanging="360"/>
        <w:jc w:val="left"/>
        <w:rPr/>
      </w:pPr>
      <w:r>
        <w:rPr>
          <w:color w:val="000000"/>
        </w:rPr>
        <w:t>•</w:t>
      </w:r>
      <w:r>
        <w:rPr>
          <w:rFonts w:ascii="Times New Roman;sans-serif" w:hAnsi="Times New Roman;sans-serif"/>
          <w:b/>
          <w:i/>
          <w:color w:val="000000"/>
          <w:sz w:val="20"/>
        </w:rPr>
        <w:t xml:space="preserve">Succession Planning. </w:t>
      </w:r>
      <w:r>
        <w:rPr>
          <w:rFonts w:ascii="Times New Roman;sans-serif" w:hAnsi="Times New Roman;sans-serif"/>
          <w:b w:val="false"/>
          <w:color w:val="000000"/>
          <w:sz w:val="20"/>
        </w:rPr>
        <w:t>On an as-needed basis, our Board, with input from the nominating and corporate governance committee reviews the risks associated with our named executive officer positions to ensure adequate succession plans are in place.</w:t>
      </w:r>
    </w:p>
    <w:p>
      <w:pPr>
        <w:pStyle w:val="TextBody"/>
        <w:bidi w:val="0"/>
        <w:spacing w:lineRule="auto" w:line="288" w:before="0" w:after="200"/>
        <w:ind w:left="0" w:right="0" w:hanging="360"/>
        <w:jc w:val="left"/>
        <w:rPr/>
      </w:pPr>
      <w:r>
        <w:rPr>
          <w:color w:val="000000"/>
        </w:rPr>
        <w:t>•</w:t>
      </w:r>
      <w:r>
        <w:rPr>
          <w:rFonts w:ascii="Times New Roman;sans-serif" w:hAnsi="Times New Roman;sans-serif"/>
          <w:b/>
          <w:i/>
          <w:color w:val="000000"/>
          <w:sz w:val="20"/>
        </w:rPr>
        <w:t>Clawback Policy.</w:t>
      </w:r>
      <w:r>
        <w:rPr>
          <w:color w:val="000000"/>
        </w:rPr>
        <w:t xml:space="preserve"> </w:t>
      </w:r>
      <w:r>
        <w:rPr>
          <w:rFonts w:ascii="Times New Roman;sans-serif" w:hAnsi="Times New Roman;sans-serif"/>
          <w:b w:val="false"/>
          <w:color w:val="000000"/>
          <w:sz w:val="20"/>
        </w:rPr>
        <w:t>Our executive officers are subject to a compensation recovery “clawback” policy that provides for the recovery of excess incentive-based compensation in the event we are required to restate our financial statements.</w:t>
      </w:r>
    </w:p>
    <w:p>
      <w:pPr>
        <w:pStyle w:val="TextBody"/>
        <w:bidi w:val="0"/>
        <w:spacing w:lineRule="auto" w:line="288" w:before="0" w:after="20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What We Do Not Do</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No Guaranteed Bonuses. </w:t>
      </w:r>
      <w:r>
        <w:rPr>
          <w:rFonts w:ascii="Times New Roman;sans-serif" w:hAnsi="Times New Roman;sans-serif"/>
          <w:b w:val="false"/>
          <w:color w:val="000000"/>
          <w:sz w:val="20"/>
        </w:rPr>
        <w:t>We do not provide guaranteed bonuses to our named executive officers.</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No Executive Retirement Plans. </w:t>
      </w:r>
      <w:r>
        <w:rPr>
          <w:rFonts w:ascii="Times New Roman;sans-serif" w:hAnsi="Times New Roman;sans-serif"/>
          <w:b w:val="false"/>
          <w:color w:val="000000"/>
          <w:sz w:val="20"/>
        </w:rPr>
        <w:t>We do not currently offer defined benefit pension plans or any non-qualified deferred compensation plans or arrangements to our named executive officers other than the plans and arrangements that are available to employees generally.</w:t>
      </w:r>
    </w:p>
    <w:p>
      <w:pPr>
        <w:pStyle w:val="TextBody"/>
        <w:bidi w:val="0"/>
        <w:spacing w:lineRule="auto" w:line="288" w:before="0" w:after="160"/>
        <w:ind w:left="0" w:right="0" w:hanging="360"/>
        <w:jc w:val="left"/>
        <w:rPr/>
      </w:pPr>
      <w:r>
        <w:rPr>
          <w:color w:val="000000"/>
        </w:rPr>
        <w:t>•</w:t>
      </w:r>
      <w:r>
        <w:rPr>
          <w:rFonts w:ascii="Times New Roman;sans-serif" w:hAnsi="Times New Roman;sans-serif"/>
          <w:b/>
          <w:i/>
          <w:color w:val="000000"/>
          <w:sz w:val="20"/>
        </w:rPr>
        <w:t xml:space="preserve">No Hedging or Pledging. </w:t>
      </w:r>
      <w:r>
        <w:rPr>
          <w:rFonts w:ascii="Times New Roman;sans-serif" w:hAnsi="Times New Roman;sans-serif"/>
          <w:b w:val="false"/>
          <w:color w:val="000000"/>
          <w:sz w:val="20"/>
        </w:rPr>
        <w:t>We prohibit our employees (including our named executive officers) and the non-employee members of our Board from hedging or pledging our securities.</w:t>
      </w:r>
    </w:p>
    <w:p>
      <w:pPr>
        <w:pStyle w:val="TextBody"/>
        <w:bidi w:val="0"/>
        <w:spacing w:lineRule="auto" w:line="288" w:before="0" w:after="200"/>
        <w:ind w:left="0" w:right="0" w:hanging="360"/>
        <w:jc w:val="left"/>
        <w:rPr/>
      </w:pPr>
      <w:r>
        <w:rPr>
          <w:color w:val="000000"/>
        </w:rPr>
        <w:t>•</w:t>
      </w:r>
      <w:r>
        <w:rPr>
          <w:rFonts w:ascii="Times New Roman;sans-serif" w:hAnsi="Times New Roman;sans-serif"/>
          <w:b/>
          <w:i/>
          <w:color w:val="000000"/>
          <w:sz w:val="20"/>
        </w:rPr>
        <w:t xml:space="preserve">No Special Welfare or Health Benefits. </w:t>
      </w:r>
      <w:r>
        <w:rPr>
          <w:rFonts w:ascii="Times New Roman;sans-serif" w:hAnsi="Times New Roman;sans-serif"/>
          <w:b w:val="false"/>
          <w:color w:val="000000"/>
          <w:sz w:val="20"/>
        </w:rPr>
        <w:t>We do not provide our named executive officers with any welfare or health benefit programs, other than participation in our broad-based employee programs.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Stockholder Advisory Vote to Approve Named Executive Officer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our 2024 Annual Meeting of Stockholders, we conducted a non-binding stockholder advisory vote on the compensation of our named executive officers (commonly known as a “Say-on-Pay” vote). Our Board and our compensation committee consider the results of the Say-on-Pay vote in determining the compensation of our executive officers, including our named executive officers. At our 2024 Annual Meeting of Stockholders, approximately 87% of the votes cast approved our executive compensation program. We take our Say-on-Pay vote results seriously and engaged with our stockholders to seek feedback on the results of our 2024 Say-on-Pay vote and the design of our executive compensation program and have continued this practice in 2025.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value the opinion of our stockholders. Our Board and our compensation committee will continue to consider the result of the Say-on-Pay vote, as well as feedback received throughout the year, when making compensation decisions for our executive officers.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consistent with the recommendation of our Board and the preference of our stockholders as reflected in the non-binding stockholder advisory vote on the frequency of future Say-on-Pay votes held at our 2019 Annual Meeting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we continue to hold future Say-on-Pay votes on an annual basis. Accordingly, subject to the results of the say-when-on-pay at our 2025 Annual Meeting to which this Proxy Statement relates, we expect our next Say-on-Pay vote will be conducted at our 2026 Annual Meeting of Stockholders.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Executive Compensation Philosophy &amp; Objectives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objectives of our executive compensation program, policies, and practices are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offer competitive compensation which enables us to attract and retain high-caliber executives;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reward the achievement of our business objectives by directly linking annual bonuses to the achievement of objectives that build long-term stockholder value;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recognize both corporate and individual performance by providing opportunities for career advancement and opportunities for above-median short-term and long-term compensation based on measurable corporate and individual performance;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align the interests of our executives with those of our stockholders by incentivizing and rewarding the creation of stockholder value.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believes an appropriate, well-designed compensation program should align executive interests with the drivers of growth and stockholder returns by supporting the achievement of our primary business goals. Further, the compensation program must enable us to attract and retain employees whose talents, expertise and leadership can drive our success and sustained growth in long-term stockholder value.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a performance-oriented compensation philosophy focused on creating long-term value. Our executive compensation program is heavily weighted toward variable, at-risk performance based bonuses, long-term equity awards, and performance based equity awards.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annual performance-based cash bonus plan for our named executive officers. Payments under this cash bonus plan are based primarily on our level of achievement of pre-established corporate performance goals to tie compensation of our named executive officers to achievement of key corporate objectives, which will ultimately create stockholder value. We also provide long-term equity awards to motivate our named executive officers in a manner that directly aligns their interest with our long-term strategic direction and the interests of our stockholders, as well as providing our executive officers with an incentive to remain with us as their equity awards vest.</w:t>
      </w:r>
    </w:p>
    <w:p>
      <w:pPr>
        <w:pStyle w:val="TextBody"/>
        <w:bidi w:val="0"/>
        <w:spacing w:lineRule="auto" w:line="288" w:before="0" w:after="200"/>
        <w:jc w:val="left"/>
        <w:rPr/>
      </w:pPr>
      <w:r>
        <w:rPr>
          <w:rFonts w:ascii="Times New Roman;sans-serif" w:hAnsi="Times New Roman;sans-serif"/>
          <w:b w:val="false"/>
          <w:color w:val="000000"/>
          <w:sz w:val="20"/>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 The factors taken into account by our compensation committee in setting the level of fixed and variable cash compensation and non-cash compensation are described in greater detail below in “</w:t>
      </w:r>
      <w:r>
        <w:rPr>
          <w:rFonts w:ascii="Times New Roman;sans-serif" w:hAnsi="Times New Roman;sans-serif"/>
          <w:b w:val="false"/>
          <w:i/>
          <w:color w:val="000000"/>
          <w:sz w:val="20"/>
        </w:rPr>
        <w:t>Compensation Setting Process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Setting Target Total Direct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Compensation Elements</w:t>
      </w:r>
      <w:r>
        <w:rPr>
          <w:rFonts w:ascii="Times New Roman;sans-serif" w:hAnsi="Times New Roman;sans-serif"/>
          <w:b w:val="false"/>
          <w:color w:val="000000"/>
          <w:sz w:val="20"/>
        </w:rPr>
        <w:t>.”</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Compensation-Setting Process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has overall responsibility for overseeing our compensation and benefits policies generally, and overseeing and evaluating the compensation plans, policies and practices applicable to our Chief Executive Officer and other named executive officers.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discharging its responsibilities, our compensation committee engages an external compensation consultant to assist it by providing information, analysis and other advice relating to our executive compensation program. Our compensation committee also takes into consideration input from our Chief Executive Officer (other than with respect to himself) and other members of our management team.</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committee’s authority, duties, and responsibilities are further described in its charter, which is reviewed annually and revised and updated as warranted. The charter is available on our company website. Our compensation committee also retains an independent compensation consultant (as described below) to provide support in its review and assessment of our executive compensation program.</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Updated Competitive Positioning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our compensation committee directed Compensia to refresh our compensation peer group. In evaluating the companies to comprise the compensation peer group at that time, Compensia considered the following criteria: (i) biotechnology and pharmaceutical companies with therapeutic similarity in inflammation, immune-oncology, and other antibody-based therapies; (ii) with lead drugs in phase II or III or pending approval; (iii) ~50 - ~250 employees (~0.5 to ~2.5 of our current headcount); and (iv) a market capitalization of 0.33x to 3.0x our market capitalization.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Based on a review of the analysis prepared by Compensia, in September 2023 our compensation committee approved an updated compensation peer group, referred to as the 2024 peer group, consisting of the following companies:</w:t>
      </w:r>
    </w:p>
    <w:tbl>
      <w:tblPr>
        <w:tblW w:w="6568" w:type="dxa"/>
        <w:jc w:val="center"/>
        <w:tblInd w:w="0" w:type="dxa"/>
        <w:tblLayout w:type="fixed"/>
        <w:tblCellMar>
          <w:top w:w="28" w:type="dxa"/>
          <w:left w:w="28" w:type="dxa"/>
          <w:bottom w:w="28" w:type="dxa"/>
          <w:right w:w="28" w:type="dxa"/>
        </w:tblCellMar>
      </w:tblPr>
      <w:tblGrid>
        <w:gridCol w:w="804"/>
        <w:gridCol w:w="706"/>
        <w:gridCol w:w="710"/>
        <w:gridCol w:w="739"/>
        <w:gridCol w:w="739"/>
        <w:gridCol w:w="741"/>
        <w:gridCol w:w="622"/>
        <w:gridCol w:w="622"/>
        <w:gridCol w:w="885"/>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Allakos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Gossamer Bio</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RAPT Therapeutics</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Alector</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IGM Biosciences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Sangamo Therapeutics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ALX Oncology Holding</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iTeos Therapeutics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Syndax Pharmaceuticals</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Atara Biotherapeutics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Kodiak Sciences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Xencor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Avidity Biosciences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Kura Oncology</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Crinetics Pharmaceuticals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Mersana Therapeutics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Celldex Therapeutics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NGM Biopharmaceuticals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used this compensation peer group as a reference for its compensation decisions in December 2023.</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practices of the peer group was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reviews our compensation peer group each year (or more frequently if there have been significant changes to either our business model or market capitalization) and makes adjustments to its composition if warranted, taking into account changes in both our business and the businesses of the companies in the peer group.</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Compensation Elements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principal elements of our executive compensation program, and the objective for each element,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8"/>
        <w:gridCol w:w="606"/>
        <w:gridCol w:w="607"/>
        <w:gridCol w:w="263"/>
        <w:gridCol w:w="263"/>
        <w:gridCol w:w="270"/>
        <w:gridCol w:w="2120"/>
        <w:gridCol w:w="2120"/>
        <w:gridCol w:w="3018"/>
      </w:tblGrid>
      <w:tr>
        <w:trPr/>
        <w:tc>
          <w:tcPr>
            <w:tcW w:w="93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Element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Type</w:t>
            </w:r>
          </w:p>
        </w:tc>
        <w:tc>
          <w:tcPr>
            <w:tcW w:w="7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Objective</w:t>
            </w:r>
          </w:p>
        </w:tc>
      </w:tr>
      <w:tr>
        <w:trPr/>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w:t>
            </w:r>
          </w:p>
        </w:tc>
        <w:tc>
          <w:tcPr>
            <w:tcW w:w="7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a secure, fixed compensation amount that reflects executive’s scope of responsibility, skill-level and performance and is competitive with the market.</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Cash Bonus Awards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to motivate our executives to achieve annual business objectives and provide financial incentives when we meet or exceed these annual corporate objectives.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to align the interests of our executives with those of our stockholders by motivating them to create sustainable long-term stockholder value.</w:t>
            </w:r>
          </w:p>
        </w:tc>
      </w:tr>
    </w:tbl>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pStyle w:val="TextBody"/>
        <w:bidi w:val="0"/>
        <w:spacing w:before="0" w:after="0"/>
        <w:jc w:val="left"/>
        <w:rPr/>
      </w:pPr>
      <w:r>
        <w:rPr/>
      </w:r>
    </w:p>
    <w:p>
      <w:pPr>
        <w:pStyle w:val="TextBody"/>
        <w:bidi w:val="0"/>
        <w:spacing w:lineRule="auto" w:line="288" w:before="0" w:after="200"/>
        <w:jc w:val="left"/>
        <w:rPr/>
      </w:pPr>
      <w:r>
        <w:rPr>
          <w:rFonts w:ascii="Times New Roman;sans-serif" w:hAnsi="Times New Roman;sans-serif"/>
          <w:b w:val="false"/>
          <w:color w:val="000000"/>
          <w:sz w:val="20"/>
        </w:rPr>
        <w:t>In December 2023, our compensation committee reviewed the base salaries of our named executive officers, taking into consideration a competitive market analysis prepared by its compensation consultant using the then-current peer group and the other factors described in “-</w:t>
      </w:r>
      <w:r>
        <w:rPr>
          <w:rFonts w:ascii="Times New Roman;sans-serif" w:hAnsi="Times New Roman;sans-serif"/>
          <w:b w:val="false"/>
          <w:i/>
          <w:color w:val="000000"/>
          <w:sz w:val="20"/>
        </w:rPr>
        <w:t>Compensation-Setting Process - Setting Target Total Direct</w:t>
      </w:r>
      <w:r>
        <w:rPr>
          <w:color w:val="000000"/>
        </w:rPr>
        <w:t> </w:t>
      </w:r>
      <w:r>
        <w:rPr>
          <w:rFonts w:ascii="Times New Roman;sans-serif" w:hAnsi="Times New Roman;sans-serif"/>
          <w:b w:val="false"/>
          <w:i/>
          <w:color w:val="000000"/>
          <w:sz w:val="20"/>
        </w:rPr>
        <w:t>Compensation</w:t>
      </w:r>
      <w:r>
        <w:rPr>
          <w:color w:val="000000"/>
        </w:rPr>
        <w:t xml:space="preserve">” </w:t>
      </w:r>
      <w:r>
        <w:rPr>
          <w:rFonts w:ascii="Times New Roman;sans-serif" w:hAnsi="Times New Roman;sans-serif"/>
          <w:b w:val="false"/>
          <w:color w:val="000000"/>
          <w:sz w:val="20"/>
        </w:rPr>
        <w:t>above. Following this review, our compensation committee approved base salary increases for each of our named executive officers, effective January 1,</w:t>
      </w:r>
      <w:r>
        <w:rPr>
          <w:color w:val="000000"/>
        </w:rPr>
        <w:t> </w:t>
      </w:r>
      <w:r>
        <w:rPr>
          <w:rFonts w:ascii="Times New Roman;sans-serif" w:hAnsi="Times New Roman;sans-serif"/>
          <w:b w:val="false"/>
          <w:color w:val="000000"/>
          <w:sz w:val="20"/>
        </w:rPr>
        <w:t xml:space="preserve">2024, to bring their base salaries to levels that were comparable to those of similarly-situated executives at the companies in our compensation peer group.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base salaries paid to our named executive officers during 2024 are set forth in the “Executive Compensation Tables -2024 Summary Compensation Table” below.</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Annual Performance-Based Cash Bonuses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use an annual performance-based cash bonus plan to motivate our employees, including our named executive officers, to achieve our key annual corporate business objectives. In December 2023, our compensation committee and Board of Directors adopted an annual cash bonus plan for 2024 (the “2024 Cash Bonus Plan”) to provide financial incentives related to the achievement of principal goals set forth in our 2024 annual operating plan. The 2024 Cash Bonus Plan provided for bonus payments to be funded based on our level of achievement with respect to corporate performance goals (as described below).</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2024 Cash Bonus Plan, cash bonus payments were based upon a specific percentage of each participant’s base salary. In December 2023, our compensation committee reviewed the target annual cash bonus opportunities of our named executive officers, taking into consideration the factors described in “Compensation-Setting Process - Setting Target Total Direct Compensation” above and approved the target annual cash bonus opportunities for each of the named executive officers. Following this review, our compensation committee approved an increase to Mr. Faga’s target annual cash bonus opportunity, to better align it to those of similarly-situated executives at the companies in our compensation peer group.</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2024 target annual cash bonus opportunities for our named executive officers, expressed as a percentage of base salary:</w:t>
      </w:r>
    </w:p>
    <w:tbl>
      <w:tblPr>
        <w:tblW w:w="6240" w:type="dxa"/>
        <w:jc w:val="left"/>
        <w:tblInd w:w="0" w:type="dxa"/>
        <w:tblLayout w:type="fixed"/>
        <w:tblCellMar>
          <w:top w:w="28" w:type="dxa"/>
          <w:left w:w="28" w:type="dxa"/>
          <w:bottom w:w="28" w:type="dxa"/>
          <w:right w:w="28" w:type="dxa"/>
        </w:tblCellMar>
      </w:tblPr>
      <w:tblGrid>
        <w:gridCol w:w="815"/>
        <w:gridCol w:w="716"/>
        <w:gridCol w:w="719"/>
        <w:gridCol w:w="1166"/>
        <w:gridCol w:w="1166"/>
        <w:gridCol w:w="165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3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Target Annual Cash Bonus Opportunity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 percentage of base salary)</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Lizzul M.D., Ph.D.</w:t>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Corporate Performance Goals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in the 2024 Cash Bonus Plan were eligible to receive a bonus payment based upon the attainment of one or more corporate performance goals that were selected and approved by our compensation committee and which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operational metrics that were important to us. The corporate performance component of the 2024 Cash Bonus Plan was to be funded based on our actual results for the year as evaluated against these performance goals and account for 100% of the Named Executive Officers (“NEOs”) total bonus opportunity.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our compensation committee and Board of Directors approved corporate performance goals in each of the following categories for purposes of the 2024 Cash Bonus Plan:</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i.    </w:t>
      </w:r>
      <w:r>
        <w:rPr>
          <w:rFonts w:ascii="Times New Roman;sans-serif" w:hAnsi="Times New Roman;sans-serif"/>
          <w:b/>
          <w:i/>
          <w:color w:val="000000"/>
          <w:sz w:val="20"/>
        </w:rPr>
        <w:t xml:space="preserve">Rosnilimab Program </w:t>
      </w:r>
      <w:r>
        <w:rPr>
          <w:rFonts w:ascii="Times New Roman;sans-serif" w:hAnsi="Times New Roman;sans-serif"/>
          <w:b w:val="false"/>
          <w:color w:val="000000"/>
          <w:sz w:val="20"/>
        </w:rPr>
        <w:t>- Advance Phase 2 trial in RA to be on track for top-line results by Q2 2025 and advance Phase 2 trial in UC to read out top-line results by Q1 2026;</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ii.    </w:t>
      </w:r>
      <w:r>
        <w:rPr>
          <w:rFonts w:ascii="Times New Roman;sans-serif" w:hAnsi="Times New Roman;sans-serif"/>
          <w:b/>
          <w:i/>
          <w:color w:val="000000"/>
          <w:sz w:val="20"/>
        </w:rPr>
        <w:t xml:space="preserve">ANB032 Program </w:t>
      </w:r>
      <w:r>
        <w:rPr>
          <w:rFonts w:ascii="Times New Roman;sans-serif" w:hAnsi="Times New Roman;sans-serif"/>
          <w:b w:val="false"/>
          <w:color w:val="000000"/>
          <w:sz w:val="20"/>
        </w:rPr>
        <w:t>- Read out results from Phase 2 trial in AD in 2024;</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iii.    </w:t>
      </w:r>
      <w:r>
        <w:rPr>
          <w:rFonts w:ascii="Times New Roman;sans-serif" w:hAnsi="Times New Roman;sans-serif"/>
          <w:b/>
          <w:i/>
          <w:color w:val="000000"/>
          <w:sz w:val="20"/>
        </w:rPr>
        <w:t xml:space="preserve">Rosnilimab and ANB032 Advancement </w:t>
      </w:r>
      <w:r>
        <w:rPr>
          <w:rFonts w:ascii="Times New Roman;sans-serif" w:hAnsi="Times New Roman;sans-serif"/>
          <w:b w:val="false"/>
          <w:color w:val="000000"/>
          <w:sz w:val="20"/>
        </w:rPr>
        <w:t>- Align on next steps for additional Phase 2 trials and align on Phase 3 development plan;</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iv.    </w:t>
      </w:r>
      <w:r>
        <w:rPr>
          <w:rFonts w:ascii="Times New Roman;sans-serif" w:hAnsi="Times New Roman;sans-serif"/>
          <w:b/>
          <w:i/>
          <w:color w:val="000000"/>
          <w:sz w:val="20"/>
        </w:rPr>
        <w:t>Early Portfolio</w:t>
      </w:r>
      <w:r>
        <w:rPr>
          <w:color w:val="000000"/>
        </w:rPr>
        <w:t xml:space="preserve"> </w:t>
      </w:r>
      <w:r>
        <w:rPr>
          <w:rFonts w:ascii="Times New Roman;sans-serif" w:hAnsi="Times New Roman;sans-serif"/>
          <w:b w:val="false"/>
          <w:color w:val="000000"/>
          <w:sz w:val="20"/>
        </w:rPr>
        <w:t>- ANB033 initiate a Phase 1 clinical trial in 2024; ANB101: file an IND in 2024;</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v.    </w:t>
      </w:r>
      <w:r>
        <w:rPr>
          <w:rFonts w:ascii="Times New Roman;sans-serif" w:hAnsi="Times New Roman;sans-serif"/>
          <w:b/>
          <w:i/>
          <w:color w:val="000000"/>
          <w:sz w:val="20"/>
        </w:rPr>
        <w:t xml:space="preserve">Finance </w:t>
      </w:r>
      <w:r>
        <w:rPr>
          <w:rFonts w:ascii="Times New Roman;sans-serif" w:hAnsi="Times New Roman;sans-serif"/>
          <w:b w:val="false"/>
          <w:i/>
          <w:color w:val="000000"/>
          <w:sz w:val="20"/>
        </w:rPr>
        <w:t>-</w:t>
      </w:r>
      <w:r>
        <w:rPr>
          <w:color w:val="000000"/>
        </w:rPr>
        <w:t> </w:t>
      </w:r>
      <w:r>
        <w:rPr>
          <w:rFonts w:ascii="Times New Roman;sans-serif" w:hAnsi="Times New Roman;sans-serif"/>
          <w:b w:val="false"/>
          <w:color w:val="000000"/>
          <w:sz w:val="20"/>
        </w:rPr>
        <w:t xml:space="preserve">manage operating expenses within approved budget, extend cash runway, conduct certain business development activities; and </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vi.    </w:t>
      </w:r>
      <w:r>
        <w:rPr>
          <w:rFonts w:ascii="Times New Roman;sans-serif" w:hAnsi="Times New Roman;sans-serif"/>
          <w:b/>
          <w:i/>
          <w:color w:val="000000"/>
          <w:sz w:val="20"/>
        </w:rPr>
        <w:t xml:space="preserve">Organizational Talent and Culture </w:t>
      </w:r>
      <w:r>
        <w:rPr>
          <w:rFonts w:ascii="Times New Roman;sans-serif" w:hAnsi="Times New Roman;sans-serif"/>
          <w:b w:val="false"/>
          <w:color w:val="000000"/>
          <w:sz w:val="20"/>
        </w:rPr>
        <w:t>- Retain, develop and recruit leadership to support future growth expectations and ensure consistent company culture, vision and values.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corporate performance goal was evaluated and selected according to our compensation committee’s assessment of its relative importance to the execution of our annual business plan. Our primary focus was on our clinical development and research programs, as they are key drivers of our business. We allocated the remainder of the bonus opportunity to managing operations such as finance, retaining, developing and recruiting leadership to support future growth, and ensuring consistent company culture, which are also necessary for the execution of our business plan.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2024 Cash Bonus Plan, our compensation committee reserved the discretion to consider the level of achievement of a particular performance goal, or other corporate achievements during 2024 when determining the actual funding level for this component of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our compensation committee reviewed performance against the corporate goals. Our compensation committee recognized the effective execution and significant progress made on certain critical business goals, including the advancement of our clinical programs and the achievement of our internal research goals and those related to our partnered programs; however, the compensation committee also acknowledged that our AD trial results missed achieving statistical significance and lack of positive stockholder return in 2024. Accordingly, our compensation committee recommended and our Board determined that our corporate goals were achieved at 75% of target.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2024 bonuses earned by our named executive officers are set forth in “Executive Compensation Tables - 2024 Summary Compensation Table” below.</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equity-based incentive awards are designed to align the interests of our named executive officers with the interests of our stockholders. Because vesting is generally subject to continued service over a period of several years following the date of grant, our equity-based incentives also serve as a retention device for our named executive officers. We generally provide initial equity-based incentive awards in connection with the commencement of employment of our named executive officers as an inducement to commencement of employment. We award annual equity-based incentive awards at or shortly following the end of each year. Awards are subject to vesting over a period of multiple years to provide long-term incentives to deliver sustained stockholder value and to facilitate retention. From time to time, we may also grant awards with performance-based metrics to incentivize and reward targeted corporate goals.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believes that a combination of stock options and restricted stock units (“RSUs”), each with multi-year vesting, provide a balance of incentive and retention and, accordingly, are the most effective compensation strategy for us at this time. The compensation committee views stock options as inherently performance-based compensation that provides a direct link between executive pay and stockholder return, as the value realized, if any,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is dependent upon, and directly proportionate to, appreciation in stock price over the exercise period and throughout the remaining term prior to exercise. Additionally, stock options will not provide value to the holder if the value of our stock price does not increase after the award is granted. RSUs are a common incentive used by many of our talent competitors, and provide retentive value to executives, particularly during any periods of stock price volatility.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 our 2024 executive long-term incentive mix, the compensation committee determined, in consultation with its compensation consultant, to again include stock options and RSUs, and to introduce performance-based RSUs (“PSUs”). The PSUs are designed to drive achievement of our strategic objectives and are tied to sustained, long-term stockholder value creation over a four-year performance period, with vesting only occurring upon achievement of three increasingly difficult stock price targets, subject to the executive’s continued employment.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Typically, we have granted equity based awards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using market data, the equity award recommendations of our Chief Executive Officer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“Compensation Setting Process - Setting Target Total Direct Compensation” above.</w:t>
      </w:r>
    </w:p>
    <w:p>
      <w:pPr>
        <w:pStyle w:val="TextBody"/>
        <w:bidi w:val="0"/>
        <w:spacing w:lineRule="auto" w:line="288" w:before="0" w:after="20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“Refresh” Equity Awards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based upon the considerations and analysis described above, our compensation committee determined to grant options to purchase shares of our common stock and RSUs to our named executive officers in amounts that it considered to be consistent with our compensation philosophy and its desired market positioning and which also recognized the performance of each of our named executive officers. The stock options and RSUs granted to our named executive officers in January 2024 were as follows:</w:t>
      </w:r>
    </w:p>
    <w:tbl>
      <w:tblPr>
        <w:tblW w:w="8354" w:type="dxa"/>
        <w:jc w:val="left"/>
        <w:tblInd w:w="0" w:type="dxa"/>
        <w:tblLayout w:type="fixed"/>
        <w:tblCellMar>
          <w:top w:w="28" w:type="dxa"/>
          <w:left w:w="28" w:type="dxa"/>
          <w:bottom w:w="28" w:type="dxa"/>
          <w:right w:w="28" w:type="dxa"/>
        </w:tblCellMar>
      </w:tblPr>
      <w:tblGrid>
        <w:gridCol w:w="815"/>
        <w:gridCol w:w="716"/>
        <w:gridCol w:w="719"/>
        <w:gridCol w:w="1443"/>
        <w:gridCol w:w="1443"/>
        <w:gridCol w:w="1448"/>
        <w:gridCol w:w="518"/>
        <w:gridCol w:w="518"/>
        <w:gridCol w:w="73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Number of Shares Underlying Stock Options </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RSUs</w:t>
            </w:r>
            <w:r>
              <w:rPr>
                <w:rFonts w:ascii="Times New Roman;sans-serif" w:hAnsi="Times New Roman;sans-serif"/>
                <w:b/>
                <w:color w:val="000000"/>
                <w:sz w:val="13"/>
              </w:rPr>
              <w:t>(2)</w:t>
            </w:r>
            <w:r>
              <w:rPr>
                <w:color w:val="000000"/>
              </w:rPr>
              <w:t xml:space="preserve">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379,620</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138,710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Lizzul M.D., Ph.D.</w:t>
            </w:r>
          </w:p>
        </w:tc>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115,540</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42,220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90,780</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33,170</w:t>
            </w:r>
          </w:p>
        </w:tc>
      </w:tr>
    </w:tbl>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The options to purchase shares of our common stock vest and become exercisable over a four-year period, with 25% of the shares of our common stock subject to the options vesting on the first anniversary of the date of grant and 1/48th of the shares of our common stock subject to the options vesting in equal monthly installments thereafter, contingent upon the named executive officer remaining continuously employed by us through each applicable vesting date.</w:t>
      </w:r>
    </w:p>
    <w:p>
      <w:pPr>
        <w:pStyle w:val="TextBody"/>
        <w:bidi w:val="0"/>
        <w:spacing w:lineRule="auto" w:line="288" w:before="0" w:after="20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The RSUs vest in annual equal installments over four years, contingent upon the named executive officer remaining continuously employed by us through each applicable vesting date.</w:t>
      </w:r>
    </w:p>
    <w:p>
      <w:pPr>
        <w:pStyle w:val="TextBody"/>
        <w:bidi w:val="0"/>
        <w:spacing w:lineRule="auto" w:line="288" w:before="0" w:after="180"/>
        <w:jc w:val="left"/>
        <w:rPr/>
      </w:pPr>
      <w:r>
        <w:rPr>
          <w:rFonts w:ascii="Times New Roman;sans-serif" w:hAnsi="Times New Roman;sans-serif"/>
          <w:b w:val="false"/>
          <w:color w:val="000000"/>
          <w:sz w:val="20"/>
          <w:u w:val="single"/>
        </w:rPr>
        <w:t>Share Price-Based Performance RSUs</w:t>
      </w:r>
      <w:r>
        <w:rPr>
          <w:rFonts w:ascii="Times New Roman;sans-serif" w:hAnsi="Times New Roman;sans-serif"/>
          <w:b w:val="false"/>
          <w:color w:val="000000"/>
          <w:sz w:val="20"/>
        </w:rPr>
        <w:t xml:space="preserve">. In July 2024, after undertaking a comprehensive review and analysis with Compensia, our compensation committee determined to grant contingent Performance Stock Units (the “2024 PSUs”) to our named executive officers, with each PSU representing a contingent right to receive one share of common stock upon the achievement of $50, $75, and $100 share price, which is approximately a 100%, 200% and 300% price increase above the share price at time of grant. At the time of grant, our 30-day average closing price was $26.29 per share. The 2024 PSUs have the potential to provide meaningful compensation to our executives, but only if they deliver exceptional performance that creates significant returns for the stockholders. The 2024 PSUs were designed to incentivize significant and sustained out performance, with vesting only occurring at stock price targets significantly above our historical stock price and such targets must be satisfied over a 60-trading day average. Moreover, 2024 PSUs were designed to drive our strategic direction and value creation over the long-term by encouraging leadership continuity and collaboration and motivating the executives with equity that rewards them for providing sustained meaningful increases in stockholder value.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PSUs granted to our named executive officers in July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815"/>
        <w:gridCol w:w="716"/>
        <w:gridCol w:w="719"/>
        <w:gridCol w:w="447"/>
        <w:gridCol w:w="447"/>
        <w:gridCol w:w="635"/>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PSUs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Lizzul M.D., Ph.D.</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PSUs have a four-year performance period and are divided in three equal tranches, with each tranche eligible to vest based on the achievement, within the performance period, of certain share price targets. If a share price target is achieved, the PSUs allocated to such share price target shall become eligible to vest (the “Eligible PSUs”) with (i) 50% of the Eligible PSUs vesting on the one-year anniversary of the later to occur of the date our compensation committee determines achievement of a share price target and July 1, 2025 (such later date the “Service Vesting Commencement Date”) and the remaining 50% of the Eligible PSUs vesting on the two-year anniversary of the Vesting Commencement Date. As of April 1, 2025, none of the share price targets have been achieved and none of the PSUs are eligible to vest.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Welfare and Health Benefits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participate in our company-sponsored benefit programs on generally the same basis as other salaried employees, including with respect to our 401(k) plan and health and welfare benefits.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Perquisites and Other Personal Benefits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2024, none of our named executive officers received perquisites or other personal benefits that were, in the aggregate, $10,000 or more for each individual.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that was awarded to, earned by or paid to our named executive officers for services rendered during the years ended December 31, 2024 and 2023.</w:t>
      </w:r>
    </w:p>
    <w:tbl>
      <w:tblPr>
        <w:tblW w:w="10205" w:type="dxa"/>
        <w:jc w:val="left"/>
        <w:tblInd w:w="0" w:type="dxa"/>
        <w:tblLayout w:type="fixed"/>
        <w:tblCellMar>
          <w:top w:w="28" w:type="dxa"/>
          <w:left w:w="28" w:type="dxa"/>
          <w:bottom w:w="28" w:type="dxa"/>
          <w:right w:w="28" w:type="dxa"/>
        </w:tblCellMar>
      </w:tblPr>
      <w:tblGrid>
        <w:gridCol w:w="808"/>
        <w:gridCol w:w="701"/>
        <w:gridCol w:w="707"/>
        <w:gridCol w:w="155"/>
        <w:gridCol w:w="155"/>
        <w:gridCol w:w="156"/>
        <w:gridCol w:w="229"/>
        <w:gridCol w:w="229"/>
        <w:gridCol w:w="233"/>
        <w:gridCol w:w="402"/>
        <w:gridCol w:w="319"/>
        <w:gridCol w:w="321"/>
        <w:gridCol w:w="109"/>
        <w:gridCol w:w="404"/>
        <w:gridCol w:w="337"/>
        <w:gridCol w:w="338"/>
        <w:gridCol w:w="708"/>
        <w:gridCol w:w="708"/>
        <w:gridCol w:w="710"/>
        <w:gridCol w:w="502"/>
        <w:gridCol w:w="502"/>
        <w:gridCol w:w="503"/>
        <w:gridCol w:w="280"/>
        <w:gridCol w:w="280"/>
        <w:gridCol w:w="409"/>
      </w:tblGrid>
      <w:tr>
        <w:trPr/>
        <w:tc>
          <w:tcPr>
            <w:tcW w:w="8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 Awards</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w:t>
              <w:br/>
              <w:t>($)</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Daniel Faga</w:t>
            </w:r>
            <w:r>
              <w:rPr>
                <w:rFonts w:ascii="Times New Roman;sans-serif" w:hAnsi="Times New Roman;sans-serif"/>
                <w:b w:val="false"/>
                <w:color w:val="000000"/>
                <w:sz w:val="10"/>
              </w:rPr>
              <w:t>(2)</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685,448</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6,889,127</w:t>
            </w:r>
            <w:r>
              <w:rPr>
                <w:rFonts w:ascii="Times New Roman;sans-serif" w:hAnsi="Times New Roman;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5,723,455</w:t>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308,452</w:t>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23,810</w:t>
            </w:r>
            <w:r>
              <w:rPr>
                <w:rFonts w:ascii="Times New Roman;sans-serif" w:hAnsi="Times New Roman;sans-serif"/>
                <w:b w:val="false"/>
                <w:color w:val="000000"/>
                <w:sz w:val="10"/>
              </w:rPr>
              <w:t>(4)</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13,630,292</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and Chief Executive Officer and Director</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640,605</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1,658,622</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3,287,320</w:t>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352,333</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1,523,040</w:t>
            </w:r>
            <w:r>
              <w:rPr>
                <w:rFonts w:ascii="Times New Roman;sans-serif" w:hAnsi="Times New Roman;sans-serif"/>
                <w:b w:val="false"/>
                <w:color w:val="000000"/>
                <w:sz w:val="10"/>
              </w:rPr>
              <w:t>(4)(5)</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7,461,920</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Paul Lizzul</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529,859</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2,128,976</w:t>
            </w:r>
            <w:r>
              <w:rPr>
                <w:rFonts w:ascii="Times New Roman;sans-serif" w:hAnsi="Times New Roman;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1,741,973</w:t>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158,958</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23,742</w:t>
            </w:r>
            <w:r>
              <w:rPr>
                <w:rFonts w:ascii="Times New Roman;sans-serif" w:hAnsi="Times New Roman;sans-serif"/>
                <w:b w:val="false"/>
                <w:color w:val="000000"/>
                <w:sz w:val="10"/>
              </w:rPr>
              <w:t>(7)</w:t>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4,583,508</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Medical Officer</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509,479</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570,993</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1,131,250</w:t>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203,792</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25,603</w:t>
            </w:r>
            <w:r>
              <w:rPr>
                <w:rFonts w:ascii="Times New Roman;sans-serif" w:hAnsi="Times New Roman;sans-serif"/>
                <w:b w:val="false"/>
                <w:color w:val="000000"/>
                <w:sz w:val="10"/>
              </w:rPr>
              <w:t>(7)</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2,441,117</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Dennis Mulroy</w:t>
            </w:r>
            <w:r>
              <w:rPr>
                <w:rFonts w:ascii="Times New Roman;sans-serif" w:hAnsi="Times New Roman;sans-serif"/>
                <w:b w:val="false"/>
                <w:color w:val="000000"/>
                <w:sz w:val="10"/>
              </w:rPr>
              <w:t>(8)</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495,213</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1,196,600</w:t>
            </w:r>
            <w:r>
              <w:rPr>
                <w:rFonts w:ascii="Times New Roman;sans-serif" w:hAnsi="Times New Roman;sans-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1,368,672</w:t>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148,564</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29,858</w:t>
            </w:r>
            <w:r>
              <w:rPr>
                <w:rFonts w:ascii="Times New Roman;sans-serif" w:hAnsi="Times New Roman;sans-serif"/>
                <w:b w:val="false"/>
                <w:color w:val="000000"/>
                <w:sz w:val="10"/>
              </w:rPr>
              <w:t>(10)</w:t>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3,238,907</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479,393</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487,365</w:t>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965,787</w:t>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191,757</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31,651</w:t>
            </w:r>
            <w:r>
              <w:rPr>
                <w:rFonts w:ascii="Times New Roman;sans-serif" w:hAnsi="Times New Roman;sans-serif"/>
                <w:b w:val="false"/>
                <w:color w:val="000000"/>
                <w:sz w:val="10"/>
              </w:rPr>
              <w:t>(10)</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2,155,954</w:t>
            </w:r>
          </w:p>
        </w:tc>
      </w:tr>
    </w:tbl>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The amounts reported in the Option Awards and Stock Awards columns represent the grant date fair value of the stock options, RSUs, and PSUs granted to the named executive officers during the years ended December 31, 2024 and 2023 as computed in accordance with ASC Topic 718. The grant date fair value of the 2024 PSUs is estimated based upon the expected achievement of the performance metric specified in the PSU Agreement, using a Monte Carlo simulation. The assumptions used in calculating the grant date fair value of the stock options reported in the Option Awards column are set forth in Note 8 to our audited consolidated financial statements included in our Annual Report on Form 10-K for the year ended December 31, 2024. Note that the amounts reported in these columns reflect the accounting cost for these stock options, RSUs, and PSUs, and do not correspond to the actual economic value that may be received by our named executive officers from such awards.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Mr. Faga was appointed Interim President and Chief Executive Officer, effective March 21, 2022 and President and Chief Executive Officer, effective August 3, 2023.</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In addition to time-vesting RSUs, includes $3,949,862 related to PSUs granted to Mr. Faga during the year ended December 31, 2024, contingent on achieving a $50, $75, and $100 share price.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Includes 401(k) matching contributions and group term life insurance premiums paid by us on behalf of Mr. Faga.</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    Includes a one-time $1,500,000 transition bonus paid to Mr. Faga in connection with his transition from Interim President and Chief Executive Officer to President and Chief Executive Officer. In the event that Mr. Faga’s employment is terminated by the Company due to “cause” or by Mr. Faga without “good reason” prior to August 4, 2025, Mr. Faga will be required to re-pay a prorated amount of his transition bonus if his employment is terminated with “cause” or he resigns without “good reason” before August 4, 2025.</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    In addition to time-vesting RSUs, includes $1,234,334 related to PSUs granted to Dr. Lizzul during the year ended December 31, 2024, contingent on achieving a $50, $75, and $100 share price.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    Reflects 401(k) matching contributions and group term life insurance premiums paid by us on behalf of Dr. Lizzul.</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(8)    Mr. Mulroy was not a named executive officer for the year ended December 31, 2023.</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(9)    In addition to time-vesting RSUs, includes $493,728 related to PSUs granted to Mr. Mulroy during the year ended December 31, 2024, contingent on achieving a $50, $75, and $100 share price.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(10)    Reflects 401(k) matching contributions and group term life insurance premiums paid by us on behalf of Mr. Mulroy.</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Outstanding Equity Awards at Fiscal Year-End Table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 named executive officers, information regarding outstanding stock options, RSUs, and PSUs held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9"/>
        <w:gridCol w:w="193"/>
        <w:gridCol w:w="196"/>
        <w:gridCol w:w="193"/>
        <w:gridCol w:w="193"/>
        <w:gridCol w:w="194"/>
        <w:gridCol w:w="445"/>
        <w:gridCol w:w="445"/>
        <w:gridCol w:w="446"/>
        <w:gridCol w:w="502"/>
        <w:gridCol w:w="502"/>
        <w:gridCol w:w="503"/>
        <w:gridCol w:w="256"/>
        <w:gridCol w:w="256"/>
        <w:gridCol w:w="257"/>
        <w:gridCol w:w="311"/>
        <w:gridCol w:w="311"/>
        <w:gridCol w:w="312"/>
        <w:gridCol w:w="298"/>
        <w:gridCol w:w="298"/>
        <w:gridCol w:w="300"/>
        <w:gridCol w:w="463"/>
        <w:gridCol w:w="292"/>
        <w:gridCol w:w="298"/>
        <w:gridCol w:w="376"/>
        <w:gridCol w:w="376"/>
        <w:gridCol w:w="377"/>
        <w:gridCol w:w="404"/>
        <w:gridCol w:w="362"/>
        <w:gridCol w:w="527"/>
      </w:tblGrid>
      <w:tr>
        <w:trPr/>
        <w:tc>
          <w:tcPr>
            <w:tcW w:w="3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19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Grant Date</w:t>
            </w:r>
            <w:r>
              <w:rPr>
                <w:rFonts w:ascii="Times New Roman;sans-serif" w:hAnsi="Times New Roman;sans-serif"/>
                <w:b/>
                <w:color w:val="000000"/>
                <w:sz w:val="10"/>
              </w:rPr>
              <w:t>(1)</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Underlying Unexercised Options </w:t>
              <w:br/>
              <w:t>(#) Exercisable</w:t>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Underlying Unexercised Options </w:t>
              <w:br/>
              <w:t>(#) Unexercisable</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Market Value of Shares or Units of Stock That Have Not Vested ($)</w:t>
            </w:r>
            <w:r>
              <w:rPr>
                <w:rFonts w:ascii="Times New Roman;sans-serif" w:hAnsi="Times New Roman;sans-serif"/>
                <w:b/>
                <w:color w:val="000000"/>
                <w:sz w:val="10"/>
              </w:rPr>
              <w:t>(2)</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Equity incentive plan awards: number of unearned shares, units or other rights that have not vested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Equity incentive plan awards: market or payout value of unearned shares, units or other rights that have not vested </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r>
      <w:tr>
        <w:trPr/>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Daniel Faga</w:t>
            </w:r>
            <w:r>
              <w:rPr>
                <w:rFonts w:ascii="Times New Roman;sans-serif" w:hAnsi="Times New Roman;sans-serif"/>
                <w:b w:val="false"/>
                <w:color w:val="000000"/>
                <w:sz w:val="10"/>
              </w:rPr>
              <w:t>(3)</w:t>
            </w:r>
          </w:p>
        </w:tc>
        <w:tc>
          <w:tcPr>
            <w:tcW w:w="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11/26/2021</w:t>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2,321</w:t>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31.12</w:t>
            </w:r>
          </w:p>
        </w:tc>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11/25/2031</w:t>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11/26/2021</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11,000</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31.12</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11/25/2031</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02/10/2022</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30.44</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02/09/2032</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53,550</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709,002</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93,390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101,510</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01/05/2033</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379,620</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21.19</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1/02/2034</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138,710</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1,836,520</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07/22/2024</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160,000</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2,118,400</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Paul Lizzul </w:t>
            </w:r>
            <w:r>
              <w:rPr>
                <w:rFonts w:ascii="Times New Roman;sans-serif" w:hAnsi="Times New Roman;sans-serif"/>
                <w:b w:val="false"/>
                <w:color w:val="000000"/>
                <w:sz w:val="10"/>
              </w:rPr>
              <w:t>(4)</w:t>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07/30/2020</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85,000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18.50</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07/29/2030</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02/10/2021</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43,125</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29.70</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02/09/2031</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02/10/2021</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29.70</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02/09/2031</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02/10/2022</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49,583</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20,417</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30.44</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02/09/2032</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12/15/2022</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28.64</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12/14/2032</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18,435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244,079</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32,137</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34,933</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01/05/2033</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115,540</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21.19</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01/02/2034</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42,220</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558,993</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07/22/2024</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662,000</w:t>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Dennis Mulroy</w:t>
            </w:r>
            <w:r>
              <w:rPr>
                <w:rFonts w:ascii="Times New Roman;sans-serif" w:hAnsi="Times New Roman;sans-serif"/>
                <w:b w:val="false"/>
                <w:color w:val="000000"/>
                <w:sz w:val="10"/>
              </w:rPr>
              <w:t>(5)</w:t>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07/13/2020</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80,600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07/12/2030</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02/10/2021</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43,125</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29.70</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02/09/2031</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02/10/2021</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29.70</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02/09/2031</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02/10/2022</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49,583</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20,417</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30.44</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02/09/2032</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12/15/2022</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28.64</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12/14/2032</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27,437</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29,823</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01/05/2033</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01/06/2023</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15,735</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208,331</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90,780</w:t>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21.19</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01/02/2034</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01/03/2024</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33,170</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439,171</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07/22/2024</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264,800</w:t>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Based on the closing price of our common stock on December 31, 2024, the last trading date of 2024, of $13.24.</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     The options vest as to their underlying shares as follows: (i) the shares underlying the 2,321 options granted on November 26, 2021 have fully vested; (ii) the 11,000 shares underlying the option granted on November 26, 2021 have fully vested (iii) the 9,200 shares underlying the option granted on February 10, 2022 have fully vested; (iv) of the 194,900 shares underlying the option granted on January 6, 2023, 1/4 vested on January 6, 2024, and 1/48 vest on the sixth of each succeeding calendar month, starting February 6, 2024; and (v) of the shares underlying the 71,400 RSUs granted on January 6, 2023, 1/4 vested on January 6, 2024 and 1/4 will vest annually beginning on January 6, 2025; (vi) of the 379,620 shares underlying the option granted on January 3, 2024, 1/4 vested on January 3, 2025 and 1/48 vest on the third of each succeeding calendar month, starting February 3, 2025; (vii) of the shares underlying the 138,710 RSUs granted on January 3, 2024, 1/4 will vest annually beginning on January 3, 2025; (viii) of the shares underlying the 160,000 PSUs granted on July 22, 2024, 50% will vest on the later of the 1-year anniversary of the achievement of the applicable performance metric or July 1, 2026 and 50% will vest on the 2-year anniversary of the achievement of the applicable performance metric (but no later than July 1, 2028). If we experience a change in control and Mr. Faga experiences a qualifying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Mr. Faga is eligible for certain accelerated vesting as described below under “Potential Payments upon Termination or Change in Control”.</w:t>
      </w:r>
    </w:p>
    <w:p>
      <w:pPr>
        <w:pStyle w:val="TextBody"/>
        <w:bidi w:val="0"/>
        <w:spacing w:lineRule="auto" w:line="288" w:before="0" w:after="120"/>
        <w:ind w:left="0" w:right="0" w:hanging="360"/>
        <w:jc w:val="left"/>
        <w:rPr/>
      </w:pPr>
      <w:r>
        <w:rPr>
          <w:rFonts w:ascii="Times New Roman;sans-serif" w:hAnsi="Times New Roman;sans-serif"/>
          <w:b w:val="false"/>
          <w:color w:val="000000"/>
          <w:sz w:val="18"/>
        </w:rPr>
        <w:t>(4)</w:t>
      </w:r>
      <w:r>
        <w:rPr>
          <w:color w:val="000000"/>
        </w:rPr>
        <w:t>    </w:t>
      </w:r>
      <w:r>
        <w:rPr>
          <w:rFonts w:ascii="Times New Roman;sans-serif" w:hAnsi="Times New Roman;sans-serif"/>
          <w:b w:val="false"/>
          <w:color w:val="000000"/>
          <w:sz w:val="18"/>
        </w:rPr>
        <w:t>The options vest as to their underlying shares as follows: (i) the shares underlying the 10,000 options granted on February 10, 2021 have fully vested; (ii) the 85,000 shares underlying the option granted on July 30, 2020 have fully vested; (iii) of the 45,000 shares underlying one of the options granted on February 10, 2021, 1/4 vested on February 10, 2022, and 1/48 vest on the tenth day of each succeeding calendar month, starting March 10, 2022;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67,070 shares underlying the option granted on January 6, 2023, 1/4 vested on January 6, 2024, and 1/48 vest on the sixth of each succeeding calendar month, starting February 6, 2024; (vii) of the of the shares underlying the 24,580 RSUs granted on January 6, 2023, 1/4 vested on January 6, 2024 and 1/4 will vest annually beginning on January 6, 2025; (viii) of the 115,540 shares underlying the option granted on January 3, 2024, 1/4 vested on January 3, 2025 and 1/48 will vest on the third day of each succeeding calendar month, starting February 6, 2025; (ix) of the shares underlying the 42,220 RSUs granted on January 3, 2024, 1/4 will vest annually beginning on January 3, 2025; and (x) the shares underlying the 50,000 PSUs granted on July 22, 2024, 50% will vest on the later of the 1-year anniversary of the achievement of the applicable performance metric or July 1, 2026 and 50% will vest on the 2-year anniversary of the achievement of the applicable performance metric (but no later than July 1, 2028). If we experience a change in control and Dr. Lizzul experiences a qualifying termination, Dr. Lizzul is eligible for certain accelerated vesting as described below under “Potential Payments upon Termination or Change in Control”.</w:t>
      </w:r>
    </w:p>
    <w:p>
      <w:pPr>
        <w:pStyle w:val="TextBody"/>
        <w:bidi w:val="0"/>
        <w:spacing w:lineRule="auto" w:line="288" w:before="0" w:after="120"/>
        <w:ind w:left="0" w:right="0" w:hanging="360"/>
        <w:jc w:val="left"/>
        <w:rPr/>
      </w:pPr>
      <w:r>
        <w:rPr>
          <w:rFonts w:ascii="Times New Roman;sans-serif" w:hAnsi="Times New Roman;sans-serif"/>
          <w:b w:val="false"/>
          <w:color w:val="000000"/>
          <w:sz w:val="18"/>
        </w:rPr>
        <w:t>(5)</w:t>
      </w:r>
      <w:r>
        <w:rPr>
          <w:color w:val="000000"/>
        </w:rPr>
        <w:t>    </w:t>
      </w:r>
      <w:r>
        <w:rPr>
          <w:rFonts w:ascii="Times New Roman;sans-serif" w:hAnsi="Times New Roman;sans-serif"/>
          <w:b w:val="false"/>
          <w:color w:val="000000"/>
          <w:sz w:val="18"/>
        </w:rPr>
        <w:t>The options vest as to their underlying shares as follows: (i) the shares underlying the 80,600 options granted on August 13, 2020 have fully vested; (ii) the 45,000 shares underlying one of the options granted on February 10, 2021, 1/4 vested on February 10, 2022, and 1/48 vest on the tenth day of each succeeding calendar month, starting on March 10, 2022; (iii) the shares underlying the 10,000 options granted on February 10, 2021 have fully vested;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57,260 shares underlying the option granted on January 6, 2023, 1/4 vested on January 6, 2024, and 1/48 vest on the sixth of each succeeding calendar month, starting February 6, 2024; (vii) of the shares underlying the 20,980 RSUs granted on January 3, 2024, 1/4 will vest annually beginning on January 3, 2025; (viii) of the 90,780 shares underlying the option granted on January 3, 2024, 1/4 vested on January 3, 2025 and 1/48 will vest on the third day of each succeeding calendar month, starting February 6, 2025; (ix) of the shares underlying the 33,170 RSUs granted on January 3, 2024, 1/4 will vest annually beginning on January 3, 2025; and (x) the shares underlying the 20,000 PSUs granted on July 22, 2024, 50% will vest on the later of the 1-year anniversary of the achievement of the applicable performance metric or July 1, 2026 and 50% will vest on the 2-year anniversary of the achievement of the applicable performance metric (but no later than July 1, 2028). If we experience a change in control and Mr. Mulroy experiences a qualifying termination, Mr. Mulroy is eligible for certain accelerated vesting as described below under “Potential Payments upon Termination or Change in Control”.</w:t>
      </w:r>
    </w:p>
    <w:p>
      <w:pPr>
        <w:pStyle w:val="TextBody"/>
        <w:bidi w:val="0"/>
        <w:spacing w:before="0" w:after="1"/>
        <w:ind w:left="0" w:right="0" w:hanging="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Pay-Versus-Performance</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953(a) of the Dodd-Frank Wall Street Reform and Consumer Protection Act and Item 402(v) of Regulation S-K, we are providing the following disclosure regarding executive compensation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pStyle w:val="TextBody"/>
        <w:bidi w:val="0"/>
        <w:spacing w:lineRule="auto" w:line="240" w:before="200" w:after="2"/>
        <w:ind w:left="0" w:right="0" w:firstLine="7"/>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w:t>
      </w:r>
    </w:p>
    <w:p>
      <w:pPr>
        <w:pStyle w:val="TextBody"/>
        <w:bidi w:val="0"/>
        <w:spacing w:lineRule="auto" w:line="240" w:before="200" w:after="200"/>
        <w:ind w:left="0" w:right="0" w:firstLine="7"/>
        <w:jc w:val="left"/>
        <w:rPr>
          <w:rFonts w:ascii="Times New Roman;sans-serif" w:hAnsi="Times New Roman;sans-serif"/>
          <w:b w:val="false"/>
          <w:color w:val="000000"/>
          <w:sz w:val="20"/>
        </w:rPr>
      </w:pPr>
      <w:r>
        <w:rPr>
          <w:rFonts w:ascii="Times New Roman;sans-serif" w:hAnsi="Times New Roman;sans-serif"/>
          <w:b w:val="false"/>
          <w:color w:val="000000"/>
          <w:sz w:val="20"/>
        </w:rPr>
        <w:t>In 2022, there was a change to our executive management team with the separation of our tenured Chief Executive Officer, Hamza Suria (“PEO 2”), from the company on March 20, 2022. Upon the separation, Daniel Faga (“PEO 1”) was appointed our interim Chief Executive Officer. On August 3, 2023, Mr. Faga transitioned from interim Chief Executive Officer to Chief Executive Officer. We provide the compensation actually paid during 2022 for both individuals providing service as Chief Executive Officer during 2022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tbl>
      <w:tblPr>
        <w:tblW w:w="12165"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30"/>
        <w:gridCol w:w="330"/>
        <w:gridCol w:w="331"/>
        <w:gridCol w:w="109"/>
        <w:gridCol w:w="109"/>
        <w:gridCol w:w="109"/>
        <w:gridCol w:w="351"/>
        <w:gridCol w:w="351"/>
        <w:gridCol w:w="49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16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Pay-Versus-Performance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Year</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for PEO 1</w:t>
            </w:r>
          </w:p>
          <w:p>
            <w:pPr>
              <w:pStyle w:val="TableContents"/>
              <w:bidi w:val="0"/>
              <w:spacing w:lineRule="auto" w:line="240" w:before="0" w:after="0"/>
              <w:jc w:val="center"/>
              <w:rPr/>
            </w:pPr>
            <w:r>
              <w:rPr>
                <w:rFonts w:ascii="Times New Roman;sans-serif" w:hAnsi="Times New Roman;sans-serif"/>
                <w:b/>
                <w:color w:val="000000"/>
                <w:sz w:val="16"/>
              </w:rPr>
              <w:t xml:space="preserve">(Faga)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Compensation Actually Paid for PEO 1 (Faga) </w:t>
            </w:r>
            <w:r>
              <w:rPr>
                <w:rFonts w:ascii="Times New Roman;sans-serif" w:hAnsi="Times New Roman;sans-serif"/>
                <w:b/>
                <w:color w:val="000000"/>
                <w:sz w:val="10"/>
              </w:rPr>
              <w:t>(3)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Summary Compensation Table Total for PEO 2 (Suria)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Compensation Actually Paid for PEO 2 (Suria) </w:t>
            </w:r>
            <w:r>
              <w:rPr>
                <w:rFonts w:ascii="Times New Roman;sans-serif" w:hAnsi="Times New Roman;sans-serif"/>
                <w:b/>
                <w:color w:val="000000"/>
                <w:sz w:val="10"/>
              </w:rPr>
              <w:t>(3)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Summary Compensation Table Total for Non-PEO NEOs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Compensation Actually Paid for Non-PEO NEOs </w:t>
            </w:r>
            <w:r>
              <w:rPr>
                <w:rFonts w:ascii="Times New Roman;sans-serif" w:hAnsi="Times New Roman;sans-serif"/>
                <w:b/>
                <w:color w:val="000000"/>
                <w:sz w:val="10"/>
              </w:rPr>
              <w:t>(3)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Value of Initial Fixed $100 Investment Based on Total Shareholder Return </w:t>
            </w:r>
            <w:r>
              <w:rPr>
                <w:rFonts w:ascii="Times New Roman;sans-serif" w:hAnsi="Times New Roman;sans-serif"/>
                <w:b/>
                <w:color w:val="000000"/>
                <w:sz w:val="10"/>
              </w:rPr>
              <w:t>(4)</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(g)</w:t>
            </w:r>
          </w:p>
        </w:tc>
      </w:tr>
      <w:tr>
        <w:trPr/>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$13,630,292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$9,160,362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$3,911,208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$1,844,033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$(145,231,000)</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$7,461,920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$(1,737,869)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$2,349,651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$(163,619,000)</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$24,440,350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$28,514,763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$7,250,583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$3,714,536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$3,827,145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$2,228,110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$(128,724,000)</w:t>
            </w:r>
          </w:p>
        </w:tc>
      </w:tr>
    </w:tbl>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The Company’s PEOs and NEOs for the applicable fiscal years were as follows:</w:t>
      </w:r>
    </w:p>
    <w:tbl>
      <w:tblPr>
        <w:tblW w:w="4606" w:type="dxa"/>
        <w:jc w:val="left"/>
        <w:tblInd w:w="0" w:type="dxa"/>
        <w:tblLayout w:type="fixed"/>
        <w:tblCellMar>
          <w:top w:w="28" w:type="dxa"/>
          <w:left w:w="28" w:type="dxa"/>
          <w:bottom w:w="28" w:type="dxa"/>
          <w:right w:w="28" w:type="dxa"/>
        </w:tblCellMar>
      </w:tblPr>
      <w:tblGrid>
        <w:gridCol w:w="179"/>
        <w:gridCol w:w="158"/>
        <w:gridCol w:w="159"/>
        <w:gridCol w:w="319"/>
        <w:gridCol w:w="319"/>
        <w:gridCol w:w="322"/>
        <w:gridCol w:w="338"/>
        <w:gridCol w:w="338"/>
        <w:gridCol w:w="344"/>
        <w:gridCol w:w="624"/>
        <w:gridCol w:w="624"/>
        <w:gridCol w:w="88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PEO 1</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PEO 2</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Non-PEO NEOs</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Daniel Faga</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Dennis Mulroy, Paul Lizzul</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Daniel Faga</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Eric Loumeau, Paul Lizzul</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Daniel Faga</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Hamza Suria</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Eric Loumeau, Paul Lizzul</w:t>
            </w:r>
          </w:p>
        </w:tc>
      </w:tr>
    </w:tbl>
    <w:p>
      <w:pPr>
        <w:pStyle w:val="TextBody"/>
        <w:bidi w:val="0"/>
        <w:spacing w:before="0" w:after="1"/>
        <w:ind w:left="0" w:right="0" w:hanging="4"/>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The dollar amounts reported in these columns represent (i) the amount of total compensation reported in the Summary Compensation Table for the applicable fiscal year for each of our PEOs and (ii) the average dollar amounts of total compensation reported in the Summary Compensation Table for the applicable fiscal year for our others NEOs as a group (excluding our PEOs).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2022 Summary Compensation Table total for Mr. Faga includes fees paid for service as a non-employee director during 2022 ($10,000 cash retainer and $200,618 stock option grant).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The dollar amounts reported in these columns represent (i) the “compensation actually paid” to our PEOs and (ii) the average “compensation actually paid” to our other NEOs as a group (excluding our PEOs), based on their total compensation reported in the Summary Compensation Table for the applicable fiscal years and adjusted in accordance with Item 402(v) of Regulation S-K. The dollar amounts reported in this column for the latest fiscal year are adjusted as shown in the table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61"/>
        <w:gridCol w:w="2061"/>
        <w:gridCol w:w="2067"/>
        <w:gridCol w:w="109"/>
        <w:gridCol w:w="109"/>
        <w:gridCol w:w="109"/>
        <w:gridCol w:w="109"/>
        <w:gridCol w:w="109"/>
        <w:gridCol w:w="109"/>
        <w:gridCol w:w="109"/>
        <w:gridCol w:w="196"/>
        <w:gridCol w:w="1000"/>
        <w:gridCol w:w="109"/>
        <w:gridCol w:w="109"/>
        <w:gridCol w:w="109"/>
        <w:gridCol w:w="109"/>
        <w:gridCol w:w="198"/>
        <w:gridCol w:w="922"/>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br/>
              <w:t>(PEO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br/>
              <w:t>(NEO Average)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Summary Compensation Table - Total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3,911,208 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(3,218,111)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Fiscal Year End of Outstanding and Unvested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Outstanding and Unvested Stock Awards and Option Awards Granted in Prior Fiscal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Vesting of Stock Awards and Option Awards Granted in Fiscal Year That Vested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as of Vesting Date of Stock Awards and Option Awards Granted in Prior Fiscal Years For Which Applicable Vesting Conditions Were Satisfied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as of Prior Fiscal Year End of Stock Awards and Option Awards Granted in Prior Fiscal Years That Failed to Meet Applicable Vesting Conditions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Actually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1,844,033 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
        <w:ind w:left="0" w:right="0" w:hanging="4"/>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or change in fair value, as applicable, of equity awards in the “Compensation Actually Paid” columns has been estimated pursuant to the guidance in ASC Topic 718, and the valuation assumptions used to calculate fair values did not materially differ from those disclosed at the time of the grant.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     Pursuant to Item 402(v) of Regulation S-K, the comparison assumes $100 was invested on December 31, 2021 in our common stock. Historic stock price performance is not necessarily indicative of future stock price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hanging="360"/>
        <w:jc w:val="left"/>
        <w:rPr/>
      </w:pPr>
      <w:r>
        <w:rPr>
          <w:rFonts w:ascii="Times New Roman;sans-serif" w:hAnsi="Times New Roman;sans-serif"/>
          <w:b w:val="false"/>
          <w:i/>
          <w:color w:val="000000"/>
          <w:sz w:val="20"/>
          <w:u w:val="single"/>
        </w:rPr>
        <w:t>Compensation Actually Paid and Company TSR</w:t>
      </w:r>
      <w:r>
        <w:rPr>
          <w:rFonts w:ascii="Times New Roman;sans-serif" w:hAnsi="Times New Roman;sans-serif"/>
          <w:b w:val="false"/>
          <w:i/>
          <w:color w:val="000000"/>
          <w:sz w:val="13"/>
        </w:rPr>
        <w:t>1</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displays our compensation actually paid (CAP) vs. our cumulative TSR. The CAP to our PEOs in 2022 was non-standard as it reflects a new hire compensation package for Mr. Faga and partial year employment for Hamza Suria, our former President and Chief Executive Officer.</w:t>
      </w:r>
    </w:p>
    <w:p>
      <w:pPr>
        <w:pStyle w:val="TextBody"/>
        <w:bidi w:val="0"/>
        <w:spacing w:before="120" w:after="283"/>
        <w:jc w:val="center"/>
        <w:rPr/>
      </w:pPr>
      <w:r>
        <w:rPr/>
        <w:drawing>
          <wp:inline distT="0" distB="0" distL="0" distR="0">
            <wp:extent cx="6305550" cy="3400425"/>
            <wp:effectExtent l="0" t="0" r="0" b="0"/>
            <wp:docPr id="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 descr=""/>
                    <pic:cNvPicPr>
                      <a:picLocks noChangeAspect="1" noChangeArrowheads="1"/>
                    </pic:cNvPicPr>
                  </pic:nvPicPr>
                  <pic:blipFill>
                    <a:blip r:embed="rId5"/>
                    <a:stretch>
                      <a:fillRect/>
                    </a:stretch>
                  </pic:blipFill>
                  <pic:spPr bwMode="auto">
                    <a:xfrm>
                      <a:off x="0" y="0"/>
                      <a:ext cx="6305550" cy="3400425"/>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pPr>
      <w:r>
        <w:rPr>
          <w:rFonts w:ascii="Times New Roman;sans-serif" w:hAnsi="Times New Roman;sans-serif"/>
          <w:b w:val="false"/>
          <w:i/>
          <w:color w:val="000000"/>
          <w:sz w:val="20"/>
          <w:u w:val="single"/>
        </w:rPr>
        <w:t>Compensation Actually Paid and Net Income</w:t>
      </w:r>
      <w:r>
        <w:rPr>
          <w:rFonts w:ascii="Times New Roman;sans-serif" w:hAnsi="Times New Roman;sans-serif"/>
          <w:b w:val="false"/>
          <w:i/>
          <w:color w:val="000000"/>
          <w:sz w:val="13"/>
        </w:rPr>
        <w:t>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displays our compensation actually paid vs. Net Income. As a pre-commercial biotechnology company, we do not believe Net Income is yet a reasonable metric to measure our financial performance.</w:t>
      </w:r>
    </w:p>
    <w:p>
      <w:pPr>
        <w:pStyle w:val="TextBody"/>
        <w:bidi w:val="0"/>
        <w:spacing w:before="120" w:after="283"/>
        <w:jc w:val="center"/>
        <w:rPr/>
      </w:pPr>
      <w:r>
        <w:rPr/>
        <w:drawing>
          <wp:inline distT="0" distB="0" distL="0" distR="0">
            <wp:extent cx="6305550" cy="340042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6"/>
                    <a:stretch>
                      <a:fillRect/>
                    </a:stretch>
                  </pic:blipFill>
                  <pic:spPr bwMode="auto">
                    <a:xfrm>
                      <a:off x="0" y="0"/>
                      <a:ext cx="6305550" cy="3400425"/>
                    </a:xfrm>
                    <a:prstGeom prst="rect">
                      <a:avLst/>
                    </a:prstGeom>
                  </pic:spPr>
                </pic:pic>
              </a:graphicData>
            </a:graphic>
          </wp:inline>
        </w:drawing>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Net Income is calculated by subtracting expenses, interest, and taxes from revenue. The dollar amounts reported represent the amount of Net Income reflected in the Company’s audited financial statements for the applicable year.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Employment Agreements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employment of each of Mr. Faga, Dr. Lizzul and Mr. Mulroy are set forth in written employment agreements. Each of these arrangements was approved by our Board. We believed these employment agreements were necessary to induce these individuals to forego other employment opportunities or leave their current employer for the uncertainty of a demanding position in a new and unfamiliar organization.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Mr. Faga’s Employment Agreement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employment agreement, effective as of August 3, 2023 (the “Faga Employment Agreement”, which amends, restates and supersedes Mr. Faga’s previous employment agreement dated March 21, 2022). Mr. Faga serves as our President and Chief Executive Officer. The Faga Employment Agreement sets forth the principal terms and conditions of his employment as the Company’s President and Chief Executive Officer, including his initial annual base salary and initial annual target cash bonus opportunity, which bonus may be earned based upon the achievement of specified performance goals (and which will be prorated for his partial year of service). Mr. Faga also received a one-time cash transition bonus of $1,500,000 in connection with his transition from Interim President and Chief Executive Officer to President and Chief Executive Officer. In the event that Mr. Faga’s employment is terminated by the Company due to “cause” or by Mr. Faga without “good reason” after August 4, 2024 but before August 4, 2025, Mr. Faga will be required to re-pay a pro rata portion of the transition bonus. As of March 21, 2024, Mr. Faga ceased to be eligible for any payments related to excise taxes. Mr. Faga’s employment is at-will and may be terminated at any time, with or without cause. However, pursuant to the terms of the Faga Employment Agreement, Mr. Faga will be entitled to severance benefits upon a qualifying termination of employment as described in “—Potential Payments upon Termination or Change in Control” below.</w:t>
      </w: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Dr. Lizzul’s Employment Agreement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an employment agreement effective as of July 31, 2020, as amended and restated on April 25, 2022 (the “Lizzul Employment Agreement”), Dr. Lizzul serves as our Chief Medical Officer. The Lizzul Employment Agreement sets forth the principal terms and conditions of his employment, including his annual base salary, subject to periodic review and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initial annual target cash bonus opportunity, which bonus may be earned based upon the achievement of specified performance goals.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Mr. Mulroy’s Employment Agreement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employment agreement effective as of July 13, 2020, as amended on April 25, 2022 (the “Mulroy Employment Agreement”), Mr. Mulroy serves as our Chief Financial Officer. The Mulroy Employment Agreement set forth the principal terms and conditions of his employment, including his annual base salary, subject to periodic review and an initial annual target cash bonus opportunity, which bonus may be earned based upon the achievement of specified performance goals. Mr. Mulroy’s employment is at will and may be terminated at any time, with or without cause. However, pursuant to the terms of the Mulroy Employment Agreement, Mr. Mulroy will be entitled to severance benefits upon a qualifying termination of employment as described in “—Potential Payments upon Termination or Change in Control” below.</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Potential Payments upon Termination or Change in Control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Faga Employment Agreement, the Lizzul Employment Agreement and the Mulroy Employment Agreement, in the event that Mr. Faga, Dr. Lizzul or Mr. Mulroy is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Mulroy, nine months,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Mulroy, or such earlier date on which coverage with a new employer is obtained and (iii) in the case of Mr. Faga, 12 months’ accelerated vesting of his equity awards (other than the 2024 PSUs, for which only 50% of Eligible PSUs shall vest).</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Change in Control</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Faga Employment Agreement, if we experience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will receive the continued severance payments and COBRA premiums described above for eighteen months, (ii) a bonus payment equal to his target bonus payment for the year, (iii) a prorated bonus based on actual achievement by the Company of goals for the year, and (iv) all of Mr. Faga’s outstanding equity awards will vest in full (other than the 2024 PSUs, for which the Board shall determine the number of Eligible PSUs based on the achievement of the share price targets on the date of the change of control and such Eligible PSUs shall fully vest).</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each of the Lizzul Employment Agreement and the Mulroy Employment Agreement, if we experience a change in control and Dr. Lizzul or Mr. Mulroy, as applicable, is terminated without “cause” or resigns for “good reason” (each as defined in each of the Lizzul Employment Agreement and the Mulroy Employment Agreement) upon the occurrence of, or within 13 months following, such change of control, and provided that Dr. Lizzul or Mr. Mulroy, as applicable, delivers a signed settlement and general release in favor of us and satisfies all conditions to make such release effective, (i) Dr. Lizzul or Mr. Mulroy, as applicable, will receive the severance payments and COBRA premiums described above for twelve months, (ii) Dr. Lizzul’s or Mr. Mulroy’s, as applicable, currently outstanding equity awards will vest in full (other than the 2024 PSUs, for which the Board shall determine the number of Eligible PSUs based on the achievement of the share price targets on the date of the change of control and such Eligible PSUs shall fully vest) and (iii) Dr. Lizzul or Mr. Mulroy, as applicable, will receive the full payment of his target bonus and a prorated payment of his actual bonus for the applicable year of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Faga Employment Agreement (post-March 21, 2024), the Lizzul Employment Agreement and the Mulroy Employment Agreement contains a “better after-tax” provision, which provides that if any of the payments to Mr. Faga, Dr. Lizzul or Mr. Mulroy,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Executive Benefits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 eligible to participate in our employee benefit plans on the same basis as our other employees, including our health and welfare plans.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our Board adopted a clawback policy providing for the recovery of all or any portion of an executive officer’s incentive-based compensation in the event that we restate our financial results in compliance with the final rules promulgated by the SEC under Section 954 of the Dodd-Frank Act, Rule 10D-1 and Nasdaq. The policy applies to our Chief Executive Officer, Chief Financial Officer, and other executive officers, including each of our named executive officers. The recovery period extends up to three most recently-completed fiscal years prior to the date of the restatement, with respect to incentive-based compensation granted or received after the effective date of the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EQUITY PLAN COMPENSATION INFORMATION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as of December 31, 2024 with respect to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1006"/>
        <w:gridCol w:w="885"/>
        <w:gridCol w:w="858"/>
        <w:gridCol w:w="109"/>
        <w:gridCol w:w="109"/>
        <w:gridCol w:w="109"/>
        <w:gridCol w:w="825"/>
        <w:gridCol w:w="825"/>
        <w:gridCol w:w="827"/>
        <w:gridCol w:w="109"/>
        <w:gridCol w:w="109"/>
        <w:gridCol w:w="109"/>
        <w:gridCol w:w="775"/>
        <w:gridCol w:w="775"/>
        <w:gridCol w:w="776"/>
        <w:gridCol w:w="109"/>
        <w:gridCol w:w="109"/>
        <w:gridCol w:w="109"/>
        <w:gridCol w:w="488"/>
        <w:gridCol w:w="488"/>
        <w:gridCol w:w="696"/>
      </w:tblGrid>
      <w:tr>
        <w:trPr/>
        <w:tc>
          <w:tcPr>
            <w:tcW w:w="10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 xml:space="preserve">securities </w:t>
              <w:br/>
              <w:t xml:space="preserve">to be issued upon </w:t>
              <w:br/>
              <w:t xml:space="preserve">exercise </w:t>
              <w:br/>
              <w:t xml:space="preserve">of outstanding </w:t>
              <w:br/>
              <w:t xml:space="preserve">options, vesting of restricted stock units, warrants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Weighted-average </w:t>
              <w:br/>
              <w:t xml:space="preserve">exercise price </w:t>
              <w:br/>
              <w:t xml:space="preserve">of outstanding </w:t>
              <w:br/>
              <w:t xml:space="preserve">options, restricted stock units, warrants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securities </w:t>
              <w:br/>
              <w:t xml:space="preserve">remaining available </w:t>
              <w:br/>
              <w:t xml:space="preserve">for future issuance under </w:t>
              <w:br/>
              <w:t xml:space="preserve">equity compensation </w:t>
              <w:br/>
              <w:t xml:space="preserve">plans </w:t>
              <w:br/>
              <w:t xml:space="preserve">(excluding securities </w:t>
              <w:br/>
              <w:t xml:space="preserve">reflected in </w:t>
              <w:br/>
              <w:t>column(a)) (#)</w:t>
            </w:r>
          </w:p>
        </w:tc>
      </w:tr>
      <w:tr>
        <w:trPr/>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compensation plans approved by security holders</w:t>
            </w:r>
            <w:r>
              <w:rPr>
                <w:color w:val="000000"/>
              </w:rPr>
              <w:t xml:space="preserve"> </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7,818,466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4,800,069</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7,818,466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4,800,069</w:t>
            </w:r>
          </w:p>
        </w:tc>
      </w:tr>
    </w:tbl>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our 2006 Plan, 2017 Plan and our ESPP, and excludes purchase rights accruing under our ESPP.</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We have ceased issuing awards under our 2006 Plan as of the effective date of our 2017 Plan. Any shares of common stock that are subject to outstanding awards under the 2006 Plan that are issuable upon the exercise of stock options that expire or become unexercisable for any reason without having been exercised in full will generally be available for future grant and issuance under our 2017 Plan. We waived the automatic increase in shares under our ESPP for 2025. The number of shares available under our ESPP will increase automatically by 1% on the first day of January of each of 2026 and 2027 by the number of shares equal to 1% of the total outstanding shares of our common stock as of the immediately preceding December 31 or a lower number approved by our Board or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RELATED-PARTY TRANSACTIONS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From January 1, 2023 to the present, there have been no transactions, and there are currently no proposed transactions, in which the amount involved exceeds the lesser of (i) $120,000 or (ii) 1% of the average of the Company’s total assets at year-end for the prior two completed fiscal years and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Policies and Procedures for Related Party Transactions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(i) $120,000 or (ii) 1% of the average of the Company’s total assets at year-end for the prior two completed fiscal years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ADDITIONAL INFORMATION </w:t>
      </w:r>
    </w:p>
    <w:p>
      <w:pPr>
        <w:pStyle w:val="TextBody"/>
        <w:bidi w:val="0"/>
        <w:spacing w:lineRule="auto" w:line="288" w:before="0" w:after="240"/>
        <w:ind w:left="0" w:right="0" w:firstLine="7"/>
        <w:jc w:val="left"/>
        <w:rPr>
          <w:rFonts w:ascii="Times New Roman;sans-serif" w:hAnsi="Times New Roman;sans-serif"/>
          <w:b/>
          <w:color w:val="000000"/>
          <w:sz w:val="20"/>
        </w:rPr>
      </w:pPr>
      <w:r>
        <w:rPr>
          <w:rFonts w:ascii="Times New Roman;sans-serif" w:hAnsi="Times New Roman;sans-serif"/>
          <w:b/>
          <w:color w:val="000000"/>
          <w:sz w:val="20"/>
        </w:rPr>
        <w:t xml:space="preserve">Stockholder Proposals to be Presented at the Next Annual Meeting </w:t>
      </w:r>
    </w:p>
    <w:p>
      <w:pPr>
        <w:pStyle w:val="TextBody"/>
        <w:bidi w:val="0"/>
        <w:spacing w:lineRule="auto" w:line="288" w:before="0" w:after="200"/>
        <w:jc w:val="left"/>
        <w:rPr/>
      </w:pPr>
      <w:r>
        <w:rPr>
          <w:rFonts w:ascii="Times New Roman;sans-serif" w:hAnsi="Times New Roman;sans-serif"/>
          <w:b w:val="false"/>
          <w:i/>
          <w:color w:val="000000"/>
          <w:sz w:val="20"/>
        </w:rPr>
        <w:t xml:space="preserve">Requirements for Stockholder Proposals to be Brought Before an Annual Meeting. </w:t>
      </w:r>
      <w:r>
        <w:rPr>
          <w:rFonts w:ascii="Times New Roman;sans-serif" w:hAnsi="Times New Roman;sans-serif"/>
          <w:b w:val="false"/>
          <w:color w:val="000000"/>
          <w:sz w:val="20"/>
        </w:rPr>
        <w:t>Our Bylaws provide that for stockholder nominations to our Board or other proposals to be considered at an annual meeting, the stockholder must give timely notice thereof in writing to the Corporate Secretary at AnaptysBio, Inc., 10770 Wateridge Circle, Suite 210, San Diego, CA 92121.</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 be timely for our company’s 2026 annual meeting of stockholders, a stockholder’s notice must be delivered to or mailed and received by our Corporate Secretary at our principal executive offices not earlier than the close of business on March 4, 2026 and not later than the close of business on April 3, 2026.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pStyle w:val="TextBody"/>
        <w:bidi w:val="0"/>
        <w:spacing w:lineRule="auto" w:line="288" w:before="0" w:after="200"/>
        <w:jc w:val="left"/>
        <w:rPr/>
      </w:pPr>
      <w:r>
        <w:rPr>
          <w:rFonts w:ascii="Times New Roman;sans-serif" w:hAnsi="Times New Roman;sans-serif"/>
          <w:b w:val="false"/>
          <w:i/>
          <w:color w:val="000000"/>
          <w:sz w:val="20"/>
        </w:rPr>
        <w:t xml:space="preserve">Requirements for Stockholder Proposals to be Considered for Inclusion in our Proxy Materials. </w:t>
      </w:r>
      <w:r>
        <w:rPr>
          <w:rFonts w:ascii="Times New Roman;sans-serif" w:hAnsi="Times New Roman;sans-serif"/>
          <w:b w:val="false"/>
          <w:color w:val="000000"/>
          <w:sz w:val="20"/>
        </w:rPr>
        <w:t>Stockholder proposals submitted pursuant to Rule 14a-8 under the Exchange Act and intended to be presented at our 2026 annual meeting of stockholders must be received by us not later than December 30, 2025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will mail without charge, upon written request, a copy of our annual report on Form 10-K for the year ended December 31, 2024, including the financial statements and list of exhibits, and any exhibit specifically requested. Requests should be sent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Diego, CA 92121</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Attn: Corporate Secretary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for the year ended December 31, 2024 is also available at http://ir.anaptysbio.com.</w:t>
      </w:r>
    </w:p>
    <w:p>
      <w:pPr>
        <w:pStyle w:val="TextBody"/>
        <w:bidi w:val="0"/>
        <w:spacing w:lineRule="auto" w:line="288" w:before="0" w:after="200"/>
        <w:jc w:val="left"/>
        <w:rPr>
          <w:color w:val="000000"/>
        </w:rPr>
      </w:pPr>
      <w:r>
        <w:rPr>
          <w:color w:val="000000"/>
        </w:rPr>
        <w:t>“</w:t>
      </w:r>
      <w:r>
        <w:rPr>
          <w:rFonts w:ascii="Times New Roman;sans-serif" w:hAnsi="Times New Roman;sans-serif"/>
          <w:b/>
          <w:color w:val="000000"/>
          <w:sz w:val="20"/>
        </w:rPr>
        <w:t xml:space="preserve">Householding” - Stockholders Sharing the Same Address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our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Upon written or oral request, we will undertake to promptly deliver a separate copy of the Notice of Internet Availability and, if applicable, our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stockholders who share the same address and currently receive multiple copies of our Notice of Internet Availability or our annual report on Form 10-K and other proxy materials who wish to receive only one copy in the future can contact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bank, broker or other holder of record to request information about “householding” or our Corporate Secretary at the address or telephone number listed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does not presently intend to bring any other business before the meeting and, so far as is known to the Board,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ANNEX A </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AMENDED AND RESTATED 2017 EQUITY INCENTIVE PLAN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(AS AMENDED AND RESTATED [___], 2025)</w:t>
      </w:r>
    </w:p>
    <w:p>
      <w:pPr>
        <w:pStyle w:val="TextBody"/>
        <w:bidi w:val="0"/>
        <w:spacing w:lineRule="atLeast" w:line="240" w:before="240" w:after="283"/>
        <w:jc w:val="both"/>
        <w:rPr/>
      </w:pPr>
      <w:r>
        <w:rPr>
          <w:rFonts w:ascii="Times New Roman;sans-serif" w:hAnsi="Times New Roman;sans-serif"/>
          <w:b/>
          <w:color w:val="010000"/>
          <w:sz w:val="22"/>
        </w:rPr>
        <w:t>1.    </w:t>
      </w:r>
      <w:r>
        <w:rPr>
          <w:rFonts w:ascii="Times New Roman;sans-serif" w:hAnsi="Times New Roman;sans-serif"/>
          <w:b/>
          <w:color w:val="000000"/>
          <w:sz w:val="22"/>
          <w:u w:val="single"/>
        </w:rPr>
        <w:t>PURPOSE</w:t>
      </w:r>
      <w:r>
        <w:rPr>
          <w:rFonts w:ascii="Times New Roman;sans-serif" w:hAnsi="Times New Roman;sans-serif"/>
          <w:b w:val="false"/>
          <w:color w:val="000000"/>
          <w:sz w:val="22"/>
        </w:rPr>
        <w:t xml:space="preserve">. The purpose of this Plan is to provide incentives to attract, retain and motivate eligible persons whose present and potential contributions are important to the success of the Company, and any Parents and Subsidiaries that exist now or in the future, by offering them an opportunity to participate in the Company’s future performance through the grant of Awards. Capitalized terms not defined elsewhere in the text are defined in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bidi w:val="0"/>
        <w:spacing w:lineRule="atLeast" w:line="240" w:before="240" w:after="283"/>
        <w:jc w:val="both"/>
        <w:rPr/>
      </w:pPr>
      <w:r>
        <w:rPr>
          <w:rFonts w:ascii="Times New Roman;sans-serif" w:hAnsi="Times New Roman;sans-serif"/>
          <w:b/>
          <w:color w:val="010000"/>
          <w:sz w:val="22"/>
        </w:rPr>
        <w:t>2.    </w:t>
      </w:r>
      <w:r>
        <w:rPr>
          <w:rFonts w:ascii="Times New Roman;sans-serif" w:hAnsi="Times New Roman;sans-serif"/>
          <w:b/>
          <w:color w:val="000000"/>
          <w:sz w:val="22"/>
          <w:u w:val="single"/>
        </w:rPr>
        <w:t>SHARES SUBJECT TO THE PLAN</w:t>
      </w:r>
      <w:r>
        <w:rPr>
          <w:rFonts w:ascii="Times New Roman;sans-serif" w:hAnsi="Times New Roman;sans-serif"/>
          <w:b w:val="false"/>
          <w:color w:val="000000"/>
          <w:sz w:val="22"/>
        </w:rPr>
        <w:t xml:space="preserv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2.1.    </w:t>
      </w:r>
      <w:r>
        <w:rPr>
          <w:rFonts w:ascii="Times New Roman;sans-serif" w:hAnsi="Times New Roman;sans-serif"/>
          <w:b w:val="false"/>
          <w:color w:val="000000"/>
          <w:sz w:val="22"/>
          <w:u w:val="single"/>
        </w:rPr>
        <w:t>Number of Shares Available</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Sections 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21</w:t>
      </w:r>
      <w:r>
        <w:rPr>
          <w:color w:val="000000"/>
        </w:rPr>
        <w:t xml:space="preserve"> </w:t>
      </w:r>
      <w:r>
        <w:rPr>
          <w:rFonts w:ascii="Times New Roman;sans-serif" w:hAnsi="Times New Roman;sans-serif"/>
          <w:b w:val="false"/>
          <w:color w:val="000000"/>
          <w:sz w:val="22"/>
        </w:rPr>
        <w:t xml:space="preserve">and any other applicable provisions hereof, the total number of Shares reserved and available for grant and issuance pursuant to this Plan, as of the Effective Date, is 13,520,410 Shares,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 308,343 reserved shares not issued or subject to outstanding grants under the Company’s 2006 Equity Incentive Plan, as amended, (the “</w:t>
      </w:r>
      <w:r>
        <w:rPr>
          <w:rFonts w:ascii="Times New Roman;sans-serif" w:hAnsi="Times New Roman;sans-serif"/>
          <w:b/>
          <w:i/>
          <w:color w:val="000000"/>
          <w:sz w:val="22"/>
        </w:rPr>
        <w:t>Prior Plan</w:t>
      </w:r>
      <w:r>
        <w:rPr>
          <w:color w:val="000000"/>
        </w:rPr>
        <w:t>”</w:t>
      </w:r>
      <w:r>
        <w:rPr>
          <w:rFonts w:ascii="Times New Roman;sans-serif" w:hAnsi="Times New Roman;sans-serif"/>
          <w:b w:val="false"/>
          <w:color w:val="000000"/>
          <w:sz w:val="22"/>
        </w:rPr>
        <w:t xml:space="preserve">) on the Original Effective Date (as defined below), (b) shares that are subject to stock options or other awards granted under the Prior Plan that cease to be subject to such stock options or other awards by forfeiture or otherwise after the Original Effective Date, (c) shares issued under the Prior Plan before or after the Original Effective Date pursuant to the exercise of stock options that are, after the Original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2.2.    </w:t>
      </w:r>
      <w:r>
        <w:rPr>
          <w:rFonts w:ascii="Times New Roman;sans-serif" w:hAnsi="Times New Roman;sans-serif"/>
          <w:b w:val="false"/>
          <w:color w:val="000000"/>
          <w:sz w:val="22"/>
          <w:u w:val="single"/>
        </w:rPr>
        <w:t>Lapsed, Returned Awards</w:t>
      </w:r>
      <w:r>
        <w:rPr>
          <w:rFonts w:ascii="Times New Roman;sans-serif" w:hAnsi="Times New Roman;sans-serif"/>
          <w:b w:val="false"/>
          <w:color w:val="000000"/>
          <w:sz w:val="22"/>
        </w:rPr>
        <w:t xml:space="preserve">.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 xml:space="preserve">shall not include Shares subject to Awards that initially became available because of the substitution clause in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hereof.</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2.3.    </w:t>
      </w:r>
      <w:r>
        <w:rPr>
          <w:rFonts w:ascii="Times New Roman;sans-serif" w:hAnsi="Times New Roman;sans-serif"/>
          <w:b w:val="false"/>
          <w:color w:val="000000"/>
          <w:sz w:val="22"/>
          <w:u w:val="single"/>
        </w:rPr>
        <w:t>Minimum Share Reserve</w:t>
      </w:r>
      <w:r>
        <w:rPr>
          <w:rFonts w:ascii="Times New Roman;sans-serif" w:hAnsi="Times New Roman;sans-serif"/>
          <w:b w:val="false"/>
          <w:color w:val="000000"/>
          <w:sz w:val="22"/>
        </w:rPr>
        <w:t xml:space="preserve">. At all times the Company shall reserve and keep available a sufficient number of Shares as shall be required to satisfy the requirements of all outstanding Awards granted under this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2.4.    </w:t>
      </w:r>
      <w:r>
        <w:rPr>
          <w:rFonts w:ascii="Times New Roman;sans-serif" w:hAnsi="Times New Roman;sans-serif"/>
          <w:b w:val="false"/>
          <w:color w:val="000000"/>
          <w:sz w:val="22"/>
          <w:u w:val="single"/>
        </w:rPr>
        <w:t>Limitations</w:t>
      </w:r>
      <w:r>
        <w:rPr>
          <w:rFonts w:ascii="Times New Roman;sans-serif" w:hAnsi="Times New Roman;sans-serif"/>
          <w:b w:val="false"/>
          <w:color w:val="000000"/>
          <w:sz w:val="22"/>
        </w:rPr>
        <w:t xml:space="preserve">. No more than Twelve Million (12,000,000) Shares shall be issued pursuant to the exercise of ISOs. </w:t>
      </w:r>
    </w:p>
    <w:p>
      <w:pPr>
        <w:pStyle w:val="TextBody"/>
        <w:bidi w:val="0"/>
        <w:spacing w:lineRule="atLeast" w:line="240" w:before="240" w:after="240"/>
        <w:ind w:left="0" w:right="0" w:firstLine="720"/>
        <w:jc w:val="both"/>
        <w:rPr/>
      </w:pPr>
      <w:r>
        <w:rPr>
          <w:rFonts w:ascii="Times New Roman;sans-serif" w:hAnsi="Times New Roman;sans-serif"/>
          <w:b/>
          <w:color w:val="010000"/>
          <w:sz w:val="22"/>
        </w:rPr>
        <w:t>2.5.    </w:t>
      </w:r>
      <w:r>
        <w:rPr>
          <w:rFonts w:ascii="Times New Roman;sans-serif" w:hAnsi="Times New Roman;sans-serif"/>
          <w:b w:val="false"/>
          <w:color w:val="000000"/>
          <w:sz w:val="22"/>
          <w:u w:val="single"/>
        </w:rPr>
        <w:t>Adjustment of Shares</w:t>
      </w:r>
      <w:r>
        <w:rPr>
          <w:rFonts w:ascii="Times New Roman;sans-serif" w:hAnsi="Times New Roman;sans-serif"/>
          <w:b w:val="false"/>
          <w:color w:val="000000"/>
          <w:sz w:val="22"/>
        </w:rPr>
        <w:t xml:space="preserve">. If the number of outstanding Shares is changed by a stock dividend, extraordinary dividends or distributions (whether in cash, shares or other property, other than a regular cash dividend) recapitalization, stock split, reverse stock split, subdivision,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0"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40"/>
        <w:jc w:val="both"/>
        <w:rPr/>
      </w:pPr>
      <w:r>
        <w:rPr>
          <w:rFonts w:ascii="Times New Roman;sans-serif" w:hAnsi="Times New Roman;sans-serif"/>
          <w:b w:val="false"/>
          <w:color w:val="000000"/>
          <w:sz w:val="22"/>
        </w:rPr>
        <w:t xml:space="preserve">consolidation, reclassification, spin-off or similar change in the capital structure of the Company, without consideration, then (a) the number and class of Shares reserved for issuance and future grant under the Plan set forth in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 xml:space="preserve">, including shares reserved under sub-clauses (a)-(e) of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 xml:space="preserve">, (b) the Exercise Prices of and number and class of Shares subject to outstanding Options and SARs, (c) the number and class of Shares subject to other outstanding Awards, (d) the maximum number and class of Shares that may be issued as ISOs set forth in </w:t>
      </w:r>
      <w:r>
        <w:rPr>
          <w:rFonts w:ascii="Times New Roman;sans-serif" w:hAnsi="Times New Roman;sans-serif"/>
          <w:b w:val="false"/>
          <w:color w:val="000000"/>
          <w:sz w:val="22"/>
          <w:u w:val="single"/>
        </w:rPr>
        <w:t>Section 2.4</w:t>
      </w:r>
      <w:r>
        <w:rPr>
          <w:color w:val="000000"/>
        </w:rPr>
        <w:t xml:space="preserve"> </w:t>
      </w:r>
      <w:r>
        <w:rPr>
          <w:rFonts w:ascii="Times New Roman;sans-serif" w:hAnsi="Times New Roman;sans-serif"/>
          <w:b w:val="false"/>
          <w:color w:val="000000"/>
          <w:sz w:val="22"/>
        </w:rPr>
        <w:t xml:space="preserve">and (e) the number and class of Shares that may be granted as Awards to Non-Employee Directors as set forth in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shall be proportionately adjusted, subject to any required action by the Board or the stockholders of the Company and in compliance with applicable securities laws; provided that fractions of a Share will not be issued.</w:t>
      </w:r>
    </w:p>
    <w:p>
      <w:pPr>
        <w:pStyle w:val="TextBody"/>
        <w:bidi w:val="0"/>
        <w:spacing w:lineRule="atLeast" w:line="240" w:before="240" w:after="283"/>
        <w:jc w:val="both"/>
        <w:rPr/>
      </w:pPr>
      <w:r>
        <w:rPr>
          <w:rFonts w:ascii="Times New Roman;sans-serif" w:hAnsi="Times New Roman;sans-serif"/>
          <w:b/>
          <w:color w:val="010000"/>
          <w:sz w:val="22"/>
        </w:rPr>
        <w:t>3.    </w:t>
      </w:r>
      <w:r>
        <w:rPr>
          <w:rFonts w:ascii="Times New Roman;sans-serif" w:hAnsi="Times New Roman;sans-serif"/>
          <w:b/>
          <w:color w:val="000000"/>
          <w:sz w:val="22"/>
          <w:u w:val="single"/>
        </w:rPr>
        <w:t>ELIGIBILITY</w:t>
      </w:r>
      <w:r>
        <w:rPr>
          <w:rFonts w:ascii="Times New Roman;sans-serif" w:hAnsi="Times New Roman;sans-serif"/>
          <w:b w:val="false"/>
          <w:color w:val="000000"/>
          <w:sz w:val="22"/>
        </w:rPr>
        <w:t xml:space="preserve">. ISOs may be granted only to Employees. All other Awards may be granted to Employees, Consultants, Directors and Non-Employee Directors;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such Consultants, Directors and Non-Employee Directors render bona fide services not in connection with the offer and sale of securities in a capital-raising transaction. </w:t>
      </w:r>
    </w:p>
    <w:p>
      <w:pPr>
        <w:pStyle w:val="TextBody"/>
        <w:bidi w:val="0"/>
        <w:spacing w:lineRule="atLeast" w:line="240" w:before="240" w:after="283"/>
        <w:jc w:val="both"/>
        <w:rPr/>
      </w:pPr>
      <w:r>
        <w:rPr>
          <w:rFonts w:ascii="Times New Roman;sans-serif" w:hAnsi="Times New Roman;sans-serif"/>
          <w:b/>
          <w:color w:val="010000"/>
          <w:sz w:val="22"/>
        </w:rPr>
        <w:t>4.    </w:t>
      </w:r>
      <w:r>
        <w:rPr>
          <w:rFonts w:ascii="Times New Roman;sans-serif" w:hAnsi="Times New Roman;sans-serif"/>
          <w:b/>
          <w:color w:val="000000"/>
          <w:sz w:val="22"/>
          <w:u w:val="single"/>
        </w:rPr>
        <w:t>ADMINISTRATION</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4.1.    </w:t>
      </w:r>
      <w:r>
        <w:rPr>
          <w:rFonts w:ascii="Times New Roman;sans-serif" w:hAnsi="Times New Roman;sans-serif"/>
          <w:b w:val="false"/>
          <w:color w:val="000000"/>
          <w:sz w:val="22"/>
          <w:u w:val="single"/>
        </w:rPr>
        <w:t>Committee Composition; Authority</w:t>
      </w:r>
      <w:r>
        <w:rPr>
          <w:rFonts w:ascii="Times New Roman;sans-serif" w:hAnsi="Times New Roman;sans-serif"/>
          <w:b w:val="false"/>
          <w:color w:val="000000"/>
          <w:sz w:val="22"/>
        </w:rPr>
        <w:t>.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construe and interpret this Plan, any Award Agreement and any other agreement or document executed pursuant to this Plan;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prescribe, amend and rescind rules and regulations relating to this Plan or any Award;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select persons to receive Awards;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determine the number of Shares or other consideration subject to Awards;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determine whether Awards will be granted singly, in combination with, in tandem with, in replacement of, or as alternatives to, other Awards under this Plan or any other incentive or compensation plan of the Company or any Parent or Subsidiary of the Company;</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grant waivers of Plan or Award conditions;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determine the vesting, exercisability and payment of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 xml:space="preserve">correct any defect, supply any omission or reconcile any inconsistency in this Plan, any Award or any Award Agreement;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 xml:space="preserve">determine whether an Award has been earned;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 xml:space="preserve">determine the terms and conditions of any, and to institute any Exchange Program;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reduce or waive any criteria with respect to Performance Factors;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 xml:space="preserve">adjust Performance Factors, including, but not limited to, to take into account changes in law and accounting or tax rules as the Committee deems necessary or appropriate to reflect the impact of extraordinary or unusual items, events or circumstances to avoid windfalls or inequitable results;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(o)    </w:t>
      </w:r>
      <w:r>
        <w:rPr>
          <w:rFonts w:ascii="Times New Roman;sans-serif" w:hAnsi="Times New Roman;sans-serif"/>
          <w:b w:val="false"/>
          <w:color w:val="000000"/>
          <w:sz w:val="22"/>
        </w:rPr>
        <w:t>adopt rules and/or procedures (including the adoption of any subplan under this Plan) relating to the operation and administration of the Plan to accommodate requirements of local law and procedures outside of the United States;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(p)    </w:t>
      </w:r>
      <w:r>
        <w:rPr>
          <w:rFonts w:ascii="Times New Roman;sans-serif" w:hAnsi="Times New Roman;sans-serif"/>
          <w:b w:val="false"/>
          <w:color w:val="000000"/>
          <w:sz w:val="22"/>
        </w:rPr>
        <w:t>make all other determinations necessary or advisable for the administration of this Plan;</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(q)    </w:t>
      </w:r>
      <w:r>
        <w:rPr>
          <w:rFonts w:ascii="Times New Roman;sans-serif" w:hAnsi="Times New Roman;sans-serif"/>
          <w:b w:val="false"/>
          <w:color w:val="000000"/>
          <w:sz w:val="22"/>
        </w:rPr>
        <w:t>delegate any of the foregoing to a subcommittee or to one or more executive officers pursuant to a specific delegation as permitted by applicable law, including Section 157(c) of the Delaware General Corporation Law; and</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(r)    </w:t>
      </w:r>
      <w:r>
        <w:rPr>
          <w:rFonts w:ascii="Times New Roman;sans-serif" w:hAnsi="Times New Roman;sans-serif"/>
          <w:b w:val="false"/>
          <w:color w:val="000000"/>
          <w:sz w:val="22"/>
        </w:rPr>
        <w:t>to exercise negative discretion on Performance Awards, reducing or eliminating the amount to be paid to Participants.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4.2.    </w:t>
      </w:r>
      <w:r>
        <w:rPr>
          <w:rFonts w:ascii="Times New Roman;sans-serif" w:hAnsi="Times New Roman;sans-serif"/>
          <w:b w:val="false"/>
          <w:color w:val="000000"/>
          <w:sz w:val="22"/>
          <w:u w:val="single"/>
        </w:rPr>
        <w:t>Committee Interpretation and Discretion</w:t>
      </w:r>
      <w:r>
        <w:rPr>
          <w:rFonts w:ascii="Times New Roman;sans-serif" w:hAnsi="Times New Roman;sans-serif"/>
          <w:b w:val="false"/>
          <w:color w:val="000000"/>
          <w:sz w:val="22"/>
        </w:rPr>
        <w:t>. Any determination made by the 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a subcommittee or to one or more executive officers the authority to review and resolve disputes with respect to Awards held by Participants who are not Insiders, and such resolution shall be final and binding on the Company and the Participant.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4.3.    </w:t>
      </w:r>
      <w:r>
        <w:rPr>
          <w:rFonts w:ascii="Times New Roman;sans-serif" w:hAnsi="Times New Roman;sans-serif"/>
          <w:b w:val="false"/>
          <w:color w:val="000000"/>
          <w:sz w:val="22"/>
          <w:u w:val="single"/>
        </w:rPr>
        <w:t>Section 16 of the Exchange Act</w:t>
      </w:r>
      <w:r>
        <w:rPr>
          <w:rFonts w:ascii="Times New Roman;sans-serif" w:hAnsi="Times New Roman;sans-serif"/>
          <w:b w:val="false"/>
          <w:color w:val="000000"/>
          <w:sz w:val="22"/>
        </w:rPr>
        <w:t xml:space="preserve">. Awards granted to Participants who are subject to Section 16 of the Exchange Act must be approved by two or more “non-employee directors” (as defined in the regulations promulgated under Section 16 of the Exchange Act).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4.4.    </w:t>
      </w:r>
      <w:r>
        <w:rPr>
          <w:rFonts w:ascii="Times New Roman;sans-serif" w:hAnsi="Times New Roman;sans-serif"/>
          <w:b w:val="false"/>
          <w:color w:val="000000"/>
          <w:sz w:val="22"/>
          <w:u w:val="single"/>
        </w:rPr>
        <w:t>Documentation</w:t>
      </w:r>
      <w:r>
        <w:rPr>
          <w:rFonts w:ascii="Times New Roman;sans-serif" w:hAnsi="Times New Roman;sans-serif"/>
          <w:b w:val="false"/>
          <w:color w:val="000000"/>
          <w:sz w:val="22"/>
        </w:rPr>
        <w:t xml:space="preserve">. The Award Agreement for a given Award, the Plan and any other documents may be delivered to, and accepted by, a Participant or any other person in any manner (including electronic distribution or posting) that meets applicable legal requirements.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4.5.    </w:t>
      </w:r>
      <w:r>
        <w:rPr>
          <w:rFonts w:ascii="Times New Roman;sans-serif" w:hAnsi="Times New Roman;sans-serif"/>
          <w:b w:val="false"/>
          <w:color w:val="000000"/>
          <w:sz w:val="22"/>
          <w:u w:val="single"/>
        </w:rPr>
        <w:t>Foreign Award Recipients</w:t>
      </w:r>
      <w:r>
        <w:rPr>
          <w:rFonts w:ascii="Times New Roman;sans-serif" w:hAnsi="Times New Roman;sans-serif"/>
          <w:b w:val="false"/>
          <w:color w:val="000000"/>
          <w:sz w:val="22"/>
        </w:rPr>
        <w:t xml:space="preserve">. Notwithstanding any provision of the Plan to the contrary, in order to comply with the laws and practices in other countries in which the Company and its Subsidiaries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pPr>
      <w:r>
        <w:rPr>
          <w:rFonts w:ascii="Times New Roman;sans-serif" w:hAnsi="Times New Roman;sans-serif"/>
          <w:b w:val="false"/>
          <w:color w:val="000000"/>
          <w:sz w:val="22"/>
        </w:rPr>
        <w:t xml:space="preserve">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w:t>
      </w:r>
      <w:r>
        <w:rPr>
          <w:rFonts w:ascii="Times New Roman;sans-serif" w:hAnsi="Times New Roman;sans-serif"/>
          <w:b w:val="false"/>
          <w:color w:val="000000"/>
          <w:sz w:val="22"/>
          <w:u w:val="single"/>
        </w:rPr>
        <w:t>Section 2.1</w:t>
      </w:r>
      <w:r>
        <w:rPr>
          <w:color w:val="000000"/>
        </w:rPr>
        <w:t xml:space="preserve"> </w:t>
      </w:r>
      <w:r>
        <w:rPr>
          <w:rFonts w:ascii="Times New Roman;sans-serif" w:hAnsi="Times New Roman;sans-serif"/>
          <w:b w:val="false"/>
          <w:color w:val="000000"/>
          <w:sz w:val="22"/>
        </w:rPr>
        <w:t>hereof; and (e) take any action, before or after</w:t>
      </w:r>
      <w:r>
        <w:rPr>
          <w:color w:val="000000"/>
        </w:rPr>
        <w:t xml:space="preserve"> </w:t>
      </w:r>
      <w:r>
        <w:rPr>
          <w:rFonts w:ascii="Times New Roman;sans-serif" w:hAnsi="Times New Roman;sans-serif"/>
          <w:b w:val="false"/>
          <w:color w:val="000000"/>
          <w:sz w:val="22"/>
        </w:rPr>
        <w:t>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tLeast" w:line="240" w:before="240" w:after="283"/>
        <w:jc w:val="both"/>
        <w:rPr/>
      </w:pPr>
      <w:r>
        <w:rPr>
          <w:rFonts w:ascii="Times New Roman;sans-serif" w:hAnsi="Times New Roman;sans-serif"/>
          <w:b/>
          <w:color w:val="010000"/>
          <w:sz w:val="22"/>
        </w:rPr>
        <w:t>5.    </w:t>
      </w:r>
      <w:r>
        <w:rPr>
          <w:rFonts w:ascii="Times New Roman;sans-serif" w:hAnsi="Times New Roman;sans-serif"/>
          <w:b/>
          <w:color w:val="000000"/>
          <w:sz w:val="22"/>
          <w:u w:val="single"/>
        </w:rPr>
        <w:t>OPTIONS</w:t>
      </w:r>
      <w:r>
        <w:rPr>
          <w:rFonts w:ascii="Times New Roman;sans-serif" w:hAnsi="Times New Roman;sans-serif"/>
          <w:b w:val="false"/>
          <w:color w:val="000000"/>
          <w:sz w:val="22"/>
        </w:rPr>
        <w:t>. 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w:t>
      </w:r>
      <w:r>
        <w:rPr>
          <w:rFonts w:ascii="Times New Roman;sans-serif" w:hAnsi="Times New Roman;sans-serif"/>
          <w:b/>
          <w:i/>
          <w:color w:val="000000"/>
          <w:sz w:val="22"/>
        </w:rPr>
        <w:t>ISOs</w:t>
      </w:r>
      <w:r>
        <w:rPr>
          <w:color w:val="000000"/>
        </w:rPr>
        <w:t>”</w:t>
      </w:r>
      <w:r>
        <w:rPr>
          <w:rFonts w:ascii="Times New Roman;sans-serif" w:hAnsi="Times New Roman;sans-serif"/>
          <w:b w:val="false"/>
          <w:color w:val="000000"/>
          <w:sz w:val="22"/>
        </w:rPr>
        <w:t>) or Nonqualified Stock Options (“</w:t>
      </w:r>
      <w:r>
        <w:rPr>
          <w:rFonts w:ascii="Times New Roman;sans-serif" w:hAnsi="Times New Roman;sans-serif"/>
          <w:b/>
          <w:i/>
          <w:color w:val="000000"/>
          <w:sz w:val="22"/>
        </w:rPr>
        <w:t>NSOs</w:t>
      </w:r>
      <w:r>
        <w:rPr>
          <w:color w:val="000000"/>
        </w:rPr>
        <w:t>”</w:t>
      </w:r>
      <w:r>
        <w:rPr>
          <w:rFonts w:ascii="Times New Roman;sans-serif" w:hAnsi="Times New Roman;sans-serif"/>
          <w:b w:val="false"/>
          <w:color w:val="000000"/>
          <w:sz w:val="22"/>
        </w:rPr>
        <w:t xml:space="preserve">), the number of Shares subject to the Option, the Exercise Price of the Option, the period during which the Option may vest and be exercised, and all other terms and conditions of the Option, subject to the following terms of this section.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5.1.    </w:t>
      </w:r>
      <w:r>
        <w:rPr>
          <w:rFonts w:ascii="Times New Roman;sans-serif" w:hAnsi="Times New Roman;sans-serif"/>
          <w:b w:val="false"/>
          <w:color w:val="000000"/>
          <w:sz w:val="22"/>
          <w:u w:val="single"/>
        </w:rPr>
        <w:t>Option Grant</w:t>
      </w:r>
      <w:r>
        <w:rPr>
          <w:rFonts w:ascii="Times New Roman;sans-serif" w:hAnsi="Times New Roman;sans-serif"/>
          <w:b w:val="false"/>
          <w:color w:val="000000"/>
          <w:sz w:val="22"/>
        </w:rPr>
        <w:t>. Each Option granted under this Plan will identify the Option as an ISO or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5.2.    </w:t>
      </w:r>
      <w:r>
        <w:rPr>
          <w:rFonts w:ascii="Times New Roman;sans-serif" w:hAnsi="Times New Roman;sans-serif"/>
          <w:b w:val="false"/>
          <w:color w:val="000000"/>
          <w:sz w:val="22"/>
          <w:u w:val="single"/>
        </w:rPr>
        <w:t>Date of Grant</w:t>
      </w:r>
      <w:r>
        <w:rPr>
          <w:rFonts w:ascii="Times New Roman;sans-serif" w:hAnsi="Times New Roman;sans-serif"/>
          <w:b w:val="false"/>
          <w:color w:val="000000"/>
          <w:sz w:val="22"/>
        </w:rPr>
        <w:t>. The date of grant of an Option will be the date on which the Committee makes the determination to grant such Option, or a specified future date. The Award Agreement and a copy of this Plan will be delivered to the Participant within a reasonable time after the granting of the Option.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5.3.    </w:t>
      </w:r>
      <w:r>
        <w:rPr>
          <w:rFonts w:ascii="Times New Roman;sans-serif" w:hAnsi="Times New Roman;sans-serif"/>
          <w:b w:val="false"/>
          <w:color w:val="000000"/>
          <w:sz w:val="22"/>
          <w:u w:val="single"/>
        </w:rPr>
        <w:t>Exercise Period</w:t>
      </w:r>
      <w:r>
        <w:rPr>
          <w:rFonts w:ascii="Times New Roman;sans-serif" w:hAnsi="Times New Roman;sans-serif"/>
          <w:b w:val="false"/>
          <w:color w:val="000000"/>
          <w:sz w:val="22"/>
        </w:rPr>
        <w:t xml:space="preserve">. Options may be vested and exercisable within the times or upon the conditions as set forth in the Award Agreement governing such Option;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Option will be exercisable after the expiration of ten (10) years from the date the Option is granted;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that no ISO granted to a person who, at the time the ISO is granted, directly or by attribution owns more than ten percent (10%) of the total combined voting power of all classes of stock of the Company or of any Parent or Subsidiary of the Company (“</w:t>
      </w:r>
      <w:r>
        <w:rPr>
          <w:rFonts w:ascii="Times New Roman;sans-serif" w:hAnsi="Times New Roman;sans-serif"/>
          <w:b/>
          <w:i/>
          <w:color w:val="000000"/>
          <w:sz w:val="22"/>
        </w:rPr>
        <w:t>Ten Percent Stockholder</w:t>
      </w:r>
      <w:r>
        <w:rPr>
          <w:color w:val="000000"/>
        </w:rPr>
        <w:t>”</w:t>
      </w:r>
      <w:r>
        <w:rPr>
          <w:rFonts w:ascii="Times New Roman;sans-serif" w:hAnsi="Times New Roman;sans-serif"/>
          <w:b w:val="false"/>
          <w:color w:val="000000"/>
          <w:sz w:val="22"/>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5.4.    </w:t>
      </w:r>
      <w:r>
        <w:rPr>
          <w:rFonts w:ascii="Times New Roman;sans-serif" w:hAnsi="Times New Roman;sans-serif"/>
          <w:b w:val="false"/>
          <w:color w:val="000000"/>
          <w:sz w:val="22"/>
          <w:u w:val="single"/>
        </w:rPr>
        <w:t>Exercise Price</w:t>
      </w:r>
      <w:r>
        <w:rPr>
          <w:rFonts w:ascii="Times New Roman;sans-serif" w:hAnsi="Times New Roman;sans-serif"/>
          <w:b w:val="false"/>
          <w:color w:val="000000"/>
          <w:sz w:val="22"/>
        </w:rPr>
        <w:t xml:space="preserve">. 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and the Award Agreement and in accordance with any procedures established by the Company.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5.5.    </w:t>
      </w:r>
      <w:r>
        <w:rPr>
          <w:rFonts w:ascii="Times New Roman;sans-serif" w:hAnsi="Times New Roman;sans-serif"/>
          <w:b w:val="false"/>
          <w:color w:val="000000"/>
          <w:sz w:val="22"/>
          <w:u w:val="single"/>
        </w:rPr>
        <w:t>Method of Exercise</w:t>
      </w:r>
      <w:r>
        <w:rPr>
          <w:rFonts w:ascii="Times New Roman;sans-serif" w:hAnsi="Times New Roman;sans-serif"/>
          <w:b w:val="false"/>
          <w:color w:val="000000"/>
          <w:sz w:val="22"/>
        </w:rPr>
        <w:t xml:space="preserve">. Any Option granted hereunder will be vested and exercisable according to the terms of the Plan and at such times and under such conditions as determined by the Committee and set forth in the Award Agreement. An Option may not be exercised for a fraction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pPr>
      <w:r>
        <w:rPr>
          <w:rFonts w:ascii="Times New Roman;sans-serif" w:hAnsi="Times New Roman;sans-serif"/>
          <w:b w:val="false"/>
          <w:color w:val="000000"/>
          <w:sz w:val="22"/>
        </w:rPr>
        <w:t xml:space="preserve">Share. An Option will be deemed exercised when the Company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sans-serif" w:hAnsi="Times New Roman;sans-serif"/>
          <w:b w:val="false"/>
          <w:color w:val="000000"/>
          <w:sz w:val="22"/>
          <w:u w:val="single"/>
        </w:rPr>
        <w:t>Section 2.5</w:t>
      </w:r>
      <w:r>
        <w:rPr>
          <w:color w:val="000000"/>
        </w:rPr>
        <w:t xml:space="preserve"> </w:t>
      </w:r>
      <w:r>
        <w:rPr>
          <w:rFonts w:ascii="Times New Roman;sans-serif" w:hAnsi="Times New Roman;sans-serif"/>
          <w:b w:val="false"/>
          <w:color w:val="000000"/>
          <w:sz w:val="22"/>
        </w:rPr>
        <w:t>of the Plan. Exercising an Option in any manner will decrease the number of Shares thereafter available, both for purposes of the Plan and for sale under the Option, by the number of Shares as to which the Option is exercised.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5.6.    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If the Participant’s Service terminates for any reason except for Cause or the Participant’s death or Disability, then the Participant may exercise such Participant’s Options only to the extent that such Options would have been exercisable by the Participant on the</w:t>
      </w:r>
      <w:r>
        <w:rPr>
          <w:color w:val="FF0000"/>
        </w:rPr>
        <w:t xml:space="preserve"> </w:t>
      </w:r>
      <w:r>
        <w:rPr>
          <w:rFonts w:ascii="Times New Roman;sans-serif" w:hAnsi="Times New Roman;sans-serif"/>
          <w:b w:val="false"/>
          <w:color w:val="000000"/>
          <w:sz w:val="22"/>
        </w:rPr>
        <w:t>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Death</w:t>
      </w:r>
      <w:r>
        <w:rPr>
          <w:rFonts w:ascii="Times New Roman;sans-serif" w:hAnsi="Times New Roman;sans-serif"/>
          <w:b w:val="false"/>
          <w:color w:val="000000"/>
          <w:sz w:val="22"/>
        </w:rPr>
        <w:t xml:space="preserve">.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xml:space="preserve">.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Service terminates when the termination of Service is for a Disability that is not a “permanent and total disability” as defined in Section 22(e)(3) of the Code, or (b) twelve (12) months after the date Participant’s Service terminates when the termination of Service is for a Disability that is a “permanent and total disability” as defined in Section 22(e)(3) of the Code, deemed to be an exercise of an NSO), but in any event no later than the expiration date of the Options.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Cause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If the Participant is terminated for Cause, then Participant’s Options shall expire on such Participant’s date of termination of Service, or at such later time and on such conditions as are determined by the Committee, but in no event later than the expiration date of the Options. Unless otherwise provided in the Award Agreement, an employment agreement or other applicable agreement, Cause shall have the meaning set forth in the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5.7.    </w:t>
      </w:r>
      <w:r>
        <w:rPr>
          <w:rFonts w:ascii="Times New Roman;sans-serif" w:hAnsi="Times New Roman;sans-serif"/>
          <w:b w:val="false"/>
          <w:color w:val="000000"/>
          <w:sz w:val="22"/>
          <w:u w:val="single"/>
        </w:rPr>
        <w:t>Limitations on Exercise</w:t>
      </w:r>
      <w:r>
        <w:rPr>
          <w:rFonts w:ascii="Times New Roman;sans-serif" w:hAnsi="Times New Roman;sans-serif"/>
          <w:b w:val="false"/>
          <w:color w:val="000000"/>
          <w:sz w:val="22"/>
        </w:rPr>
        <w:t>. 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720"/>
        <w:jc w:val="both"/>
        <w:rPr/>
      </w:pPr>
      <w:r>
        <w:rPr>
          <w:rFonts w:ascii="Times New Roman;sans-serif" w:hAnsi="Times New Roman;sans-serif"/>
          <w:b/>
          <w:color w:val="010000"/>
          <w:sz w:val="22"/>
        </w:rPr>
        <w:t>5.8.    </w:t>
      </w:r>
      <w:r>
        <w:rPr>
          <w:rFonts w:ascii="Times New Roman;sans-serif" w:hAnsi="Times New Roman;sans-serif"/>
          <w:b w:val="false"/>
          <w:color w:val="000000"/>
          <w:sz w:val="22"/>
          <w:u w:val="single"/>
        </w:rPr>
        <w:t>Limitations on ISOs</w:t>
      </w:r>
      <w:r>
        <w:rPr>
          <w:rFonts w:ascii="Times New Roman;sans-serif" w:hAnsi="Times New Roman;sans-serif"/>
          <w:b w:val="false"/>
          <w:color w:val="000000"/>
          <w:sz w:val="22"/>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w:t>
      </w:r>
      <w:r>
        <w:rPr>
          <w:rFonts w:ascii="Times New Roman;sans-serif" w:hAnsi="Times New Roman;sans-serif"/>
          <w:b w:val="false"/>
          <w:color w:val="000000"/>
          <w:sz w:val="22"/>
          <w:u w:val="single"/>
        </w:rPr>
        <w:t>Section 5.8</w:t>
      </w:r>
      <w:r>
        <w:rPr>
          <w:rFonts w:ascii="Times New Roman;sans-serif" w:hAnsi="Times New Roman;sans-serif"/>
          <w:b w:val="false"/>
          <w:color w:val="000000"/>
          <w:sz w:val="22"/>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5.9.    </w:t>
      </w:r>
      <w:r>
        <w:rPr>
          <w:rFonts w:ascii="Times New Roman;sans-serif" w:hAnsi="Times New Roman;sans-serif"/>
          <w:b w:val="false"/>
          <w:color w:val="000000"/>
          <w:sz w:val="22"/>
          <w:u w:val="single"/>
        </w:rPr>
        <w:t>Modification, Extension or Renewal</w:t>
      </w:r>
      <w:r>
        <w:rPr>
          <w:rFonts w:ascii="Times New Roman;sans-serif" w:hAnsi="Times New Roman;sans-serif"/>
          <w:b w:val="false"/>
          <w:color w:val="000000"/>
          <w:sz w:val="22"/>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w:t>
      </w:r>
      <w:r>
        <w:rPr>
          <w:rFonts w:ascii="Times New Roman;sans-serif" w:hAnsi="Times New Roman;sans-serif"/>
          <w:b w:val="false"/>
          <w:color w:val="000000"/>
          <w:sz w:val="22"/>
          <w:u w:val="single"/>
        </w:rPr>
        <w:t>Section 18</w:t>
      </w:r>
      <w:r>
        <w:rPr>
          <w:color w:val="000000"/>
        </w:rPr>
        <w:t xml:space="preserve"> </w:t>
      </w:r>
      <w:r>
        <w:rPr>
          <w:rFonts w:ascii="Times New Roman;sans-serif" w:hAnsi="Times New Roman;sans-serif"/>
          <w:b w:val="false"/>
          <w:color w:val="000000"/>
          <w:sz w:val="22"/>
        </w:rPr>
        <w:t xml:space="preserve">of this Plan, by written notice to affected Participants, the Committee may reduce the Exercise Price of outstanding Options without the consent of such Participants;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Exercise Price may not be reduced below the Fair Market Value on the date the action is taken to reduce the Exercise Price.</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5.10.    </w:t>
      </w:r>
      <w:r>
        <w:rPr>
          <w:rFonts w:ascii="Times New Roman;sans-serif" w:hAnsi="Times New Roman;sans-serif"/>
          <w:b w:val="false"/>
          <w:color w:val="000000"/>
          <w:sz w:val="22"/>
          <w:u w:val="single"/>
        </w:rPr>
        <w:t>No Disqualification</w:t>
      </w:r>
      <w:r>
        <w:rPr>
          <w:rFonts w:ascii="Times New Roman;sans-serif" w:hAnsi="Times New Roman;sans-serif"/>
          <w:b w:val="false"/>
          <w:color w:val="000000"/>
          <w:sz w:val="22"/>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bidi w:val="0"/>
        <w:spacing w:lineRule="atLeast" w:line="240" w:before="240" w:after="283"/>
        <w:jc w:val="both"/>
        <w:rPr/>
      </w:pPr>
      <w:r>
        <w:rPr>
          <w:rFonts w:ascii="Times New Roman;sans-serif" w:hAnsi="Times New Roman;sans-serif"/>
          <w:b/>
          <w:color w:val="010000"/>
          <w:sz w:val="22"/>
        </w:rPr>
        <w:t>6.    </w:t>
      </w:r>
      <w:r>
        <w:rPr>
          <w:rFonts w:ascii="Times New Roman;sans-serif" w:hAnsi="Times New Roman;sans-serif"/>
          <w:b/>
          <w:color w:val="000000"/>
          <w:sz w:val="22"/>
          <w:u w:val="single"/>
        </w:rPr>
        <w:t>RESTRICTED STOCK AWARDS</w:t>
      </w:r>
      <w:r>
        <w:rPr>
          <w:rFonts w:ascii="Times New Roman;sans-serif" w:hAnsi="Times New Roman;sans-serif"/>
          <w:b w:val="false"/>
          <w:color w:val="000000"/>
          <w:sz w:val="22"/>
        </w:rPr>
        <w:t>. A Restricted Stock Award is an offer by the Company to sell to an eligible Employee, Consultant, or Director of Shares that are subject to restrictions (“</w:t>
      </w:r>
      <w:r>
        <w:rPr>
          <w:rFonts w:ascii="Times New Roman;sans-serif" w:hAnsi="Times New Roman;sans-serif"/>
          <w:b/>
          <w:i/>
          <w:color w:val="000000"/>
          <w:sz w:val="22"/>
        </w:rPr>
        <w:t>Restricted Stock</w:t>
      </w:r>
      <w:r>
        <w:rPr>
          <w:color w:val="000000"/>
        </w:rPr>
        <w:t>”</w:t>
      </w:r>
      <w:r>
        <w:rPr>
          <w:rFonts w:ascii="Times New Roman;sans-serif" w:hAnsi="Times New Roman;sans-serif"/>
          <w:b w:val="false"/>
          <w:color w:val="000000"/>
          <w:sz w:val="22"/>
        </w:rPr>
        <w:t xml:space="preserve">). The Committee will determine to whom an offer will be made, the number of Shares the Participant may purchase, the Purchase Price, the restrictions under which the Shares will be subject and all other terms and conditions of the Restricted Stock Award, subject to the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6.1.    </w:t>
      </w:r>
      <w:r>
        <w:rPr>
          <w:rFonts w:ascii="Times New Roman;sans-serif" w:hAnsi="Times New Roman;sans-serif"/>
          <w:b w:val="false"/>
          <w:color w:val="000000"/>
          <w:sz w:val="22"/>
          <w:u w:val="single"/>
        </w:rPr>
        <w:t>Restricted Stock Purchase Agreement</w:t>
      </w:r>
      <w:r>
        <w:rPr>
          <w:rFonts w:ascii="Times New Roman;sans-serif" w:hAnsi="Times New Roman;sans-serif"/>
          <w:b w:val="false"/>
          <w:color w:val="000000"/>
          <w:sz w:val="22"/>
        </w:rPr>
        <w:t xml:space="preserve">.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6.2.    </w:t>
      </w:r>
      <w:r>
        <w:rPr>
          <w:rFonts w:ascii="Times New Roman;sans-serif" w:hAnsi="Times New Roman;sans-serif"/>
          <w:b w:val="false"/>
          <w:color w:val="000000"/>
          <w:sz w:val="22"/>
          <w:u w:val="single"/>
        </w:rPr>
        <w:t>Purchase Price</w:t>
      </w:r>
      <w:r>
        <w:rPr>
          <w:rFonts w:ascii="Times New Roman;sans-serif" w:hAnsi="Times New Roman;sans-serif"/>
          <w:b w:val="false"/>
          <w:color w:val="000000"/>
          <w:sz w:val="22"/>
        </w:rPr>
        <w:t xml:space="preserve">. The Purchase Price for a Restricted Stock Award will be determined by the Committee and may be less than Fair Market Value on the date the Restricted Stock Award is granted. Payment of the Purchase Price must be made in accordance with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of this Plan, and the Award Agreement and in accordance with any procedures established by the Company.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6.3.    </w:t>
      </w:r>
      <w:r>
        <w:rPr>
          <w:rFonts w:ascii="Times New Roman;sans-serif" w:hAnsi="Times New Roman;sans-serif"/>
          <w:b w:val="false"/>
          <w:color w:val="000000"/>
          <w:sz w:val="22"/>
          <w:u w:val="single"/>
        </w:rPr>
        <w:t>Terms of Restricted Stock Awards</w:t>
      </w:r>
      <w:r>
        <w:rPr>
          <w:rFonts w:ascii="Times New Roman;sans-serif" w:hAnsi="Times New Roman;sans-serif"/>
          <w:b w:val="false"/>
          <w:color w:val="000000"/>
          <w:sz w:val="22"/>
        </w:rPr>
        <w:t xml:space="preserve">. Restricted Stock Awards will be subject to such restrictions as the Committee may impose or 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may participate simultaneously with respect to Restricted Stock Awards that are subject to different Performance Periods and having different performance goals and other criteria.</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6.4.    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xml:space="preserve">. Except as may be set forth in the Participant’s Award Agreement, vesting ceases on such date Participant’s Service terminates (unless determined otherwise by the Committee). </w:t>
      </w:r>
    </w:p>
    <w:p>
      <w:pPr>
        <w:pStyle w:val="TextBody"/>
        <w:bidi w:val="0"/>
        <w:spacing w:lineRule="atLeast" w:line="240" w:before="240" w:after="283"/>
        <w:jc w:val="both"/>
        <w:rPr/>
      </w:pPr>
      <w:r>
        <w:rPr>
          <w:rFonts w:ascii="Times New Roman;sans-serif" w:hAnsi="Times New Roman;sans-serif"/>
          <w:b/>
          <w:color w:val="010000"/>
          <w:sz w:val="22"/>
        </w:rPr>
        <w:t>7.    </w:t>
      </w:r>
      <w:r>
        <w:rPr>
          <w:rFonts w:ascii="Times New Roman;sans-serif" w:hAnsi="Times New Roman;sans-serif"/>
          <w:b/>
          <w:color w:val="000000"/>
          <w:sz w:val="22"/>
          <w:u w:val="single"/>
        </w:rPr>
        <w:t>STOCK BONUS AWARDS</w:t>
      </w:r>
      <w:r>
        <w:rPr>
          <w:rFonts w:ascii="Times New Roman;sans-serif" w:hAnsi="Times New Roman;sans-serif"/>
          <w:b w:val="false"/>
          <w:color w:val="000000"/>
          <w:sz w:val="22"/>
        </w:rPr>
        <w:t xml:space="preserve">. A Stock Bonus Award is an award to an eligible Employee, Consultant, or Director of Shares for Services to be rendered or for past Services already rendered to the Company or any Parent or Subsidiary. All Stock Bonus Awards shall be made pursuant to an Award Agreement. No payment from the Participant will be required for Shares awarded pursuant to a Stock Bonus Award.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7.1.    </w:t>
      </w:r>
      <w:r>
        <w:rPr>
          <w:rFonts w:ascii="Times New Roman;sans-serif" w:hAnsi="Times New Roman;sans-serif"/>
          <w:b w:val="false"/>
          <w:color w:val="000000"/>
          <w:sz w:val="22"/>
          <w:u w:val="single"/>
        </w:rPr>
        <w:t>Terms of Stock Bonus Awards</w:t>
      </w:r>
      <w:r>
        <w:rPr>
          <w:rFonts w:ascii="Times New Roman;sans-serif" w:hAnsi="Times New Roman;sans-serif"/>
          <w:b w:val="false"/>
          <w:color w:val="000000"/>
          <w:sz w:val="22"/>
        </w:rPr>
        <w:t xml:space="preserve">. The Committee will determine the number of Shares to be awarded to the Participant 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7.2.    </w:t>
      </w:r>
      <w:r>
        <w:rPr>
          <w:rFonts w:ascii="Times New Roman;sans-serif" w:hAnsi="Times New Roman;sans-serif"/>
          <w:b w:val="false"/>
          <w:color w:val="000000"/>
          <w:sz w:val="22"/>
          <w:u w:val="single"/>
        </w:rPr>
        <w:t>Form of Payment to Participant</w:t>
      </w:r>
      <w:r>
        <w:rPr>
          <w:rFonts w:ascii="Times New Roman;sans-serif" w:hAnsi="Times New Roman;sans-serif"/>
          <w:b w:val="false"/>
          <w:color w:val="000000"/>
          <w:sz w:val="22"/>
        </w:rPr>
        <w:t xml:space="preserve">. Payment may be made in the form of cash, whole Shares, or a combination thereof, based on the Fair Market Value of the Shares earned under a Stock Bonus Award on the date of payment, as determined in the sole discretion of the Committee.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7.3.    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xml:space="preserve">. Except as may be set forth in the Participant’s Award Agreement, vesting ceases on such date Participant’s Service terminates (unless determined otherwise by the Committee). </w:t>
      </w:r>
    </w:p>
    <w:p>
      <w:pPr>
        <w:pStyle w:val="TextBody"/>
        <w:bidi w:val="0"/>
        <w:spacing w:lineRule="atLeast" w:line="240" w:before="240" w:after="283"/>
        <w:jc w:val="both"/>
        <w:rPr/>
      </w:pPr>
      <w:r>
        <w:rPr>
          <w:rFonts w:ascii="Times New Roman;sans-serif" w:hAnsi="Times New Roman;sans-serif"/>
          <w:b/>
          <w:color w:val="010000"/>
          <w:sz w:val="22"/>
        </w:rPr>
        <w:t>8.    </w:t>
      </w:r>
      <w:r>
        <w:rPr>
          <w:rFonts w:ascii="Times New Roman;sans-serif" w:hAnsi="Times New Roman;sans-serif"/>
          <w:b/>
          <w:color w:val="000000"/>
          <w:sz w:val="22"/>
          <w:u w:val="single"/>
        </w:rPr>
        <w:t>STOCK APPRECIATION RIGHTS</w:t>
      </w:r>
      <w:r>
        <w:rPr>
          <w:rFonts w:ascii="Times New Roman;sans-serif" w:hAnsi="Times New Roman;sans-serif"/>
          <w:b w:val="false"/>
          <w:color w:val="000000"/>
          <w:sz w:val="22"/>
        </w:rPr>
        <w:t>. A Stock Appreciation Right (“</w:t>
      </w:r>
      <w:r>
        <w:rPr>
          <w:rFonts w:ascii="Times New Roman;sans-serif" w:hAnsi="Times New Roman;sans-serif"/>
          <w:b/>
          <w:i/>
          <w:color w:val="000000"/>
          <w:sz w:val="22"/>
        </w:rPr>
        <w:t>SAR</w:t>
      </w:r>
      <w:r>
        <w:rPr>
          <w:color w:val="000000"/>
        </w:rPr>
        <w:t>”</w:t>
      </w:r>
      <w:r>
        <w:rPr>
          <w:rFonts w:ascii="Times New Roman;sans-serif" w:hAnsi="Times New Roman;sans-serif"/>
          <w:b w:val="false"/>
          <w:color w:val="000000"/>
          <w:sz w:val="22"/>
        </w:rPr>
        <w:t xml:space="preserve">)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8.1.    </w:t>
      </w:r>
      <w:r>
        <w:rPr>
          <w:rFonts w:ascii="Times New Roman;sans-serif" w:hAnsi="Times New Roman;sans-serif"/>
          <w:b w:val="false"/>
          <w:color w:val="000000"/>
          <w:sz w:val="22"/>
          <w:u w:val="single"/>
        </w:rPr>
        <w:t>Terms of SARs</w:t>
      </w:r>
      <w:r>
        <w:rPr>
          <w:rFonts w:ascii="Times New Roman;sans-serif" w:hAnsi="Times New Roman;sans-serif"/>
          <w:b w:val="false"/>
          <w:color w:val="000000"/>
          <w:sz w:val="22"/>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720"/>
        <w:jc w:val="both"/>
        <w:rPr/>
      </w:pPr>
      <w:r>
        <w:rPr>
          <w:rFonts w:ascii="Times New Roman;sans-serif" w:hAnsi="Times New Roman;sans-serif"/>
          <w:b/>
          <w:color w:val="010000"/>
          <w:sz w:val="22"/>
        </w:rPr>
        <w:t>8.2.    </w:t>
      </w:r>
      <w:r>
        <w:rPr>
          <w:rFonts w:ascii="Times New Roman;sans-serif" w:hAnsi="Times New Roman;sans-serif"/>
          <w:b w:val="false"/>
          <w:color w:val="000000"/>
          <w:sz w:val="22"/>
          <w:u w:val="single"/>
        </w:rPr>
        <w:t>Exercise Period and Expiration Date</w:t>
      </w:r>
      <w:r>
        <w:rPr>
          <w:rFonts w:ascii="Times New Roman;sans-serif" w:hAnsi="Times New Roman;sans-serif"/>
          <w:b w:val="false"/>
          <w:color w:val="000000"/>
          <w:sz w:val="22"/>
        </w:rPr>
        <w:t xml:space="preserve">.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w:t>
      </w:r>
      <w:r>
        <w:rPr>
          <w:rFonts w:ascii="Times New Roman;sans-serif" w:hAnsi="Times New Roman;sans-serif"/>
          <w:b w:val="false"/>
          <w:color w:val="000000"/>
          <w:sz w:val="22"/>
          <w:u w:val="single"/>
        </w:rPr>
        <w:t>Section 5.6</w:t>
      </w:r>
      <w:r>
        <w:rPr>
          <w:color w:val="000000"/>
        </w:rPr>
        <w:t xml:space="preserve"> </w:t>
      </w:r>
      <w:r>
        <w:rPr>
          <w:rFonts w:ascii="Times New Roman;sans-serif" w:hAnsi="Times New Roman;sans-serif"/>
          <w:b w:val="false"/>
          <w:color w:val="000000"/>
          <w:sz w:val="22"/>
        </w:rPr>
        <w:t>also will apply to SARs.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8.3.    </w:t>
      </w:r>
      <w:r>
        <w:rPr>
          <w:rFonts w:ascii="Times New Roman;sans-serif" w:hAnsi="Times New Roman;sans-serif"/>
          <w:b w:val="false"/>
          <w:color w:val="000000"/>
          <w:sz w:val="22"/>
          <w:u w:val="single"/>
        </w:rPr>
        <w:t>Form of Settlement</w:t>
      </w:r>
      <w:r>
        <w:rPr>
          <w:rFonts w:ascii="Times New Roman;sans-serif" w:hAnsi="Times New Roman;sans-serif"/>
          <w:b w:val="false"/>
          <w:color w:val="000000"/>
          <w:sz w:val="22"/>
        </w:rPr>
        <w:t>. Upon exercise of a SAR, a Participant will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8.4.    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Except as may be set forth in the Participant’s Award Agreement, vesting ceases on such date Participant’s Service terminates (unless determined otherwise by the Committee).</w:t>
      </w:r>
    </w:p>
    <w:p>
      <w:pPr>
        <w:pStyle w:val="TextBody"/>
        <w:bidi w:val="0"/>
        <w:spacing w:lineRule="atLeast" w:line="240" w:before="240" w:after="283"/>
        <w:jc w:val="both"/>
        <w:rPr/>
      </w:pPr>
      <w:r>
        <w:rPr>
          <w:rFonts w:ascii="Times New Roman;sans-serif" w:hAnsi="Times New Roman;sans-serif"/>
          <w:b/>
          <w:color w:val="010000"/>
          <w:sz w:val="22"/>
        </w:rPr>
        <w:t>9.    </w:t>
      </w:r>
      <w:r>
        <w:rPr>
          <w:rFonts w:ascii="Times New Roman;sans-serif" w:hAnsi="Times New Roman;sans-serif"/>
          <w:b/>
          <w:color w:val="000000"/>
          <w:sz w:val="22"/>
          <w:u w:val="single"/>
        </w:rPr>
        <w:t>RESTRICTED STOCK UNITS</w:t>
      </w:r>
      <w:r>
        <w:rPr>
          <w:rFonts w:ascii="Times New Roman;sans-serif" w:hAnsi="Times New Roman;sans-serif"/>
          <w:b w:val="false"/>
          <w:color w:val="000000"/>
          <w:sz w:val="22"/>
        </w:rPr>
        <w:t>. A Restricted Stock Unit (“</w:t>
      </w:r>
      <w:r>
        <w:rPr>
          <w:rFonts w:ascii="Times New Roman;sans-serif" w:hAnsi="Times New Roman;sans-serif"/>
          <w:b/>
          <w:i/>
          <w:color w:val="000000"/>
          <w:sz w:val="22"/>
        </w:rPr>
        <w:t>RSU</w:t>
      </w:r>
      <w:r>
        <w:rPr>
          <w:color w:val="000000"/>
        </w:rPr>
        <w:t>”</w:t>
      </w:r>
      <w:r>
        <w:rPr>
          <w:rFonts w:ascii="Times New Roman;sans-serif" w:hAnsi="Times New Roman;sans-serif"/>
          <w:b w:val="false"/>
          <w:color w:val="000000"/>
          <w:sz w:val="22"/>
        </w:rPr>
        <w:t>) is an award to an eligible Employee, Consultant, or Director covering a number of Shares that may be settled in cash, or by issuance of those Shares (which may consist of Restricted Stock). All RSUs shall be made pursuant to an Award Agreement.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9.1.    </w:t>
      </w:r>
      <w:r>
        <w:rPr>
          <w:rFonts w:ascii="Times New Roman;sans-serif" w:hAnsi="Times New Roman;sans-serif"/>
          <w:b w:val="false"/>
          <w:color w:val="000000"/>
          <w:sz w:val="22"/>
          <w:u w:val="single"/>
        </w:rPr>
        <w:t>Terms of RSUs</w:t>
      </w:r>
      <w:r>
        <w:rPr>
          <w:rFonts w:ascii="Times New Roman;sans-serif" w:hAnsi="Times New Roman;sans-serif"/>
          <w:b w:val="false"/>
          <w:color w:val="000000"/>
          <w:sz w:val="22"/>
        </w:rPr>
        <w:t xml:space="preserve">.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9.2.    </w:t>
      </w:r>
      <w:r>
        <w:rPr>
          <w:rFonts w:ascii="Times New Roman;sans-serif" w:hAnsi="Times New Roman;sans-serif"/>
          <w:b w:val="false"/>
          <w:color w:val="000000"/>
          <w:sz w:val="22"/>
          <w:u w:val="single"/>
        </w:rPr>
        <w:t>Form and Timing of Settlement</w:t>
      </w:r>
      <w:r>
        <w:rPr>
          <w:rFonts w:ascii="Times New Roman;sans-serif" w:hAnsi="Times New Roman;sans-serif"/>
          <w:b w:val="false"/>
          <w:color w:val="000000"/>
          <w:sz w:val="22"/>
        </w:rPr>
        <w:t>. Payment of earned RSUs shall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9.3.    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Except as may be set forth in the Participant’s Award Agreement, vesting ceases on such date Participant’s Service terminates (unless determined otherwise by the Committee).</w:t>
      </w:r>
    </w:p>
    <w:p>
      <w:pPr>
        <w:pStyle w:val="TextBody"/>
        <w:bidi w:val="0"/>
        <w:spacing w:lineRule="atLeast" w:line="240" w:before="240" w:after="283"/>
        <w:jc w:val="both"/>
        <w:rPr/>
      </w:pPr>
      <w:r>
        <w:rPr>
          <w:rFonts w:ascii="Times New Roman;sans-serif" w:hAnsi="Times New Roman;sans-serif"/>
          <w:b/>
          <w:color w:val="010000"/>
          <w:sz w:val="22"/>
        </w:rPr>
        <w:t>10.    </w:t>
      </w:r>
      <w:r>
        <w:rPr>
          <w:rFonts w:ascii="Times New Roman;sans-serif" w:hAnsi="Times New Roman;sans-serif"/>
          <w:b/>
          <w:color w:val="000000"/>
          <w:sz w:val="22"/>
          <w:u w:val="single"/>
        </w:rPr>
        <w:t>PERFORMANCE AWARDS</w:t>
      </w:r>
      <w:r>
        <w:rPr>
          <w:rFonts w:ascii="Times New Roman;sans-serif" w:hAnsi="Times New Roman;sans-serif"/>
          <w:b w:val="false"/>
          <w:color w:val="000000"/>
          <w:sz w:val="22"/>
        </w:rPr>
        <w:t xml:space="preserve">. A Performance Award is an award to an eligible Employee, Consultant, or Director of a cash bonus or an award of Performance Shares or Performance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denominated in Shares that may be settled in cash, or by issuance of those Shares (which may consist of Restricted Stock). Grants of Performance Awards shall be made pursuant to an Award Agreement.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10.1.    </w:t>
      </w:r>
      <w:r>
        <w:rPr>
          <w:rFonts w:ascii="Times New Roman;sans-serif" w:hAnsi="Times New Roman;sans-serif"/>
          <w:b w:val="false"/>
          <w:color w:val="000000"/>
          <w:sz w:val="22"/>
          <w:u w:val="single"/>
        </w:rPr>
        <w:t>Types of Performance Awards</w:t>
      </w:r>
      <w:r>
        <w:rPr>
          <w:rFonts w:ascii="Times New Roman;sans-serif" w:hAnsi="Times New Roman;sans-serif"/>
          <w:b w:val="false"/>
          <w:color w:val="000000"/>
          <w:sz w:val="22"/>
        </w:rPr>
        <w:t xml:space="preserve">. Performance Awards shall include Performance Shares, Performance Units, and cash-based Awards as set forth in </w:t>
      </w:r>
      <w:r>
        <w:rPr>
          <w:rFonts w:ascii="Times New Roman;sans-serif" w:hAnsi="Times New Roman;sans-serif"/>
          <w:b w:val="false"/>
          <w:color w:val="000000"/>
          <w:sz w:val="22"/>
          <w:u w:val="single"/>
        </w:rPr>
        <w:t>Sections 10.1(a)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10.1(b)</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10.1(c)</w:t>
      </w:r>
      <w:r>
        <w:rPr>
          <w:color w:val="000000"/>
        </w:rPr>
        <w:t xml:space="preserve"> </w:t>
      </w:r>
      <w:r>
        <w:rPr>
          <w:rFonts w:ascii="Times New Roman;sans-serif" w:hAnsi="Times New Roman;sans-serif"/>
          <w:b w:val="false"/>
          <w:color w:val="000000"/>
          <w:sz w:val="22"/>
        </w:rPr>
        <w:t xml:space="preserve">below.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Performance Shares</w:t>
      </w:r>
      <w:r>
        <w:rPr>
          <w:rFonts w:ascii="Times New Roman;sans-serif" w:hAnsi="Times New Roman;sans-serif"/>
          <w:b w:val="false"/>
          <w:color w:val="000000"/>
          <w:sz w:val="22"/>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Performance Units</w:t>
      </w:r>
      <w:r>
        <w:rPr>
          <w:rFonts w:ascii="Times New Roman;sans-serif" w:hAnsi="Times New Roman;sans-serif"/>
          <w:b w:val="false"/>
          <w:color w:val="000000"/>
          <w:sz w:val="22"/>
        </w:rPr>
        <w:t xml:space="preserve">.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Cash-Settled Performance Awards</w:t>
      </w:r>
      <w:r>
        <w:rPr>
          <w:rFonts w:ascii="Times New Roman;sans-serif" w:hAnsi="Times New Roman;sans-serif"/>
          <w:b w:val="false"/>
          <w:color w:val="000000"/>
          <w:sz w:val="22"/>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10.2.    </w:t>
      </w:r>
      <w:r>
        <w:rPr>
          <w:rFonts w:ascii="Times New Roman;sans-serif" w:hAnsi="Times New Roman;sans-serif"/>
          <w:b w:val="false"/>
          <w:color w:val="000000"/>
          <w:sz w:val="22"/>
          <w:u w:val="single"/>
        </w:rPr>
        <w:t>Terms of Performance Shares</w:t>
      </w:r>
      <w:r>
        <w:rPr>
          <w:rFonts w:ascii="Times New Roman;sans-serif" w:hAnsi="Times New Roman;sans-serif"/>
          <w:b w:val="false"/>
          <w:color w:val="000000"/>
          <w:sz w:val="22"/>
        </w:rPr>
        <w:t xml:space="preserve">.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10.3.    </w:t>
      </w:r>
      <w:r>
        <w:rPr>
          <w:rFonts w:ascii="Times New Roman;sans-serif" w:hAnsi="Times New Roman;sans-serif"/>
          <w:b w:val="false"/>
          <w:color w:val="000000"/>
          <w:sz w:val="22"/>
          <w:u w:val="single"/>
        </w:rPr>
        <w:t>Termination of Service</w:t>
      </w:r>
      <w:r>
        <w:rPr>
          <w:rFonts w:ascii="Times New Roman;sans-serif" w:hAnsi="Times New Roman;sans-serif"/>
          <w:b w:val="false"/>
          <w:color w:val="000000"/>
          <w:sz w:val="22"/>
        </w:rPr>
        <w:t>. Except as may be set forth in the Participant’s Award Agreement, vesting ceases on the date Participant’s Service terminates (unless determined otherwise by the Committee).</w:t>
      </w:r>
    </w:p>
    <w:p>
      <w:pPr>
        <w:pStyle w:val="TextBody"/>
        <w:bidi w:val="0"/>
        <w:spacing w:lineRule="atLeast" w:line="240" w:before="240" w:after="283"/>
        <w:jc w:val="both"/>
        <w:rPr/>
      </w:pPr>
      <w:r>
        <w:rPr>
          <w:rFonts w:ascii="Times New Roman;sans-serif" w:hAnsi="Times New Roman;sans-serif"/>
          <w:b/>
          <w:color w:val="010000"/>
          <w:sz w:val="22"/>
        </w:rPr>
        <w:t>11.    </w:t>
      </w:r>
      <w:r>
        <w:rPr>
          <w:rFonts w:ascii="Times New Roman;sans-serif" w:hAnsi="Times New Roman;sans-serif"/>
          <w:b/>
          <w:color w:val="000000"/>
          <w:sz w:val="22"/>
          <w:u w:val="single"/>
        </w:rPr>
        <w:t>PAYMENT FOR SHARE PURCHASES</w:t>
      </w:r>
      <w:r>
        <w:rPr>
          <w:rFonts w:ascii="Times New Roman;sans-serif" w:hAnsi="Times New Roman;sans-serif"/>
          <w:b w:val="false"/>
          <w:color w:val="000000"/>
          <w:sz w:val="22"/>
        </w:rPr>
        <w:t xml:space="preserve">. Payment from a Participant for Shares purchased pursuant to this Plan may be made in cash or by check or, where expressly approved for the Participant by the Committee and where permitted by law (and to the extent not otherwise set forth in the applicable Award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by cancellation of indebtedness of the Company to the Participant;</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by waiver of compensation due or accrued to the Participant for services rendered or to be rendered to the Company or a Parent or Subsidiary of the Company;</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by consideration received by the Company pursuant to a broker-assisted or other form of cashless exercise program implemented by the Company in connection with the Plan;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by any combination of the foregoing; or</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by any other method of payment as is permitted by applicable law.</w:t>
      </w:r>
    </w:p>
    <w:p>
      <w:pPr>
        <w:pStyle w:val="TextBody"/>
        <w:bidi w:val="0"/>
        <w:spacing w:lineRule="atLeast" w:line="240" w:before="240" w:after="283"/>
        <w:jc w:val="both"/>
        <w:rPr/>
      </w:pPr>
      <w:r>
        <w:rPr>
          <w:rFonts w:ascii="Times New Roman;sans-serif" w:hAnsi="Times New Roman;sans-serif"/>
          <w:b/>
          <w:color w:val="010000"/>
          <w:sz w:val="22"/>
        </w:rPr>
        <w:t>12.    </w:t>
      </w:r>
      <w:r>
        <w:rPr>
          <w:rFonts w:ascii="Times New Roman;sans-serif" w:hAnsi="Times New Roman;sans-serif"/>
          <w:b/>
          <w:color w:val="000000"/>
          <w:sz w:val="22"/>
          <w:u w:val="single"/>
        </w:rPr>
        <w:t>GRANTS TO NON-EMPLOYEE DIRECTORS</w:t>
      </w:r>
      <w:r>
        <w:rPr>
          <w:rFonts w:ascii="Times New Roman;sans-serif" w:hAnsi="Times New Roman;sans-serif"/>
          <w:b w:val="false"/>
          <w:color w:val="000000"/>
          <w:sz w:val="22"/>
        </w:rPr>
        <w:t xml:space="preserve">. Non-Employee Directors are eligible to receive any type of Award offered under this Plan except ISOs. Awards pursuant to this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may be automatically made pursuant to policy adopted by the Board, or made from time to time as determined in the discretion of the Board. The aggregate number of Shares subject to Awards granted to a Non-Employee Director pursuant to this Section 12 in any calendar year shall not exceed One Hundred Thousand (100,000).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12.1.    </w:t>
      </w:r>
      <w:r>
        <w:rPr>
          <w:rFonts w:ascii="Times New Roman;sans-serif" w:hAnsi="Times New Roman;sans-serif"/>
          <w:b w:val="false"/>
          <w:color w:val="000000"/>
          <w:sz w:val="22"/>
          <w:u w:val="single"/>
        </w:rPr>
        <w:t>Eligibility</w:t>
      </w:r>
      <w:r>
        <w:rPr>
          <w:rFonts w:ascii="Times New Roman;sans-serif" w:hAnsi="Times New Roman;sans-serif"/>
          <w:b w:val="false"/>
          <w:color w:val="000000"/>
          <w:sz w:val="22"/>
        </w:rPr>
        <w:t xml:space="preserve">. Awards pursuant to this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shall be granted only to Non-Employee Directors. A Non-Employee Director who is elected or re-elected as a member of the Board will be eligible to receive an Award under this </w:t>
      </w:r>
      <w:r>
        <w:rPr>
          <w:rFonts w:ascii="Times New Roman;sans-serif" w:hAnsi="Times New Roman;sans-serif"/>
          <w:b w:val="false"/>
          <w:color w:val="000000"/>
          <w:sz w:val="22"/>
          <w:u w:val="single"/>
        </w:rPr>
        <w:t>Section 12</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12.2.    </w:t>
      </w:r>
      <w:r>
        <w:rPr>
          <w:rFonts w:ascii="Times New Roman;sans-serif" w:hAnsi="Times New Roman;sans-serif"/>
          <w:b w:val="false"/>
          <w:color w:val="000000"/>
          <w:sz w:val="22"/>
          <w:u w:val="single"/>
        </w:rPr>
        <w:t>Vesting, Exercisability and Settlement</w:t>
      </w:r>
      <w:r>
        <w:rPr>
          <w:rFonts w:ascii="Times New Roman;sans-serif" w:hAnsi="Times New Roman;sans-serif"/>
          <w:b w:val="false"/>
          <w:color w:val="000000"/>
          <w:sz w:val="22"/>
        </w:rPr>
        <w:t xml:space="preserve">. Except as set forth in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 Awards shall vest, become exercisable and be settled as determined by the Board. With respect to Options and SARs, the Exercise Price granted to Non-Employee Directors shall not be less than the Fair Market Value of the Shares at the time that such Option or SAR is granted.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12.3.    </w:t>
      </w:r>
      <w:r>
        <w:rPr>
          <w:rFonts w:ascii="Times New Roman;sans-serif" w:hAnsi="Times New Roman;sans-serif"/>
          <w:b w:val="false"/>
          <w:color w:val="000000"/>
          <w:sz w:val="22"/>
          <w:u w:val="single"/>
        </w:rPr>
        <w:t>Election to receive Awards in Lieu of Cash</w:t>
      </w:r>
      <w:r>
        <w:rPr>
          <w:rFonts w:ascii="Times New Roman;sans-serif" w:hAnsi="Times New Roman;sans-serif"/>
          <w:b w:val="false"/>
          <w:color w:val="000000"/>
          <w:sz w:val="22"/>
        </w:rPr>
        <w:t xml:space="preserve">. A Non-Employee Director may elect to receive his or her annual retainer payments and/or meeting fees from the Company in the form of cash or Awards or a combination thereof, as determined by the Committee. Such Awards shall be issued under the Plan. An election under this </w:t>
      </w:r>
      <w:r>
        <w:rPr>
          <w:rFonts w:ascii="Times New Roman;sans-serif" w:hAnsi="Times New Roman;sans-serif"/>
          <w:b w:val="false"/>
          <w:color w:val="000000"/>
          <w:sz w:val="22"/>
          <w:u w:val="single"/>
        </w:rPr>
        <w:t>Section 12.3</w:t>
      </w:r>
      <w:r>
        <w:rPr>
          <w:color w:val="000000"/>
        </w:rPr>
        <w:t xml:space="preserve"> </w:t>
      </w:r>
      <w:r>
        <w:rPr>
          <w:rFonts w:ascii="Times New Roman;sans-serif" w:hAnsi="Times New Roman;sans-serif"/>
          <w:b w:val="false"/>
          <w:color w:val="000000"/>
          <w:sz w:val="22"/>
        </w:rPr>
        <w:t>shall be filed with the Company on the form prescribed by the Company.</w:t>
      </w:r>
    </w:p>
    <w:p>
      <w:pPr>
        <w:pStyle w:val="TextBody"/>
        <w:bidi w:val="0"/>
        <w:spacing w:lineRule="atLeast" w:line="240" w:before="240" w:after="283"/>
        <w:jc w:val="both"/>
        <w:rPr/>
      </w:pPr>
      <w:r>
        <w:rPr>
          <w:rFonts w:ascii="Times New Roman;sans-serif" w:hAnsi="Times New Roman;sans-serif"/>
          <w:b/>
          <w:color w:val="010000"/>
          <w:sz w:val="22"/>
        </w:rPr>
        <w:t>13.    </w:t>
      </w:r>
      <w:r>
        <w:rPr>
          <w:rFonts w:ascii="Times New Roman;sans-serif" w:hAnsi="Times New Roman;sans-serif"/>
          <w:b/>
          <w:color w:val="000000"/>
          <w:sz w:val="22"/>
          <w:u w:val="single"/>
        </w:rPr>
        <w:t>WITHHOLDING TAXES</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13.1.    </w:t>
      </w:r>
      <w:r>
        <w:rPr>
          <w:rFonts w:ascii="Times New Roman;sans-serif" w:hAnsi="Times New Roman;sans-serif"/>
          <w:b w:val="false"/>
          <w:color w:val="000000"/>
          <w:sz w:val="22"/>
          <w:u w:val="single"/>
        </w:rPr>
        <w:t>Withholding Generally</w:t>
      </w:r>
      <w:r>
        <w:rPr>
          <w:rFonts w:ascii="Times New Roman;sans-serif" w:hAnsi="Times New Roman;sans-serif"/>
          <w:b w:val="false"/>
          <w:color w:val="000000"/>
          <w:sz w:val="22"/>
        </w:rPr>
        <w:t>. Whenever Shares are to be issued in satisfaction of Awards granted under this Plan or a tax event occurs, the Company may require the Participant to remit to the Company, or to the Parent or Subsidiary employing the Participant, an amount sufficient to satisfy applicable U.S. federal, state, local and international withholding tax requirements or any other tax or social insurance liability (the “</w:t>
      </w:r>
      <w:r>
        <w:rPr>
          <w:rFonts w:ascii="Times New Roman;sans-serif" w:hAnsi="Times New Roman;sans-serif"/>
          <w:b/>
          <w:i/>
          <w:color w:val="000000"/>
          <w:sz w:val="22"/>
        </w:rPr>
        <w:t>Tax–Related Items</w:t>
      </w:r>
      <w:r>
        <w:rPr>
          <w:color w:val="000000"/>
        </w:rPr>
        <w:t>”</w:t>
      </w:r>
      <w:r>
        <w:rPr>
          <w:rFonts w:ascii="Times New Roman;sans-serif" w:hAnsi="Times New Roman;sans-serif"/>
          <w:b w:val="false"/>
          <w:color w:val="000000"/>
          <w:sz w:val="22"/>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Tax-Related Items legally due from the Participant.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13.2.    </w:t>
      </w:r>
      <w:r>
        <w:rPr>
          <w:rFonts w:ascii="Times New Roman;sans-serif" w:hAnsi="Times New Roman;sans-serif"/>
          <w:b w:val="false"/>
          <w:color w:val="000000"/>
          <w:sz w:val="22"/>
          <w:u w:val="single"/>
        </w:rPr>
        <w:t>Stock Withholding</w:t>
      </w:r>
      <w:r>
        <w:rPr>
          <w:rFonts w:ascii="Times New Roman;sans-serif" w:hAnsi="Times New Roman;sans-serif"/>
          <w:b w:val="false"/>
          <w:color w:val="000000"/>
          <w:sz w:val="22"/>
        </w:rPr>
        <w:t xml:space="preserve">. The Committee, or its delegate(s), as permitted by applicable law, in its sole discretion and pursuant to such procedures as it may specify from time to time and to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local law, may require or permit a Participant to satisfy such Tax-Related Items legally due from the Participant, in whole or in part by (without limitation) (a) paying cash, (b) electing to have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statutory tax rate for the applicable tax jurisdiction, to the extent consistent with applicable laws. </w:t>
      </w:r>
    </w:p>
    <w:p>
      <w:pPr>
        <w:pStyle w:val="TextBody"/>
        <w:bidi w:val="0"/>
        <w:spacing w:lineRule="atLeast" w:line="240" w:before="240" w:after="283"/>
        <w:jc w:val="both"/>
        <w:rPr/>
      </w:pPr>
      <w:r>
        <w:rPr>
          <w:rFonts w:ascii="Times New Roman;sans-serif" w:hAnsi="Times New Roman;sans-serif"/>
          <w:b/>
          <w:color w:val="010000"/>
          <w:sz w:val="22"/>
        </w:rPr>
        <w:t>14.    </w:t>
      </w:r>
      <w:r>
        <w:rPr>
          <w:rFonts w:ascii="Times New Roman;sans-serif" w:hAnsi="Times New Roman;sans-serif"/>
          <w:b/>
          <w:color w:val="000000"/>
          <w:sz w:val="22"/>
          <w:u w:val="single"/>
        </w:rPr>
        <w:t>TRANSFERABILITY</w:t>
      </w:r>
      <w:r>
        <w:rPr>
          <w:rFonts w:ascii="Times New Roman;sans-serif" w:hAnsi="Times New Roman;sans-serif"/>
          <w:b w:val="false"/>
          <w:color w:val="000000"/>
          <w:sz w:val="22"/>
        </w:rPr>
        <w:t xml:space="preserv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14.1.    </w:t>
      </w:r>
      <w:r>
        <w:rPr>
          <w:rFonts w:ascii="Times New Roman;sans-serif" w:hAnsi="Times New Roman;sans-serif"/>
          <w:b w:val="false"/>
          <w:color w:val="000000"/>
          <w:sz w:val="22"/>
          <w:u w:val="single"/>
        </w:rPr>
        <w:t>Transfer Generally</w:t>
      </w:r>
      <w:r>
        <w:rPr>
          <w:rFonts w:ascii="Times New Roman;sans-serif" w:hAnsi="Times New Roman;sans-serif"/>
          <w:b w:val="false"/>
          <w:color w:val="000000"/>
          <w:sz w:val="22"/>
        </w:rPr>
        <w:t xml:space="preserve">. Unless determined otherwise by the Committee or pursuant to </w:t>
      </w:r>
      <w:r>
        <w:rPr>
          <w:rFonts w:ascii="Times New Roman;sans-serif" w:hAnsi="Times New Roman;sans-serif"/>
          <w:b w:val="false"/>
          <w:color w:val="000000"/>
          <w:sz w:val="22"/>
          <w:u w:val="single"/>
        </w:rPr>
        <w:t>Section 14.2</w:t>
      </w:r>
      <w:r>
        <w:rPr>
          <w:rFonts w:ascii="Times New Roman;sans-serif" w:hAnsi="Times New Roman;sans-serif"/>
          <w:b w:val="false"/>
          <w:color w:val="000000"/>
          <w:sz w:val="22"/>
        </w:rPr>
        <w:t>,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pStyle w:val="TextBody"/>
        <w:bidi w:val="0"/>
        <w:spacing w:lineRule="atLeast" w:line="240" w:before="240" w:after="283"/>
        <w:jc w:val="both"/>
        <w:rPr/>
      </w:pPr>
      <w:r>
        <w:rPr>
          <w:rFonts w:ascii="Times New Roman;sans-serif" w:hAnsi="Times New Roman;sans-serif"/>
          <w:b/>
          <w:color w:val="010000"/>
          <w:sz w:val="22"/>
        </w:rPr>
        <w:t>15.    </w:t>
      </w:r>
      <w:r>
        <w:rPr>
          <w:rFonts w:ascii="Times New Roman;sans-serif" w:hAnsi="Times New Roman;sans-serif"/>
          <w:b/>
          <w:color w:val="000000"/>
          <w:sz w:val="22"/>
          <w:u w:val="single"/>
        </w:rPr>
        <w:t>PRIVILEGES OF STOCK OWNERSHIP; RESTRICTIONS ON SHARES</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15.1.    </w:t>
      </w:r>
      <w:r>
        <w:rPr>
          <w:rFonts w:ascii="Times New Roman;sans-serif" w:hAnsi="Times New Roman;sans-serif"/>
          <w:b w:val="false"/>
          <w:color w:val="000000"/>
          <w:sz w:val="22"/>
          <w:u w:val="single"/>
        </w:rPr>
        <w:t>Voting and Dividends</w:t>
      </w:r>
      <w:r>
        <w:rPr>
          <w:rFonts w:ascii="Times New Roman;sans-serif" w:hAnsi="Times New Roman;sans-serif"/>
          <w:b w:val="false"/>
          <w:color w:val="000000"/>
          <w:sz w:val="22"/>
        </w:rPr>
        <w:t xml:space="preserve">. No Participant will have any of the rights of a stockholder with respect to any Shares until the Shares are issued to the 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Participant will have no right to retain such stock dividends or stock distributions with respect to Shares that are repurchased at the Participant’s Purchase Price or Exercise Price, as the case may be, pursuant to </w:t>
      </w:r>
      <w:r>
        <w:rPr>
          <w:rFonts w:ascii="Times New Roman;sans-serif" w:hAnsi="Times New Roman;sans-serif"/>
          <w:b w:val="false"/>
          <w:color w:val="000000"/>
          <w:sz w:val="22"/>
          <w:u w:val="single"/>
        </w:rPr>
        <w:t>Section 15.2</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15.2.    </w:t>
      </w:r>
      <w:r>
        <w:rPr>
          <w:rFonts w:ascii="Times New Roman;sans-serif" w:hAnsi="Times New Roman;sans-serif"/>
          <w:b w:val="false"/>
          <w:color w:val="000000"/>
          <w:sz w:val="22"/>
          <w:u w:val="single"/>
        </w:rPr>
        <w:t>Restrictions on Shares</w:t>
      </w:r>
      <w:r>
        <w:rPr>
          <w:rFonts w:ascii="Times New Roman;sans-serif" w:hAnsi="Times New Roman;sans-serif"/>
          <w:b w:val="false"/>
          <w:color w:val="000000"/>
          <w:sz w:val="22"/>
        </w:rPr>
        <w:t>. At the discretion of the Committee, the Company may reserve to itself and/or its assignee(s) a right to repurchase (a “</w:t>
      </w:r>
      <w:r>
        <w:rPr>
          <w:rFonts w:ascii="Times New Roman;sans-serif" w:hAnsi="Times New Roman;sans-serif"/>
          <w:b/>
          <w:i/>
          <w:color w:val="000000"/>
          <w:sz w:val="22"/>
        </w:rPr>
        <w:t>Right of Repurchase</w:t>
      </w:r>
      <w:r>
        <w:rPr>
          <w:color w:val="000000"/>
        </w:rPr>
        <w:t>”</w:t>
      </w:r>
      <w:r>
        <w:rPr>
          <w:rFonts w:ascii="Times New Roman;sans-serif" w:hAnsi="Times New Roman;sans-serif"/>
          <w:b w:val="false"/>
          <w:color w:val="000000"/>
          <w:sz w:val="22"/>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tLeast" w:line="240" w:before="240" w:after="283"/>
        <w:jc w:val="both"/>
        <w:rPr/>
      </w:pPr>
      <w:r>
        <w:rPr>
          <w:rFonts w:ascii="Times New Roman;sans-serif" w:hAnsi="Times New Roman;sans-serif"/>
          <w:b/>
          <w:color w:val="010000"/>
          <w:sz w:val="22"/>
        </w:rPr>
        <w:t>16.    </w:t>
      </w:r>
      <w:r>
        <w:rPr>
          <w:rFonts w:ascii="Times New Roman;sans-serif" w:hAnsi="Times New Roman;sans-serif"/>
          <w:b/>
          <w:color w:val="000000"/>
          <w:sz w:val="22"/>
          <w:u w:val="single"/>
        </w:rPr>
        <w:t>CERTIFICATES</w:t>
      </w:r>
      <w:r>
        <w:rPr>
          <w:rFonts w:ascii="Times New Roman;sans-serif" w:hAnsi="Times New Roman;sans-serif"/>
          <w:b w:val="false"/>
          <w:color w:val="000000"/>
          <w:sz w:val="22"/>
        </w:rPr>
        <w:t xml:space="preserve">.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automated quotation system upon which the Shares may be listed or quoted and any non-U.S. exchange controls or securities law restrictions to which the Shares are subject.</w:t>
      </w:r>
    </w:p>
    <w:p>
      <w:pPr>
        <w:pStyle w:val="TextBody"/>
        <w:bidi w:val="0"/>
        <w:spacing w:lineRule="atLeast" w:line="240" w:before="240" w:after="283"/>
        <w:jc w:val="both"/>
        <w:rPr/>
      </w:pPr>
      <w:r>
        <w:rPr>
          <w:rFonts w:ascii="Times New Roman;sans-serif" w:hAnsi="Times New Roman;sans-serif"/>
          <w:b/>
          <w:color w:val="010000"/>
          <w:sz w:val="22"/>
        </w:rPr>
        <w:t>17.    </w:t>
      </w:r>
      <w:r>
        <w:rPr>
          <w:rFonts w:ascii="Times New Roman;sans-serif" w:hAnsi="Times New Roman;sans-serif"/>
          <w:b/>
          <w:color w:val="000000"/>
          <w:sz w:val="22"/>
          <w:u w:val="single"/>
        </w:rPr>
        <w:t>ESCROW; PLEDGE OF SHARES</w:t>
      </w:r>
      <w:r>
        <w:rPr>
          <w:rFonts w:ascii="Times New Roman;sans-serif" w:hAnsi="Times New Roman;sans-serif"/>
          <w:b w:val="false"/>
          <w:color w:val="000000"/>
          <w:sz w:val="22"/>
        </w:rPr>
        <w:t xml:space="preserve">.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bidi w:val="0"/>
        <w:spacing w:lineRule="atLeast" w:line="240" w:before="240" w:after="283"/>
        <w:jc w:val="both"/>
        <w:rPr/>
      </w:pPr>
      <w:r>
        <w:rPr>
          <w:rFonts w:ascii="Times New Roman;sans-serif" w:hAnsi="Times New Roman;sans-serif"/>
          <w:b/>
          <w:color w:val="010000"/>
          <w:sz w:val="22"/>
        </w:rPr>
        <w:t>18.    </w:t>
      </w:r>
      <w:r>
        <w:rPr>
          <w:rFonts w:ascii="Times New Roman;sans-serif" w:hAnsi="Times New Roman;sans-serif"/>
          <w:b/>
          <w:color w:val="000000"/>
          <w:sz w:val="22"/>
          <w:u w:val="single"/>
        </w:rPr>
        <w:t>REPRICING; EXCHANGE AND BUYOUT OF AWARDS</w:t>
      </w:r>
      <w:r>
        <w:rPr>
          <w:rFonts w:ascii="Times New Roman;sans-serif" w:hAnsi="Times New Roman;sans-serif"/>
          <w:b w:val="false"/>
          <w:color w:val="000000"/>
          <w:sz w:val="22"/>
        </w:rPr>
        <w:t xml:space="preserve">. The repricing of Options or SARs, including pursuant to an Exchange Program, is not permitted without prior stockholder approval. Provided that stockholder approval is first obtained,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w:t>
      </w:r>
      <w:r>
        <w:rPr>
          <w:rFonts w:ascii="Times New Roman;sans-serif" w:hAnsi="Times New Roman;sans-serif"/>
          <w:b w:val="false"/>
          <w:color w:val="000000"/>
          <w:sz w:val="22"/>
          <w:u w:val="single"/>
        </w:rPr>
        <w:t>Section 5.9</w:t>
      </w:r>
      <w:r>
        <w:rPr>
          <w:color w:val="000000"/>
        </w:rPr>
        <w:t xml:space="preserve"> </w:t>
      </w:r>
      <w:r>
        <w:rPr>
          <w:rFonts w:ascii="Times New Roman;sans-serif" w:hAnsi="Times New Roman;sans-serif"/>
          <w:b w:val="false"/>
          <w:color w:val="000000"/>
          <w:sz w:val="22"/>
        </w:rPr>
        <w:t>of the Plan), pay cash or issue new Awards in exchange for the surrender and cancellation of any, or all, outstanding Awards, including pursuant to an Exchange Program.</w:t>
      </w:r>
    </w:p>
    <w:p>
      <w:pPr>
        <w:pStyle w:val="TextBody"/>
        <w:bidi w:val="0"/>
        <w:spacing w:lineRule="atLeast" w:line="240" w:before="240" w:after="283"/>
        <w:jc w:val="both"/>
        <w:rPr/>
      </w:pPr>
      <w:r>
        <w:rPr>
          <w:rFonts w:ascii="Times New Roman;sans-serif" w:hAnsi="Times New Roman;sans-serif"/>
          <w:b/>
          <w:color w:val="010000"/>
          <w:sz w:val="22"/>
        </w:rPr>
        <w:t>19.    </w:t>
      </w:r>
      <w:r>
        <w:rPr>
          <w:rFonts w:ascii="Times New Roman;sans-serif" w:hAnsi="Times New Roman;sans-serif"/>
          <w:b/>
          <w:color w:val="000000"/>
          <w:sz w:val="22"/>
          <w:u w:val="single"/>
        </w:rPr>
        <w:t>SECURITIES LAW AND OTHER REGULATORY COMPLIANCE</w:t>
      </w:r>
      <w:r>
        <w:rPr>
          <w:rFonts w:ascii="Times New Roman;sans-serif" w:hAnsi="Times New Roman;sans-serif"/>
          <w:b w:val="false"/>
          <w:color w:val="000000"/>
          <w:sz w:val="22"/>
        </w:rPr>
        <w:t>. An Award will not be effective unless such Award is in compliance with 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bidi w:val="0"/>
        <w:spacing w:lineRule="atLeast" w:line="240" w:before="240" w:after="283"/>
        <w:jc w:val="both"/>
        <w:rPr/>
      </w:pPr>
      <w:r>
        <w:rPr>
          <w:rFonts w:ascii="Times New Roman;sans-serif" w:hAnsi="Times New Roman;sans-serif"/>
          <w:b/>
          <w:color w:val="010000"/>
          <w:sz w:val="22"/>
        </w:rPr>
        <w:t>20.    </w:t>
      </w:r>
      <w:r>
        <w:rPr>
          <w:rFonts w:ascii="Times New Roman;sans-serif" w:hAnsi="Times New Roman;sans-serif"/>
          <w:b/>
          <w:color w:val="000000"/>
          <w:sz w:val="22"/>
          <w:u w:val="single"/>
        </w:rPr>
        <w:t>NO OBLIGATION TO EMPLOY</w:t>
      </w:r>
      <w:r>
        <w:rPr>
          <w:rFonts w:ascii="Times New Roman;sans-serif" w:hAnsi="Times New Roman;sans-serif"/>
          <w:b w:val="false"/>
          <w:color w:val="000000"/>
          <w:sz w:val="22"/>
        </w:rPr>
        <w:t>.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tLeast" w:line="240" w:before="240" w:after="283"/>
        <w:jc w:val="both"/>
        <w:rPr/>
      </w:pPr>
      <w:r>
        <w:rPr>
          <w:rFonts w:ascii="Times New Roman;sans-serif" w:hAnsi="Times New Roman;sans-serif"/>
          <w:b/>
          <w:color w:val="010000"/>
          <w:sz w:val="22"/>
        </w:rPr>
        <w:t>21.    </w:t>
      </w:r>
      <w:r>
        <w:rPr>
          <w:rFonts w:ascii="Times New Roman;sans-serif" w:hAnsi="Times New Roman;sans-serif"/>
          <w:b/>
          <w:color w:val="000000"/>
          <w:sz w:val="22"/>
          <w:u w:val="single"/>
        </w:rPr>
        <w:t>CORPORATE TRANSACTIONS</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21.1.    </w:t>
      </w:r>
      <w:r>
        <w:rPr>
          <w:color w:val="000000"/>
        </w:rPr>
        <w:t xml:space="preserve"> </w:t>
      </w:r>
      <w:r>
        <w:rPr>
          <w:rFonts w:ascii="Times New Roman;sans-serif" w:hAnsi="Times New Roman;sans-serif"/>
          <w:b w:val="false"/>
          <w:color w:val="000000"/>
          <w:sz w:val="22"/>
          <w:u w:val="single"/>
        </w:rPr>
        <w:t>Assumption or Replacement of Awards by Successor</w:t>
      </w:r>
      <w:r>
        <w:rPr>
          <w:rFonts w:ascii="Times New Roman;sans-serif" w:hAnsi="Times New Roman;sans-serif"/>
          <w:b w:val="false"/>
          <w:color w:val="000000"/>
          <w:sz w:val="22"/>
        </w:rPr>
        <w:t xml:space="preserve">. In the event of a Corporate Transaction any or all outstanding Awards may be assumed or replaced by the successor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will expire on such transaction at such time and on such conditions as the Board will determine; the Board (or, the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21.2.    </w:t>
      </w:r>
      <w:r>
        <w:rPr>
          <w:rFonts w:ascii="Times New Roman;sans-serif" w:hAnsi="Times New Roman;sans-serif"/>
          <w:b w:val="false"/>
          <w:color w:val="000000"/>
          <w:sz w:val="22"/>
          <w:u w:val="single"/>
        </w:rPr>
        <w:t>Assumption of Awards by the Company</w:t>
      </w:r>
      <w:r>
        <w:rPr>
          <w:rFonts w:ascii="Times New Roman;sans-serif" w:hAnsi="Times New Roman;sans-serif"/>
          <w:b w:val="false"/>
          <w:color w:val="000000"/>
          <w:sz w:val="22"/>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reduce the number of Shares authorized for grant under the Plan or authorized for grant to a Participant in a calendar year.</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21.3.    </w:t>
      </w:r>
      <w:r>
        <w:rPr>
          <w:rFonts w:ascii="Times New Roman;sans-serif" w:hAnsi="Times New Roman;sans-serif"/>
          <w:b w:val="false"/>
          <w:color w:val="000000"/>
          <w:sz w:val="22"/>
          <w:u w:val="single"/>
        </w:rPr>
        <w:t>Non-Employee Directors’ Awards</w:t>
      </w:r>
      <w:r>
        <w:rPr>
          <w:rFonts w:ascii="Times New Roman;sans-serif" w:hAnsi="Times New Roman;sans-serif"/>
          <w:b w:val="false"/>
          <w:color w:val="000000"/>
          <w:sz w:val="22"/>
        </w:rPr>
        <w:t>. Notwithstanding any provision to the contrary herein, in the event of a Corporate Transaction, the vesting of all Awards granted to Non-Employee Directors shall accelerate and such Awards shall become exercisable (as applicable) in full prior to the consummation of such event at such times and on such conditions as the Committee determines.</w:t>
      </w:r>
    </w:p>
    <w:p>
      <w:pPr>
        <w:pStyle w:val="TextBody"/>
        <w:bidi w:val="0"/>
        <w:spacing w:lineRule="atLeast" w:line="240" w:before="240" w:after="283"/>
        <w:jc w:val="both"/>
        <w:rPr/>
      </w:pPr>
      <w:r>
        <w:rPr>
          <w:rFonts w:ascii="Times New Roman;sans-serif" w:hAnsi="Times New Roman;sans-serif"/>
          <w:b/>
          <w:color w:val="010000"/>
          <w:sz w:val="22"/>
        </w:rPr>
        <w:t>22.    </w:t>
      </w:r>
      <w:r>
        <w:rPr>
          <w:rFonts w:ascii="Times New Roman;sans-serif" w:hAnsi="Times New Roman;sans-serif"/>
          <w:b/>
          <w:color w:val="000000"/>
          <w:sz w:val="22"/>
          <w:u w:val="single"/>
        </w:rPr>
        <w:t>ADOPTION AND STOCKHOLDER APPROVAL</w:t>
      </w:r>
      <w:r>
        <w:rPr>
          <w:rFonts w:ascii="Times New Roman;sans-serif" w:hAnsi="Times New Roman;sans-serif"/>
          <w:b w:val="false"/>
          <w:color w:val="000000"/>
          <w:sz w:val="22"/>
        </w:rPr>
        <w:t xml:space="preserve">. This Plan shall be submitted for the approval of the Company’s stockholders, consistent with applicable laws, within twelve (12) months before or after the date this Plan is adopted by the Board. </w:t>
      </w:r>
    </w:p>
    <w:p>
      <w:pPr>
        <w:pStyle w:val="TextBody"/>
        <w:bidi w:val="0"/>
        <w:spacing w:lineRule="atLeast" w:line="240" w:before="240" w:after="283"/>
        <w:jc w:val="both"/>
        <w:rPr/>
      </w:pPr>
      <w:r>
        <w:rPr>
          <w:rFonts w:ascii="Times New Roman;sans-serif" w:hAnsi="Times New Roman;sans-serif"/>
          <w:b/>
          <w:color w:val="010000"/>
          <w:sz w:val="22"/>
        </w:rPr>
        <w:t>23.    </w:t>
      </w:r>
      <w:r>
        <w:rPr>
          <w:rFonts w:ascii="Times New Roman;sans-serif" w:hAnsi="Times New Roman;sans-serif"/>
          <w:b/>
          <w:color w:val="000000"/>
          <w:sz w:val="22"/>
          <w:u w:val="single"/>
        </w:rPr>
        <w:t>TERM OF PLAN/GOVERNING LAW</w:t>
      </w:r>
      <w:r>
        <w:rPr>
          <w:rFonts w:ascii="Times New Roman;sans-serif" w:hAnsi="Times New Roman;sans-serif"/>
          <w:b w:val="false"/>
          <w:color w:val="000000"/>
          <w:sz w:val="22"/>
        </w:rPr>
        <w:t>. This Plan originally become effective on the Original Effective Date. Unless earlier terminated as provided herein, this Plan will become effective on the Effective Date and will terminate ten (10) years from January 12, 2017, the date this Plan, prior to its amendment and restatement, was originally adopted by the Board. This Plan and all Awards granted hereunder shall be governed by and construed in accordance with the laws of the State of Delaware (excluding its conflict of law rules).</w:t>
      </w:r>
    </w:p>
    <w:p>
      <w:pPr>
        <w:pStyle w:val="TextBody"/>
        <w:bidi w:val="0"/>
        <w:spacing w:lineRule="atLeast" w:line="240" w:before="240" w:after="283"/>
        <w:jc w:val="both"/>
        <w:rPr/>
      </w:pPr>
      <w:r>
        <w:rPr>
          <w:rFonts w:ascii="Times New Roman;sans-serif" w:hAnsi="Times New Roman;sans-serif"/>
          <w:b/>
          <w:color w:val="010000"/>
          <w:sz w:val="22"/>
        </w:rPr>
        <w:t>24.    </w:t>
      </w:r>
      <w:r>
        <w:rPr>
          <w:rFonts w:ascii="Times New Roman;sans-serif" w:hAnsi="Times New Roman;sans-serif"/>
          <w:b/>
          <w:color w:val="000000"/>
          <w:sz w:val="22"/>
          <w:u w:val="single"/>
        </w:rPr>
        <w:t>AMENDMENT OR TERMINATION OF PLAN</w:t>
      </w:r>
      <w:r>
        <w:rPr>
          <w:rFonts w:ascii="Times New Roman;sans-serif" w:hAnsi="Times New Roman;sans-serif"/>
          <w:b w:val="false"/>
          <w:color w:val="000000"/>
          <w:sz w:val="22"/>
        </w:rPr>
        <w:t xml:space="preserve">. The Board may at any time terminate or amend this Plan in any respect, including, without limitation, amendment of any form of Award Agreement or instrument to be executed pursuant to this Plan;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Board will not, without the approval of the stockholders of the Company, amend this Plan in any manner that requires such stockholder approval;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a Participant’s Award shall be governed by the 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of this Plan then in effect at the time such Award was granted. No termination or amendment of the Plan shall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pStyle w:val="TextBody"/>
        <w:bidi w:val="0"/>
        <w:spacing w:lineRule="atLeast" w:line="240" w:before="240" w:after="283"/>
        <w:jc w:val="both"/>
        <w:rPr/>
      </w:pPr>
      <w:r>
        <w:rPr>
          <w:rFonts w:ascii="Times New Roman;sans-serif" w:hAnsi="Times New Roman;sans-serif"/>
          <w:b/>
          <w:color w:val="010000"/>
          <w:sz w:val="22"/>
        </w:rPr>
        <w:t>25.    </w:t>
      </w:r>
      <w:r>
        <w:rPr>
          <w:rFonts w:ascii="Times New Roman;sans-serif" w:hAnsi="Times New Roman;sans-serif"/>
          <w:b/>
          <w:color w:val="000000"/>
          <w:sz w:val="22"/>
          <w:u w:val="single"/>
        </w:rPr>
        <w:t>NONEXCLUSIVITY OF THE PLAN</w:t>
      </w:r>
      <w:r>
        <w:rPr>
          <w:rFonts w:ascii="Times New Roman;sans-serif" w:hAnsi="Times New Roman;sans-serif"/>
          <w:b w:val="false"/>
          <w:color w:val="000000"/>
          <w:sz w:val="22"/>
        </w:rPr>
        <w:t>.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tLeast" w:line="240" w:before="240" w:after="283"/>
        <w:jc w:val="both"/>
        <w:rPr/>
      </w:pPr>
      <w:r>
        <w:rPr>
          <w:rFonts w:ascii="Times New Roman;sans-serif" w:hAnsi="Times New Roman;sans-serif"/>
          <w:b/>
          <w:color w:val="010000"/>
          <w:sz w:val="22"/>
        </w:rPr>
        <w:t>26.    </w:t>
      </w:r>
      <w:r>
        <w:rPr>
          <w:rFonts w:ascii="Times New Roman;sans-serif" w:hAnsi="Times New Roman;sans-serif"/>
          <w:b/>
          <w:color w:val="000000"/>
          <w:sz w:val="22"/>
          <w:u w:val="single"/>
        </w:rPr>
        <w:t>INSIDER TRADING POLICY</w:t>
      </w:r>
      <w:r>
        <w:rPr>
          <w:rFonts w:ascii="Times New Roman;sans-serif" w:hAnsi="Times New Roman;sans-serif"/>
          <w:b w:val="false"/>
          <w:color w:val="000000"/>
          <w:sz w:val="22"/>
        </w:rPr>
        <w:t>. Each Participant who receives an Award shall comply with any policy adopted by the Company from time to time covering transactions in the Company’s securities by Employees, officers and/or directors of the Company.</w:t>
      </w:r>
    </w:p>
    <w:p>
      <w:pPr>
        <w:pStyle w:val="TextBody"/>
        <w:bidi w:val="0"/>
        <w:spacing w:lineRule="atLeast" w:line="240" w:before="240" w:after="283"/>
        <w:jc w:val="both"/>
        <w:rPr/>
      </w:pPr>
      <w:r>
        <w:rPr>
          <w:rFonts w:ascii="Times New Roman;sans-serif" w:hAnsi="Times New Roman;sans-serif"/>
          <w:b/>
          <w:color w:val="010000"/>
          <w:sz w:val="22"/>
        </w:rPr>
        <w:t>27.    </w:t>
      </w:r>
      <w:r>
        <w:rPr>
          <w:rFonts w:ascii="Times New Roman;sans-serif" w:hAnsi="Times New Roman;sans-serif"/>
          <w:b/>
          <w:color w:val="000000"/>
          <w:sz w:val="22"/>
          <w:u w:val="single"/>
        </w:rPr>
        <w:t>ALL AWARDS SUBJECT TO COMPANY CLAWBACK OR RECOUPMENT POLICY</w:t>
      </w:r>
      <w:r>
        <w:rPr>
          <w:rFonts w:ascii="Times New Roman;sans-serif" w:hAnsi="Times New Roman;sans-serif"/>
          <w:b w:val="false"/>
          <w:color w:val="000000"/>
          <w:sz w:val="22"/>
        </w:rPr>
        <w:t>.   All Awards, subject to applicable law, shall be subject to clawback or recoupment pursuant to any compensation clawback or recoupment policy adopted by the Board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tLeast" w:line="240" w:before="240" w:after="283"/>
        <w:jc w:val="both"/>
        <w:rPr/>
      </w:pPr>
      <w:r>
        <w:rPr>
          <w:rFonts w:ascii="Times New Roman;sans-serif" w:hAnsi="Times New Roman;sans-serif"/>
          <w:b/>
          <w:color w:val="010000"/>
          <w:sz w:val="22"/>
        </w:rPr>
        <w:t>28.    </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 As used in this Plan, and except as elsewhere defined herein, the following terms will have the following meanings: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28.1.    </w:t>
      </w:r>
      <w:r>
        <w:rPr>
          <w:color w:val="000000"/>
        </w:rPr>
        <w:t>“</w:t>
      </w:r>
      <w:r>
        <w:rPr>
          <w:rFonts w:ascii="Times New Roman;sans-serif" w:hAnsi="Times New Roman;sans-serif"/>
          <w:b/>
          <w:i/>
          <w:color w:val="000000"/>
          <w:sz w:val="22"/>
        </w:rPr>
        <w:t>Affiliate</w:t>
      </w:r>
      <w:r>
        <w:rPr>
          <w:color w:val="000000"/>
        </w:rPr>
        <w:t xml:space="preserve">” </w:t>
      </w:r>
      <w:r>
        <w:rPr>
          <w:rFonts w:ascii="Times New Roman;sans-serif" w:hAnsi="Times New Roman;sans-serif"/>
          <w:b w:val="false"/>
          <w:color w:val="000000"/>
          <w:sz w:val="22"/>
        </w:rPr>
        <w:t xml:space="preserve">means (i) any entity that, directly or indirectly, is controlled by, controls or is under common control with, the Company and (ii) any entity in which the Company has a significant equity interest, in either case as determined by the Committee, whether now or hereafter existing.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28.2.    </w:t>
      </w:r>
      <w:r>
        <w:rPr>
          <w:color w:val="000000"/>
        </w:rPr>
        <w:t>“</w:t>
      </w:r>
      <w:r>
        <w:rPr>
          <w:rFonts w:ascii="Times New Roman;sans-serif" w:hAnsi="Times New Roman;sans-serif"/>
          <w:b/>
          <w:i/>
          <w:color w:val="000000"/>
          <w:sz w:val="22"/>
        </w:rPr>
        <w:t>Award</w:t>
      </w:r>
      <w:r>
        <w:rPr>
          <w:color w:val="000000"/>
        </w:rPr>
        <w:t xml:space="preserve">” </w:t>
      </w:r>
      <w:r>
        <w:rPr>
          <w:rFonts w:ascii="Times New Roman;sans-serif" w:hAnsi="Times New Roman;sans-serif"/>
          <w:b w:val="false"/>
          <w:color w:val="000000"/>
          <w:sz w:val="22"/>
        </w:rPr>
        <w:t>means any award under the Plan, including any Option, Restricted Stock, Stock Bonus, Stock Appreciation Right, Restricted Stock Unit or award of Performance Shares.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28.3.    </w:t>
      </w:r>
      <w:r>
        <w:rPr>
          <w:color w:val="000000"/>
        </w:rPr>
        <w:t>“</w:t>
      </w:r>
      <w:r>
        <w:rPr>
          <w:rFonts w:ascii="Times New Roman;sans-serif" w:hAnsi="Times New Roman;sans-serif"/>
          <w:b/>
          <w:i/>
          <w:color w:val="000000"/>
          <w:sz w:val="22"/>
        </w:rPr>
        <w:t>Award Agreement</w:t>
      </w:r>
      <w:r>
        <w:rPr>
          <w:color w:val="000000"/>
        </w:rPr>
        <w:t xml:space="preserve">” </w:t>
      </w:r>
      <w:r>
        <w:rPr>
          <w:rFonts w:ascii="Times New Roman;sans-serif" w:hAnsi="Times New Roman;sans-serif"/>
          <w:b w:val="false"/>
          <w:color w:val="000000"/>
          <w:sz w:val="22"/>
        </w:rPr>
        <w:t>means, with respect to each Award, the written or electronic agreement between the Company and the 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28.4.    </w:t>
      </w:r>
      <w:r>
        <w:rPr>
          <w:color w:val="000000"/>
        </w:rPr>
        <w:t>“</w:t>
      </w:r>
      <w:r>
        <w:rPr>
          <w:rFonts w:ascii="Times New Roman;sans-serif" w:hAnsi="Times New Roman;sans-serif"/>
          <w:b/>
          <w:i/>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28.5.    </w:t>
      </w:r>
      <w:r>
        <w:rPr>
          <w:color w:val="000000"/>
        </w:rPr>
        <w:t>“</w:t>
      </w:r>
      <w:r>
        <w:rPr>
          <w:rFonts w:ascii="Times New Roman;sans-serif" w:hAnsi="Times New Roman;sans-serif"/>
          <w:b/>
          <w:i/>
          <w:color w:val="000000"/>
          <w:sz w:val="22"/>
        </w:rPr>
        <w:t>Cause</w:t>
      </w:r>
      <w:r>
        <w:rPr>
          <w:color w:val="000000"/>
        </w:rPr>
        <w:t xml:space="preserve">” </w:t>
      </w:r>
      <w:r>
        <w:rPr>
          <w:rFonts w:ascii="Times New Roman;sans-serif" w:hAnsi="Times New Roman;sans-serif"/>
          <w:b w:val="false"/>
          <w:color w:val="000000"/>
          <w:sz w:val="22"/>
        </w:rPr>
        <w:t xml:space="preserve">means the occurrence of any one or more of the following: (i) Participant’s commission of any crime involving fraud, dishonesty or moral turpitude; (ii) Participant’s attempted commission of or participation in a fraud or act of dishonesty against the Company that results in (or might have reasonably resulted in) material harm to the business of the Company; (iii) Participant’s intentional, material violation of any contract or agreement between Participant and the Company or any statutory duty Participant owes to the Company; or (iv) Participant’s conduct that constitutes gross insubordination, incompetence or habitual neglect of duties that results in (or might have reasonably resulted in) material harm to the business of the Company; provided, however, that the action or conduct described in clauses (iii) and (iv) above will constitute “Cause” only if such action or conduct continues after the Company has provided Participant with written notice thereof and thirty (30) days to cure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pPr>
      <w:r>
        <w:rPr>
          <w:rFonts w:ascii="Times New Roman;sans-serif" w:hAnsi="Times New Roman;sans-serif"/>
          <w:b w:val="false"/>
          <w:color w:val="000000"/>
          <w:sz w:val="22"/>
        </w:rPr>
        <w:t xml:space="preserve">same.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w:t>
      </w:r>
      <w:r>
        <w:rPr>
          <w:rFonts w:ascii="Times New Roman;sans-serif" w:hAnsi="Times New Roman;sans-serif"/>
          <w:b w:val="false"/>
          <w:color w:val="000000"/>
          <w:sz w:val="22"/>
          <w:u w:val="single"/>
        </w:rPr>
        <w:t>Section 20</w:t>
      </w:r>
      <w:r>
        <w:rPr>
          <w:color w:val="000000"/>
        </w:rPr>
        <w:t xml:space="preserve"> </w:t>
      </w:r>
      <w:r>
        <w:rPr>
          <w:rFonts w:ascii="Times New Roman;sans-serif" w:hAnsi="Times New Roman;sans-serif"/>
          <w:b w:val="false"/>
          <w:color w:val="000000"/>
          <w:sz w:val="22"/>
        </w:rPr>
        <w:t>above, and the term “Company” will be interpreted to include any Subsidiary or Parent, as appropriate.</w:t>
      </w:r>
      <w:r>
        <w:rPr>
          <w:color w:val="000000"/>
        </w:rPr>
        <w:t xml:space="preserve"> </w:t>
      </w:r>
      <w:r>
        <w:rPr>
          <w:rFonts w:ascii="Times New Roman;sans-serif" w:hAnsi="Times New Roman;sans-serif"/>
          <w:b w:val="false"/>
          <w:color w:val="000000"/>
          <w:sz w:val="22"/>
        </w:rPr>
        <w:t xml:space="preserve">Notwithstanding the foregoing, the foregoing definition of “Cause” may, in part or in whole, be modified or replaced in each individual employment agreement or Award Agreement with any Participant, provided that such document supersedes the definition provided in this </w:t>
      </w:r>
      <w:r>
        <w:rPr>
          <w:rFonts w:ascii="Times New Roman;sans-serif" w:hAnsi="Times New Roman;sans-serif"/>
          <w:b w:val="false"/>
          <w:color w:val="000000"/>
          <w:sz w:val="22"/>
          <w:u w:val="single"/>
        </w:rPr>
        <w:t>Section 28.6</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28.6.    </w:t>
      </w: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United States Internal Revenue Code of 1986, as amended, and the regulations promulgated thereunder.</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28.7.    </w:t>
      </w:r>
      <w:r>
        <w:rPr>
          <w:color w:val="000000"/>
        </w:rPr>
        <w:t>“</w:t>
      </w:r>
      <w:r>
        <w:rPr>
          <w:rFonts w:ascii="Times New Roman;sans-serif" w:hAnsi="Times New Roman;sans-serif"/>
          <w:b/>
          <w:i/>
          <w:color w:val="000000"/>
          <w:sz w:val="22"/>
        </w:rPr>
        <w:t>Committee</w:t>
      </w:r>
      <w:r>
        <w:rPr>
          <w:color w:val="000000"/>
        </w:rPr>
        <w:t xml:space="preserve">” </w:t>
      </w:r>
      <w:r>
        <w:rPr>
          <w:rFonts w:ascii="Times New Roman;sans-serif" w:hAnsi="Times New Roman;sans-serif"/>
          <w:b w:val="false"/>
          <w:color w:val="000000"/>
          <w:sz w:val="22"/>
        </w:rPr>
        <w:t xml:space="preserve">means the Compensation Committee of the Board or those persons to whom administration of the Plan, or part of the Plan, has been delegated as permitted by law.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28.8.    </w:t>
      </w:r>
      <w:r>
        <w:rPr>
          <w:color w:val="000000"/>
        </w:rPr>
        <w:t>“</w:t>
      </w:r>
      <w:r>
        <w:rPr>
          <w:rFonts w:ascii="Times New Roman;sans-serif" w:hAnsi="Times New Roman;sans-serif"/>
          <w:b/>
          <w:i/>
          <w:color w:val="000000"/>
          <w:sz w:val="22"/>
        </w:rPr>
        <w:t>Common Stock</w:t>
      </w:r>
      <w:r>
        <w:rPr>
          <w:color w:val="000000"/>
        </w:rPr>
        <w:t xml:space="preserve">” </w:t>
      </w:r>
      <w:r>
        <w:rPr>
          <w:rFonts w:ascii="Times New Roman;sans-serif" w:hAnsi="Times New Roman;sans-serif"/>
          <w:b w:val="false"/>
          <w:color w:val="000000"/>
          <w:sz w:val="22"/>
        </w:rPr>
        <w:t>means the common stock of the Company.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28.9.    </w:t>
      </w:r>
      <w:r>
        <w:rPr>
          <w:color w:val="000000"/>
        </w:rPr>
        <w:t>“</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means AnaptysBio, Inc. or any successor corporation.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28.10.    </w:t>
      </w:r>
      <w:r>
        <w:rPr>
          <w:color w:val="000000"/>
        </w:rPr>
        <w:t>“</w:t>
      </w:r>
      <w:r>
        <w:rPr>
          <w:rFonts w:ascii="Times New Roman;sans-serif" w:hAnsi="Times New Roman;sans-serif"/>
          <w:b/>
          <w:i/>
          <w:color w:val="000000"/>
          <w:sz w:val="22"/>
        </w:rPr>
        <w:t>Consultant</w:t>
      </w:r>
      <w:r>
        <w:rPr>
          <w:color w:val="000000"/>
        </w:rPr>
        <w:t xml:space="preserve">” </w:t>
      </w:r>
      <w:r>
        <w:rPr>
          <w:rFonts w:ascii="Times New Roman;sans-serif" w:hAnsi="Times New Roman;sans-serif"/>
          <w:b w:val="false"/>
          <w:color w:val="000000"/>
          <w:sz w:val="22"/>
        </w:rPr>
        <w:t>means any natural person, including an advisor or independent contractor, engaged by the Company or a Parent, Subsidiary or Affiliate to render services to such entity.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28.11.    </w:t>
      </w:r>
      <w:r>
        <w:rPr>
          <w:color w:val="000000"/>
        </w:rPr>
        <w:t>“</w:t>
      </w:r>
      <w:r>
        <w:rPr>
          <w:rFonts w:ascii="Times New Roman;sans-serif" w:hAnsi="Times New Roman;sans-serif"/>
          <w:b/>
          <w:i/>
          <w:color w:val="000000"/>
          <w:sz w:val="22"/>
        </w:rPr>
        <w:t>Corporate Transaction</w:t>
      </w:r>
      <w:r>
        <w:rPr>
          <w:color w:val="000000"/>
        </w:rPr>
        <w:t xml:space="preserve">” </w:t>
      </w:r>
      <w:r>
        <w:rPr>
          <w:rFonts w:ascii="Times New Roman;sans-serif" w:hAnsi="Times New Roman;sans-serif"/>
          <w:b w:val="false"/>
          <w:color w:val="000000"/>
          <w:sz w:val="22"/>
        </w:rPr>
        <w:t xml:space="preserve">means the occurrence of any of the following events: (a)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Treasury Regulations and IRS guidance that has been promulgated or may be promulgated thereunder from time to time.</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28.12.    </w:t>
      </w:r>
      <w:r>
        <w:rPr>
          <w:color w:val="000000"/>
        </w:rPr>
        <w:t>“</w:t>
      </w:r>
      <w:r>
        <w:rPr>
          <w:rFonts w:ascii="Times New Roman;sans-serif" w:hAnsi="Times New Roman;sans-serif"/>
          <w:b/>
          <w:i/>
          <w:color w:val="000000"/>
          <w:sz w:val="22"/>
        </w:rPr>
        <w:t>Director</w:t>
      </w:r>
      <w:r>
        <w:rPr>
          <w:color w:val="000000"/>
        </w:rPr>
        <w:t xml:space="preserve">” </w:t>
      </w:r>
      <w:r>
        <w:rPr>
          <w:rFonts w:ascii="Times New Roman;sans-serif" w:hAnsi="Times New Roman;sans-serif"/>
          <w:b w:val="false"/>
          <w:color w:val="000000"/>
          <w:sz w:val="22"/>
        </w:rPr>
        <w:t xml:space="preserve">means a member of the Board.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28.13.    </w:t>
      </w:r>
      <w:r>
        <w:rPr>
          <w:color w:val="000000"/>
        </w:rPr>
        <w:t>“</w:t>
      </w:r>
      <w:r>
        <w:rPr>
          <w:rFonts w:ascii="Times New Roman;sans-serif" w:hAnsi="Times New Roman;sans-serif"/>
          <w:b/>
          <w:i/>
          <w:color w:val="000000"/>
          <w:sz w:val="22"/>
        </w:rPr>
        <w:t>Disability</w:t>
      </w:r>
      <w:r>
        <w:rPr>
          <w:color w:val="000000"/>
        </w:rPr>
        <w:t xml:space="preserve">” </w:t>
      </w:r>
      <w:r>
        <w:rPr>
          <w:rFonts w:ascii="Times New Roman;sans-serif" w:hAnsi="Times New Roman;sans-serif"/>
          <w:b w:val="false"/>
          <w:color w:val="000000"/>
          <w:sz w:val="22"/>
        </w:rPr>
        <w:t xml:space="preserve">means in the case of incentive stock options,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28.14.    </w:t>
      </w:r>
      <w:r>
        <w:rPr>
          <w:color w:val="000000"/>
        </w:rPr>
        <w:t>“</w:t>
      </w:r>
      <w:r>
        <w:rPr>
          <w:rFonts w:ascii="Times New Roman;sans-serif" w:hAnsi="Times New Roman;sans-serif"/>
          <w:b/>
          <w:i/>
          <w:color w:val="000000"/>
          <w:sz w:val="22"/>
        </w:rPr>
        <w:t>Dividend Equivalent Right”</w:t>
      </w:r>
      <w:r>
        <w:rPr>
          <w:color w:val="000000"/>
        </w:rPr>
        <w:t xml:space="preserve"> </w:t>
      </w:r>
      <w:r>
        <w:rPr>
          <w:rFonts w:ascii="Times New Roman;sans-serif" w:hAnsi="Times New Roman;sans-serif"/>
          <w:b w:val="false"/>
          <w:color w:val="000000"/>
          <w:sz w:val="22"/>
        </w:rPr>
        <w:t>means the right of a Participant, granted at the discretion of the Committee or as otherwise provided by the Plan, to receive a credit for the account of such Participant in an amount equal to the cash, stock or other property dividends in amounts equal equivalent to cash, stock or other property dividends for each Share represented by an Award held by such Participant.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28.15.    </w:t>
      </w:r>
      <w:r>
        <w:rPr>
          <w:color w:val="000000"/>
        </w:rPr>
        <w:t>“</w:t>
      </w:r>
      <w:r>
        <w:rPr>
          <w:rFonts w:ascii="Times New Roman;sans-serif" w:hAnsi="Times New Roman;sans-serif"/>
          <w:b/>
          <w:i/>
          <w:color w:val="000000"/>
          <w:sz w:val="22"/>
        </w:rPr>
        <w:t>Effective Date</w:t>
      </w:r>
      <w:r>
        <w:rPr>
          <w:color w:val="000000"/>
        </w:rPr>
        <w:t xml:space="preserve">” </w:t>
      </w:r>
      <w:r>
        <w:rPr>
          <w:rFonts w:ascii="Times New Roman;sans-serif" w:hAnsi="Times New Roman;sans-serif"/>
          <w:b w:val="false"/>
          <w:color w:val="000000"/>
          <w:sz w:val="22"/>
        </w:rPr>
        <w:t>means the date this Plan is approved by the stockholders of the Company (which shall be within twelve (12) months of the approval of this Plan by the Board).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28.16.    </w:t>
      </w:r>
      <w:r>
        <w:rPr>
          <w:color w:val="000000"/>
        </w:rPr>
        <w:t>“</w:t>
      </w:r>
      <w:r>
        <w:rPr>
          <w:rFonts w:ascii="Times New Roman;sans-serif" w:hAnsi="Times New Roman;sans-serif"/>
          <w:b/>
          <w:i/>
          <w:color w:val="000000"/>
          <w:sz w:val="22"/>
        </w:rPr>
        <w:t>Employee</w:t>
      </w:r>
      <w:r>
        <w:rPr>
          <w:color w:val="000000"/>
        </w:rPr>
        <w:t xml:space="preserve">” </w:t>
      </w:r>
      <w:r>
        <w:rPr>
          <w:rFonts w:ascii="Times New Roman;sans-serif" w:hAnsi="Times New Roman;sans-serif"/>
          <w:b w:val="false"/>
          <w:color w:val="000000"/>
          <w:sz w:val="22"/>
        </w:rPr>
        <w:t>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28.17.    </w:t>
      </w: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United States Securities Exchange Act of 1934, as amended.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28.18.    </w:t>
      </w:r>
      <w:r>
        <w:rPr>
          <w:color w:val="000000"/>
        </w:rPr>
        <w:t>“</w:t>
      </w:r>
      <w:r>
        <w:rPr>
          <w:rFonts w:ascii="Times New Roman;sans-serif" w:hAnsi="Times New Roman;sans-serif"/>
          <w:b/>
          <w:i/>
          <w:color w:val="000000"/>
          <w:sz w:val="22"/>
        </w:rPr>
        <w:t>Exchange Program</w:t>
      </w:r>
      <w:r>
        <w:rPr>
          <w:color w:val="000000"/>
        </w:rPr>
        <w:t xml:space="preserve">” </w:t>
      </w:r>
      <w:r>
        <w:rPr>
          <w:rFonts w:ascii="Times New Roman;sans-serif" w:hAnsi="Times New Roman;sans-serif"/>
          <w:b w:val="false"/>
          <w:color w:val="000000"/>
          <w:sz w:val="22"/>
        </w:rPr>
        <w:t>means a program pursuant to which (a) outstanding Awards are surrendered, cancelled or exchanged for cash, the same type of Award or a different Award (or combination thereof) or (b) the Exercise Price of an outstanding Award is increased or reduced.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28.19.    </w:t>
      </w:r>
      <w:r>
        <w:rPr>
          <w:color w:val="000000"/>
        </w:rPr>
        <w:t>“</w:t>
      </w:r>
      <w:r>
        <w:rPr>
          <w:rFonts w:ascii="Times New Roman;sans-serif" w:hAnsi="Times New Roman;sans-serif"/>
          <w:b/>
          <w:i/>
          <w:color w:val="000000"/>
          <w:sz w:val="22"/>
        </w:rPr>
        <w:t>Exercise Price</w:t>
      </w:r>
      <w:r>
        <w:rPr>
          <w:color w:val="000000"/>
        </w:rPr>
        <w:t xml:space="preserve">” </w:t>
      </w:r>
      <w:r>
        <w:rPr>
          <w:rFonts w:ascii="Times New Roman;sans-serif" w:hAnsi="Times New Roman;sans-serif"/>
          <w:b w:val="false"/>
          <w:color w:val="000000"/>
          <w:sz w:val="22"/>
        </w:rPr>
        <w:t>means, with respect to an Option, the price at which a holder may purchase the Shares issuable upon exercise of an Option and with respect to a SAR, the price at which the SAR is granted to the holder thereof.</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28.20.    </w:t>
      </w:r>
      <w:r>
        <w:rPr>
          <w:color w:val="000000"/>
        </w:rPr>
        <w:t>“</w:t>
      </w:r>
      <w:r>
        <w:rPr>
          <w:rFonts w:ascii="Times New Roman;sans-serif" w:hAnsi="Times New Roman;sans-serif"/>
          <w:b/>
          <w:i/>
          <w:color w:val="000000"/>
          <w:sz w:val="22"/>
        </w:rPr>
        <w:t>Fair Market Value</w:t>
      </w:r>
      <w:r>
        <w:rPr>
          <w:color w:val="000000"/>
        </w:rPr>
        <w:t xml:space="preserve">” </w:t>
      </w:r>
      <w:r>
        <w:rPr>
          <w:rFonts w:ascii="Times New Roman;sans-serif" w:hAnsi="Times New Roman;sans-serif"/>
          <w:b w:val="false"/>
          <w:color w:val="000000"/>
          <w:sz w:val="22"/>
        </w:rPr>
        <w:t>means, as of any date, the value of a Share of the Company’s Common Stock determined as follows: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sans-serif" w:hAnsi="Times New Roman;sans-serif"/>
          <w:b w:val="false"/>
          <w:i/>
          <w:color w:val="000000"/>
          <w:sz w:val="22"/>
        </w:rPr>
        <w:t xml:space="preserve">The Wall Street </w:t>
      </w:r>
      <w:r>
        <w:rPr>
          <w:rFonts w:ascii="Times New Roman;sans-serif" w:hAnsi="Times New Roman;sans-serif"/>
          <w:b w:val="false"/>
          <w:color w:val="000000"/>
          <w:sz w:val="22"/>
        </w:rPr>
        <w:t>Journal or such other source as the Committee deems reliable;</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sans-serif" w:hAnsi="Times New Roman;sans-serif"/>
          <w:b w:val="false"/>
          <w:i/>
          <w:color w:val="000000"/>
          <w:sz w:val="22"/>
        </w:rPr>
        <w:t>The Wall Street Journal</w:t>
      </w:r>
      <w:r>
        <w:rPr>
          <w:color w:val="000000"/>
        </w:rPr>
        <w:t xml:space="preserve"> </w:t>
      </w:r>
      <w:r>
        <w:rPr>
          <w:rFonts w:ascii="Times New Roman;sans-serif" w:hAnsi="Times New Roman;sans-serif"/>
          <w:b w:val="false"/>
          <w:color w:val="000000"/>
          <w:sz w:val="22"/>
        </w:rPr>
        <w:t>or such other source as the Committee deems reliable; or</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by the Board or the Committee in good faith.</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28.21.    </w:t>
      </w:r>
      <w:r>
        <w:rPr>
          <w:color w:val="000000"/>
        </w:rPr>
        <w:t>“</w:t>
      </w:r>
      <w:r>
        <w:rPr>
          <w:rFonts w:ascii="Times New Roman;sans-serif" w:hAnsi="Times New Roman;sans-serif"/>
          <w:b/>
          <w:i/>
          <w:color w:val="000000"/>
          <w:sz w:val="22"/>
        </w:rPr>
        <w:t>Insider</w:t>
      </w:r>
      <w:r>
        <w:rPr>
          <w:color w:val="000000"/>
        </w:rPr>
        <w:t xml:space="preserve">” </w:t>
      </w:r>
      <w:r>
        <w:rPr>
          <w:rFonts w:ascii="Times New Roman;sans-serif" w:hAnsi="Times New Roman;sans-serif"/>
          <w:b w:val="false"/>
          <w:color w:val="000000"/>
          <w:sz w:val="22"/>
        </w:rPr>
        <w:t>means an officer or Director of the Company or any other person whose transactions in the Company’s Common Stock are subject to Section 16 of the Exchange Act.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28.22.    </w:t>
      </w:r>
      <w:r>
        <w:rPr>
          <w:color w:val="000000"/>
        </w:rPr>
        <w:t>“</w:t>
      </w:r>
      <w:r>
        <w:rPr>
          <w:rFonts w:ascii="Times New Roman;sans-serif" w:hAnsi="Times New Roman;sans-serif"/>
          <w:b/>
          <w:i/>
          <w:color w:val="000000"/>
          <w:sz w:val="22"/>
        </w:rPr>
        <w:t>IRS</w:t>
      </w:r>
      <w:r>
        <w:rPr>
          <w:color w:val="000000"/>
        </w:rPr>
        <w:t xml:space="preserve">” </w:t>
      </w:r>
      <w:r>
        <w:rPr>
          <w:rFonts w:ascii="Times New Roman;sans-serif" w:hAnsi="Times New Roman;sans-serif"/>
          <w:b w:val="false"/>
          <w:color w:val="000000"/>
          <w:sz w:val="22"/>
        </w:rPr>
        <w:t>means the United States Internal Revenue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28.23.    </w:t>
      </w:r>
      <w:r>
        <w:rPr>
          <w:color w:val="000000"/>
        </w:rPr>
        <w:t>“</w:t>
      </w:r>
      <w:r>
        <w:rPr>
          <w:rFonts w:ascii="Times New Roman;sans-serif" w:hAnsi="Times New Roman;sans-serif"/>
          <w:b/>
          <w:i/>
          <w:color w:val="000000"/>
          <w:sz w:val="22"/>
        </w:rPr>
        <w:t>Non-Employee Director</w:t>
      </w:r>
      <w:r>
        <w:rPr>
          <w:color w:val="000000"/>
        </w:rPr>
        <w:t xml:space="preserve">” </w:t>
      </w:r>
      <w:r>
        <w:rPr>
          <w:rFonts w:ascii="Times New Roman;sans-serif" w:hAnsi="Times New Roman;sans-serif"/>
          <w:b w:val="false"/>
          <w:color w:val="000000"/>
          <w:sz w:val="22"/>
        </w:rPr>
        <w:t>means a Director who is not an Employee of the Company or any Parent or Subsidiary.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28.24.    </w:t>
      </w:r>
      <w:r>
        <w:rPr>
          <w:color w:val="000000"/>
        </w:rPr>
        <w:t>“</w:t>
      </w:r>
      <w:r>
        <w:rPr>
          <w:rFonts w:ascii="Times New Roman;sans-serif" w:hAnsi="Times New Roman;sans-serif"/>
          <w:b/>
          <w:i/>
          <w:color w:val="000000"/>
          <w:sz w:val="22"/>
        </w:rPr>
        <w:t>Option</w:t>
      </w:r>
      <w:r>
        <w:rPr>
          <w:color w:val="000000"/>
        </w:rPr>
        <w:t xml:space="preserve">” </w:t>
      </w:r>
      <w:r>
        <w:rPr>
          <w:rFonts w:ascii="Times New Roman;sans-serif" w:hAnsi="Times New Roman;sans-serif"/>
          <w:b w:val="false"/>
          <w:color w:val="000000"/>
          <w:sz w:val="22"/>
        </w:rPr>
        <w:t xml:space="preserve">means an Award of an option to purchase Shares pursuant to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28.25.    </w:t>
      </w:r>
      <w:r>
        <w:rPr>
          <w:color w:val="000000"/>
        </w:rPr>
        <w:t>“</w:t>
      </w:r>
      <w:r>
        <w:rPr>
          <w:rFonts w:ascii="Times New Roman;sans-serif" w:hAnsi="Times New Roman;sans-serif"/>
          <w:b/>
          <w:i/>
          <w:color w:val="000000"/>
          <w:sz w:val="22"/>
        </w:rPr>
        <w:t>Original Effective Date</w:t>
      </w:r>
      <w:r>
        <w:rPr>
          <w:color w:val="000000"/>
        </w:rPr>
        <w:t xml:space="preserve">” </w:t>
      </w:r>
      <w:r>
        <w:rPr>
          <w:rFonts w:ascii="Times New Roman;sans-serif" w:hAnsi="Times New Roman;sans-serif"/>
          <w:b w:val="false"/>
          <w:color w:val="000000"/>
          <w:sz w:val="22"/>
        </w:rPr>
        <w:t>means January 24, 2017, the day immediately prior to the date of the underwritten initial public offering of the Company’s Common Stock pursuant to a registration statement that is declared effective by the SEC.</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28.26.    </w:t>
      </w:r>
      <w:r>
        <w:rPr>
          <w:color w:val="000000"/>
        </w:rPr>
        <w:t>“</w:t>
      </w:r>
      <w:r>
        <w:rPr>
          <w:rFonts w:ascii="Times New Roman;sans-serif" w:hAnsi="Times New Roman;sans-serif"/>
          <w:b/>
          <w:i/>
          <w:color w:val="000000"/>
          <w:sz w:val="22"/>
        </w:rPr>
        <w:t>Parent</w:t>
      </w:r>
      <w:r>
        <w:rPr>
          <w:color w:val="000000"/>
        </w:rPr>
        <w:t xml:space="preserve">” </w:t>
      </w:r>
      <w:r>
        <w:rPr>
          <w:rFonts w:ascii="Times New Roman;sans-serif" w:hAnsi="Times New Roman;sans-serif"/>
          <w:b w:val="false"/>
          <w:color w:val="000000"/>
          <w:sz w:val="22"/>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28.27.    </w:t>
      </w:r>
      <w:r>
        <w:rPr>
          <w:color w:val="000000"/>
        </w:rPr>
        <w:t>“</w:t>
      </w:r>
      <w:r>
        <w:rPr>
          <w:rFonts w:ascii="Times New Roman;sans-serif" w:hAnsi="Times New Roman;sans-serif"/>
          <w:b/>
          <w:i/>
          <w:color w:val="000000"/>
          <w:sz w:val="22"/>
        </w:rPr>
        <w:t>Participant</w:t>
      </w:r>
      <w:r>
        <w:rPr>
          <w:color w:val="000000"/>
        </w:rPr>
        <w:t xml:space="preserve">” </w:t>
      </w:r>
      <w:r>
        <w:rPr>
          <w:rFonts w:ascii="Times New Roman;sans-serif" w:hAnsi="Times New Roman;sans-serif"/>
          <w:b w:val="false"/>
          <w:color w:val="000000"/>
          <w:sz w:val="22"/>
        </w:rPr>
        <w:t xml:space="preserve">means a person who holds an Award under this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28.28.    </w:t>
      </w:r>
      <w:r>
        <w:rPr>
          <w:color w:val="000000"/>
        </w:rPr>
        <w:t>“</w:t>
      </w:r>
      <w:r>
        <w:rPr>
          <w:rFonts w:ascii="Times New Roman;sans-serif" w:hAnsi="Times New Roman;sans-serif"/>
          <w:b/>
          <w:i/>
          <w:color w:val="000000"/>
          <w:sz w:val="22"/>
        </w:rPr>
        <w:t>Performance Award</w:t>
      </w:r>
      <w:r>
        <w:rPr>
          <w:color w:val="000000"/>
        </w:rPr>
        <w:t xml:space="preserve">” </w:t>
      </w:r>
      <w:r>
        <w:rPr>
          <w:rFonts w:ascii="Times New Roman;sans-serif" w:hAnsi="Times New Roman;sans-serif"/>
          <w:b w:val="false"/>
          <w:color w:val="000000"/>
          <w:sz w:val="22"/>
        </w:rPr>
        <w:t xml:space="preserve">means cash or Shares granted pursuant to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of the Plan.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28.29.    </w:t>
      </w:r>
      <w:r>
        <w:rPr>
          <w:color w:val="000000"/>
        </w:rPr>
        <w:t>“</w:t>
      </w:r>
      <w:r>
        <w:rPr>
          <w:rFonts w:ascii="Times New Roman;sans-serif" w:hAnsi="Times New Roman;sans-serif"/>
          <w:b/>
          <w:i/>
          <w:color w:val="000000"/>
          <w:sz w:val="22"/>
        </w:rPr>
        <w:t>Performance Factors”</w:t>
      </w:r>
      <w:r>
        <w:rPr>
          <w:color w:val="000000"/>
        </w:rPr>
        <w:t xml:space="preserve"> </w:t>
      </w:r>
      <w:r>
        <w:rPr>
          <w:rFonts w:ascii="Times New Roman;sans-serif" w:hAnsi="Times New Roman;sans-serif"/>
          <w:b w:val="false"/>
          <w:color w:val="000000"/>
          <w:sz w:val="22"/>
        </w:rPr>
        <w:t xml:space="preserve">means any of the factors selected by the Committee and specified in an Award Agreement, from among the following objective or subjective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Profit Before Tax;</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Billings;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Revenue;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Net revenue;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Earnings (which may include earnings before interest and taxes, earnings before taxes, net earnings, stock-based compensation expenses, depreciation and amortization);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Operating income;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Operating margin;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Operating profit;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Controllable operating profit, or net operating profit;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 xml:space="preserve">Net Profit;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 xml:space="preserve">Gross margin;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 xml:space="preserve">Operating expenses or operating expenses as a percentage of revenue;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(m)    </w:t>
      </w:r>
      <w:r>
        <w:rPr>
          <w:color w:val="000000"/>
        </w:rPr>
        <w:t xml:space="preserve"> </w:t>
      </w:r>
      <w:r>
        <w:rPr>
          <w:rFonts w:ascii="Times New Roman;sans-serif" w:hAnsi="Times New Roman;sans-serif"/>
          <w:b w:val="false"/>
          <w:color w:val="000000"/>
          <w:sz w:val="22"/>
        </w:rPr>
        <w:t xml:space="preserve">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 xml:space="preserve">Earnings per share;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(o)    </w:t>
      </w:r>
      <w:r>
        <w:rPr>
          <w:rFonts w:ascii="Times New Roman;sans-serif" w:hAnsi="Times New Roman;sans-serif"/>
          <w:b w:val="false"/>
          <w:color w:val="000000"/>
          <w:sz w:val="22"/>
        </w:rPr>
        <w:t xml:space="preserve">Total stockholder return;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(p)    </w:t>
      </w:r>
      <w:r>
        <w:rPr>
          <w:rFonts w:ascii="Times New Roman;sans-serif" w:hAnsi="Times New Roman;sans-serif"/>
          <w:b w:val="false"/>
          <w:color w:val="000000"/>
          <w:sz w:val="22"/>
        </w:rPr>
        <w:t xml:space="preserve">Market share;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(q)    </w:t>
      </w:r>
      <w:r>
        <w:rPr>
          <w:rFonts w:ascii="Times New Roman;sans-serif" w:hAnsi="Times New Roman;sans-serif"/>
          <w:b w:val="false"/>
          <w:color w:val="000000"/>
          <w:sz w:val="22"/>
        </w:rPr>
        <w:t xml:space="preserve">Return on assets or net assets;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(r)    </w:t>
      </w:r>
      <w:r>
        <w:rPr>
          <w:rFonts w:ascii="Times New Roman;sans-serif" w:hAnsi="Times New Roman;sans-serif"/>
          <w:b w:val="false"/>
          <w:color w:val="000000"/>
          <w:sz w:val="22"/>
        </w:rPr>
        <w:t xml:space="preserve">The Company’s stock price;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(s)    </w:t>
      </w:r>
      <w:r>
        <w:rPr>
          <w:rFonts w:ascii="Times New Roman;sans-serif" w:hAnsi="Times New Roman;sans-serif"/>
          <w:b w:val="false"/>
          <w:color w:val="000000"/>
          <w:sz w:val="22"/>
        </w:rPr>
        <w:t xml:space="preserve">Growth in stockholder value relative to a pre-determined index;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(t)    </w:t>
      </w:r>
      <w:r>
        <w:rPr>
          <w:rFonts w:ascii="Times New Roman;sans-serif" w:hAnsi="Times New Roman;sans-serif"/>
          <w:b w:val="false"/>
          <w:color w:val="000000"/>
          <w:sz w:val="22"/>
        </w:rPr>
        <w:t xml:space="preserve">Return on equity;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(u)    </w:t>
      </w:r>
      <w:r>
        <w:rPr>
          <w:rFonts w:ascii="Times New Roman;sans-serif" w:hAnsi="Times New Roman;sans-serif"/>
          <w:b w:val="false"/>
          <w:color w:val="000000"/>
          <w:sz w:val="22"/>
        </w:rPr>
        <w:t xml:space="preserve">Return on invested capital;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 xml:space="preserve">Cash Flow (including free cash flow or operating cash flows)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(w)    </w:t>
      </w:r>
      <w:r>
        <w:rPr>
          <w:rFonts w:ascii="Times New Roman;sans-serif" w:hAnsi="Times New Roman;sans-serif"/>
          <w:b w:val="false"/>
          <w:color w:val="000000"/>
          <w:sz w:val="22"/>
        </w:rPr>
        <w:t xml:space="preserve">Cash conversion cycle;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(x)    </w:t>
      </w:r>
      <w:r>
        <w:rPr>
          <w:rFonts w:ascii="Times New Roman;sans-serif" w:hAnsi="Times New Roman;sans-serif"/>
          <w:b w:val="false"/>
          <w:color w:val="000000"/>
          <w:sz w:val="22"/>
        </w:rPr>
        <w:t xml:space="preserve">Economic value added;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(y)    </w:t>
      </w:r>
      <w:r>
        <w:rPr>
          <w:rFonts w:ascii="Times New Roman;sans-serif" w:hAnsi="Times New Roman;sans-serif"/>
          <w:b w:val="false"/>
          <w:color w:val="000000"/>
          <w:sz w:val="22"/>
        </w:rPr>
        <w:t xml:space="preserve">Individual confidential business objectives;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(z)    </w:t>
      </w:r>
      <w:r>
        <w:rPr>
          <w:rFonts w:ascii="Times New Roman;sans-serif" w:hAnsi="Times New Roman;sans-serif"/>
          <w:b w:val="false"/>
          <w:color w:val="000000"/>
          <w:sz w:val="22"/>
        </w:rPr>
        <w:t xml:space="preserve">Contract awards or backlog;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(aa)    </w:t>
      </w:r>
      <w:r>
        <w:rPr>
          <w:rFonts w:ascii="Times New Roman;sans-serif" w:hAnsi="Times New Roman;sans-serif"/>
          <w:b w:val="false"/>
          <w:color w:val="000000"/>
          <w:sz w:val="22"/>
        </w:rPr>
        <w:t xml:space="preserve">Overhead or other expense reduction;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(bb)    </w:t>
      </w:r>
      <w:r>
        <w:rPr>
          <w:rFonts w:ascii="Times New Roman;sans-serif" w:hAnsi="Times New Roman;sans-serif"/>
          <w:b w:val="false"/>
          <w:color w:val="000000"/>
          <w:sz w:val="22"/>
        </w:rPr>
        <w:t xml:space="preserve">Credit rating;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(cc)    </w:t>
      </w:r>
      <w:r>
        <w:rPr>
          <w:rFonts w:ascii="Times New Roman;sans-serif" w:hAnsi="Times New Roman;sans-serif"/>
          <w:b w:val="false"/>
          <w:color w:val="000000"/>
          <w:sz w:val="22"/>
        </w:rPr>
        <w:t xml:space="preserve">Strategic plan development and implementation;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(dd)    </w:t>
      </w:r>
      <w:r>
        <w:rPr>
          <w:rFonts w:ascii="Times New Roman;sans-serif" w:hAnsi="Times New Roman;sans-serif"/>
          <w:b w:val="false"/>
          <w:color w:val="000000"/>
          <w:sz w:val="22"/>
        </w:rPr>
        <w:t xml:space="preserve">Succession plan development and implementation;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(ee)    </w:t>
      </w:r>
      <w:r>
        <w:rPr>
          <w:rFonts w:ascii="Times New Roman;sans-serif" w:hAnsi="Times New Roman;sans-serif"/>
          <w:b w:val="false"/>
          <w:color w:val="000000"/>
          <w:sz w:val="22"/>
        </w:rPr>
        <w:t xml:space="preserve">Improvement in workforce diversity;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(ff)    </w:t>
      </w:r>
      <w:r>
        <w:rPr>
          <w:rFonts w:ascii="Times New Roman;sans-serif" w:hAnsi="Times New Roman;sans-serif"/>
          <w:b w:val="false"/>
          <w:color w:val="000000"/>
          <w:sz w:val="22"/>
        </w:rPr>
        <w:t xml:space="preserve">Customer indicators and/or satisfaction;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(gg)    </w:t>
      </w:r>
      <w:r>
        <w:rPr>
          <w:rFonts w:ascii="Times New Roman;sans-serif" w:hAnsi="Times New Roman;sans-serif"/>
          <w:b w:val="false"/>
          <w:color w:val="000000"/>
          <w:sz w:val="22"/>
        </w:rPr>
        <w:t xml:space="preserve">New product invention or innovation;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(hh)    </w:t>
      </w:r>
      <w:r>
        <w:rPr>
          <w:rFonts w:ascii="Times New Roman;sans-serif" w:hAnsi="Times New Roman;sans-serif"/>
          <w:b w:val="false"/>
          <w:color w:val="000000"/>
          <w:sz w:val="22"/>
        </w:rPr>
        <w:t xml:space="preserve">Attainment of research and development milestones;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Improvements in productivity;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(jj)    </w:t>
      </w:r>
      <w:r>
        <w:rPr>
          <w:rFonts w:ascii="Times New Roman;sans-serif" w:hAnsi="Times New Roman;sans-serif"/>
          <w:b w:val="false"/>
          <w:color w:val="000000"/>
          <w:sz w:val="22"/>
        </w:rPr>
        <w:t>Bookings;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(kk)    </w:t>
      </w:r>
      <w:r>
        <w:rPr>
          <w:rFonts w:ascii="Times New Roman;sans-serif" w:hAnsi="Times New Roman;sans-serif"/>
          <w:b w:val="false"/>
          <w:color w:val="000000"/>
          <w:sz w:val="22"/>
        </w:rPr>
        <w:t xml:space="preserve">Attainment of objective operating goals and employee metrics;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(ll)    </w:t>
      </w:r>
      <w:r>
        <w:rPr>
          <w:rFonts w:ascii="Times New Roman;sans-serif" w:hAnsi="Times New Roman;sans-serif"/>
          <w:b w:val="false"/>
          <w:color w:val="000000"/>
          <w:sz w:val="22"/>
        </w:rPr>
        <w:t>Sales;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(mm)    </w:t>
      </w:r>
      <w:r>
        <w:rPr>
          <w:rFonts w:ascii="Times New Roman;sans-serif" w:hAnsi="Times New Roman;sans-serif"/>
          <w:b w:val="false"/>
          <w:color w:val="000000"/>
          <w:sz w:val="22"/>
        </w:rPr>
        <w:t xml:space="preserve">Expenses;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(nn)    </w:t>
      </w:r>
      <w:r>
        <w:rPr>
          <w:rFonts w:ascii="Times New Roman;sans-serif" w:hAnsi="Times New Roman;sans-serif"/>
          <w:b w:val="false"/>
          <w:color w:val="000000"/>
          <w:sz w:val="22"/>
        </w:rPr>
        <w:t>Balance of cash,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(oo)    </w:t>
      </w:r>
      <w:r>
        <w:rPr>
          <w:rFonts w:ascii="Times New Roman;sans-serif" w:hAnsi="Times New Roman;sans-serif"/>
          <w:b w:val="false"/>
          <w:color w:val="000000"/>
          <w:sz w:val="22"/>
        </w:rPr>
        <w:t>Completion of an identified special project;</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(pp)    </w:t>
      </w:r>
      <w:r>
        <w:rPr>
          <w:rFonts w:ascii="Times New Roman;sans-serif" w:hAnsi="Times New Roman;sans-serif"/>
          <w:b w:val="false"/>
          <w:color w:val="000000"/>
          <w:sz w:val="22"/>
        </w:rPr>
        <w:t>Completion of a joint venture or other corporate transaction;</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(qq)    </w:t>
      </w:r>
      <w:r>
        <w:rPr>
          <w:rFonts w:ascii="Times New Roman;sans-serif" w:hAnsi="Times New Roman;sans-serif"/>
          <w:b w:val="false"/>
          <w:color w:val="000000"/>
          <w:sz w:val="22"/>
        </w:rPr>
        <w:t>Employee satisfaction and/or retention;</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(rr)    </w:t>
      </w:r>
      <w:r>
        <w:rPr>
          <w:rFonts w:ascii="Times New Roman;sans-serif" w:hAnsi="Times New Roman;sans-serif"/>
          <w:b w:val="false"/>
          <w:color w:val="000000"/>
          <w:sz w:val="22"/>
        </w:rPr>
        <w:t>Research and development expenses;</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(ss)    </w:t>
      </w:r>
      <w:r>
        <w:rPr>
          <w:rFonts w:ascii="Times New Roman;sans-serif" w:hAnsi="Times New Roman;sans-serif"/>
          <w:b w:val="false"/>
          <w:color w:val="000000"/>
          <w:sz w:val="22"/>
        </w:rPr>
        <w:t xml:space="preserve">Working capital targets and changes in working capital; and </w:t>
      </w:r>
    </w:p>
    <w:p>
      <w:pPr>
        <w:pStyle w:val="TextBody"/>
        <w:bidi w:val="0"/>
        <w:spacing w:lineRule="atLeast" w:line="240" w:before="240" w:after="283"/>
        <w:ind w:left="0" w:right="0" w:firstLine="1440"/>
        <w:jc w:val="both"/>
        <w:rPr/>
      </w:pPr>
      <w:r>
        <w:rPr>
          <w:rFonts w:ascii="Times New Roman;sans-serif" w:hAnsi="Times New Roman;sans-serif"/>
          <w:b w:val="false"/>
          <w:color w:val="010000"/>
          <w:sz w:val="22"/>
        </w:rPr>
        <w:t>(tt)    </w:t>
      </w:r>
      <w:r>
        <w:rPr>
          <w:rFonts w:ascii="Times New Roman;sans-serif" w:hAnsi="Times New Roman;sans-serif"/>
          <w:b w:val="false"/>
          <w:color w:val="000000"/>
          <w:sz w:val="22"/>
        </w:rPr>
        <w:t>(Any other metric that is capable of measurement as determined by the Committee.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28.30.    </w:t>
      </w:r>
      <w:r>
        <w:rPr>
          <w:color w:val="000000"/>
        </w:rPr>
        <w:t>“</w:t>
      </w:r>
      <w:r>
        <w:rPr>
          <w:rFonts w:ascii="Times New Roman;sans-serif" w:hAnsi="Times New Roman;sans-serif"/>
          <w:b/>
          <w:i/>
          <w:color w:val="000000"/>
          <w:sz w:val="22"/>
        </w:rPr>
        <w:t>Performance Period</w:t>
      </w:r>
      <w:r>
        <w:rPr>
          <w:color w:val="000000"/>
        </w:rPr>
        <w:t xml:space="preserve">” </w:t>
      </w:r>
      <w:r>
        <w:rPr>
          <w:rFonts w:ascii="Times New Roman;sans-serif" w:hAnsi="Times New Roman;sans-serif"/>
          <w:b w:val="false"/>
          <w:color w:val="000000"/>
          <w:sz w:val="22"/>
        </w:rPr>
        <w:t xml:space="preserve">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28.31.    </w:t>
      </w:r>
      <w:r>
        <w:rPr>
          <w:color w:val="000000"/>
        </w:rPr>
        <w:t>“</w:t>
      </w:r>
      <w:r>
        <w:rPr>
          <w:rFonts w:ascii="Times New Roman;sans-serif" w:hAnsi="Times New Roman;sans-serif"/>
          <w:b/>
          <w:i/>
          <w:color w:val="000000"/>
          <w:sz w:val="22"/>
        </w:rPr>
        <w:t>Performance Share</w:t>
      </w:r>
      <w:r>
        <w:rPr>
          <w:color w:val="000000"/>
        </w:rPr>
        <w:t xml:space="preserve">” </w:t>
      </w:r>
      <w:r>
        <w:rPr>
          <w:rFonts w:ascii="Times New Roman;sans-serif" w:hAnsi="Times New Roman;sans-serif"/>
          <w:b w:val="false"/>
          <w:color w:val="000000"/>
          <w:sz w:val="22"/>
        </w:rPr>
        <w:t xml:space="preserve">means an Award granted pursuant to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of the Plan, the payment of which is contingent upon achieving certain performance goals established by the Committee.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28.32.    </w:t>
      </w:r>
      <w:r>
        <w:rPr>
          <w:color w:val="000000"/>
        </w:rPr>
        <w:t>“</w:t>
      </w:r>
      <w:r>
        <w:rPr>
          <w:rFonts w:ascii="Times New Roman;sans-serif" w:hAnsi="Times New Roman;sans-serif"/>
          <w:b/>
          <w:i/>
          <w:color w:val="000000"/>
          <w:sz w:val="22"/>
        </w:rPr>
        <w:t>Performance Unit”</w:t>
      </w:r>
      <w:r>
        <w:rPr>
          <w:color w:val="000000"/>
        </w:rPr>
        <w:t xml:space="preserve"> </w:t>
      </w:r>
      <w:r>
        <w:rPr>
          <w:rFonts w:ascii="Times New Roman;sans-serif" w:hAnsi="Times New Roman;sans-serif"/>
          <w:b w:val="false"/>
          <w:color w:val="000000"/>
          <w:sz w:val="22"/>
        </w:rPr>
        <w:t xml:space="preserve">means a right granted to a Participant pursuant to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rFonts w:ascii="Times New Roman;sans-serif" w:hAnsi="Times New Roman;sans-serif"/>
          <w:b w:val="false"/>
          <w:color w:val="000000"/>
          <w:sz w:val="22"/>
        </w:rPr>
        <w:t xml:space="preserve">, to receive Shares, the payment of which is contingent upon achieving certain performance goals established by the Committee.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28.33.    </w:t>
      </w:r>
      <w:r>
        <w:rPr>
          <w:color w:val="000000"/>
        </w:rPr>
        <w:t xml:space="preserve"> “</w:t>
      </w:r>
      <w:r>
        <w:rPr>
          <w:rFonts w:ascii="Times New Roman;sans-serif" w:hAnsi="Times New Roman;sans-serif"/>
          <w:b/>
          <w:i/>
          <w:color w:val="000000"/>
          <w:sz w:val="22"/>
        </w:rPr>
        <w:t>Permitted Transferee</w:t>
      </w:r>
      <w:r>
        <w:rPr>
          <w:color w:val="000000"/>
        </w:rPr>
        <w:t xml:space="preserve">” </w:t>
      </w:r>
      <w:r>
        <w:rPr>
          <w:rFonts w:ascii="Times New Roman;sans-serif" w:hAnsi="Times New Roman;sans-serif"/>
          <w:b w:val="false"/>
          <w:color w:val="000000"/>
          <w:sz w:val="22"/>
        </w:rPr>
        <w:t>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28.34.    </w:t>
      </w:r>
      <w:r>
        <w:rPr>
          <w:color w:val="000000"/>
        </w:rPr>
        <w:t>“</w:t>
      </w:r>
      <w:r>
        <w:rPr>
          <w:rFonts w:ascii="Times New Roman;sans-serif" w:hAnsi="Times New Roman;sans-serif"/>
          <w:b/>
          <w:i/>
          <w:color w:val="000000"/>
          <w:sz w:val="22"/>
        </w:rPr>
        <w:t>Plan</w:t>
      </w:r>
      <w:r>
        <w:rPr>
          <w:color w:val="000000"/>
        </w:rPr>
        <w:t xml:space="preserve">” </w:t>
      </w:r>
      <w:r>
        <w:rPr>
          <w:rFonts w:ascii="Times New Roman;sans-serif" w:hAnsi="Times New Roman;sans-serif"/>
          <w:b w:val="false"/>
          <w:color w:val="000000"/>
          <w:sz w:val="22"/>
        </w:rPr>
        <w:t>means this AnaptysBio, Inc.</w:t>
      </w:r>
      <w:r>
        <w:rPr>
          <w:color w:val="000000"/>
        </w:rPr>
        <w:t xml:space="preserve"> </w:t>
      </w:r>
      <w:r>
        <w:rPr>
          <w:rFonts w:ascii="Times New Roman;sans-serif" w:hAnsi="Times New Roman;sans-serif"/>
          <w:b w:val="false"/>
          <w:color w:val="000000"/>
          <w:sz w:val="22"/>
        </w:rPr>
        <w:t>Amended and Restated</w:t>
      </w:r>
      <w:r>
        <w:rPr>
          <w:color w:val="000000"/>
        </w:rPr>
        <w:t xml:space="preserve"> </w:t>
      </w:r>
      <w:r>
        <w:rPr>
          <w:rFonts w:ascii="Times New Roman;sans-serif" w:hAnsi="Times New Roman;sans-serif"/>
          <w:b w:val="false"/>
          <w:color w:val="000000"/>
          <w:sz w:val="22"/>
        </w:rPr>
        <w:t>2017 Equity Incentive Plan.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28.35.    </w:t>
      </w:r>
      <w:r>
        <w:rPr>
          <w:color w:val="000000"/>
        </w:rPr>
        <w:t>“</w:t>
      </w:r>
      <w:r>
        <w:rPr>
          <w:rFonts w:ascii="Times New Roman;sans-serif" w:hAnsi="Times New Roman;sans-serif"/>
          <w:b/>
          <w:i/>
          <w:color w:val="000000"/>
          <w:sz w:val="22"/>
        </w:rPr>
        <w:t>Purchase Price</w:t>
      </w:r>
      <w:r>
        <w:rPr>
          <w:color w:val="000000"/>
        </w:rPr>
        <w:t xml:space="preserve">” </w:t>
      </w:r>
      <w:r>
        <w:rPr>
          <w:rFonts w:ascii="Times New Roman;sans-serif" w:hAnsi="Times New Roman;sans-serif"/>
          <w:b w:val="false"/>
          <w:color w:val="000000"/>
          <w:sz w:val="22"/>
        </w:rPr>
        <w:t xml:space="preserve">means the price to be paid for Shares acquired under the Plan, other than Shares acquired upon exercise of an Option or SAR.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28.36.    </w:t>
      </w:r>
      <w:r>
        <w:rPr>
          <w:color w:val="000000"/>
        </w:rPr>
        <w:t>“</w:t>
      </w:r>
      <w:r>
        <w:rPr>
          <w:rFonts w:ascii="Times New Roman;sans-serif" w:hAnsi="Times New Roman;sans-serif"/>
          <w:b/>
          <w:i/>
          <w:color w:val="000000"/>
          <w:sz w:val="22"/>
        </w:rPr>
        <w:t>Restricted Stock Award</w:t>
      </w:r>
      <w:r>
        <w:rPr>
          <w:color w:val="000000"/>
        </w:rPr>
        <w:t xml:space="preserve">” </w:t>
      </w:r>
      <w:r>
        <w:rPr>
          <w:rFonts w:ascii="Times New Roman;sans-serif" w:hAnsi="Times New Roman;sans-serif"/>
          <w:b w:val="false"/>
          <w:color w:val="000000"/>
          <w:sz w:val="22"/>
        </w:rPr>
        <w:t xml:space="preserve">means an award of Shares pursuant to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of the Plan, or issued pursuant to the early exercise of an Option.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28.37.    </w:t>
      </w:r>
      <w:r>
        <w:rPr>
          <w:color w:val="000000"/>
        </w:rPr>
        <w:t>“</w:t>
      </w:r>
      <w:r>
        <w:rPr>
          <w:rFonts w:ascii="Times New Roman;sans-serif" w:hAnsi="Times New Roman;sans-serif"/>
          <w:b/>
          <w:i/>
          <w:color w:val="000000"/>
          <w:sz w:val="22"/>
        </w:rPr>
        <w:t>Restricted Stock Unit</w:t>
      </w:r>
      <w:r>
        <w:rPr>
          <w:color w:val="000000"/>
        </w:rPr>
        <w:t xml:space="preserve">” </w:t>
      </w:r>
      <w:r>
        <w:rPr>
          <w:rFonts w:ascii="Times New Roman;sans-serif" w:hAnsi="Times New Roman;sans-serif"/>
          <w:b w:val="false"/>
          <w:color w:val="000000"/>
          <w:sz w:val="22"/>
        </w:rPr>
        <w:t xml:space="preserve">means an Award granted pursuant to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of the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28.38.    </w:t>
      </w: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United States Securities and Exchange Commission.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28.39.    </w:t>
      </w:r>
      <w:r>
        <w:rPr>
          <w:color w:val="000000"/>
        </w:rPr>
        <w:t>“</w:t>
      </w:r>
      <w:r>
        <w:rPr>
          <w:rFonts w:ascii="Times New Roman;sans-serif" w:hAnsi="Times New Roman;sans-serif"/>
          <w:b/>
          <w:i/>
          <w:color w:val="000000"/>
          <w:sz w:val="22"/>
        </w:rPr>
        <w:t>Securities Act</w:t>
      </w:r>
      <w:r>
        <w:rPr>
          <w:color w:val="000000"/>
        </w:rPr>
        <w:t xml:space="preserve">” </w:t>
      </w:r>
      <w:r>
        <w:rPr>
          <w:rFonts w:ascii="Times New Roman;sans-serif" w:hAnsi="Times New Roman;sans-serif"/>
          <w:b w:val="false"/>
          <w:color w:val="000000"/>
          <w:sz w:val="22"/>
        </w:rPr>
        <w:t>means the United States Securities Act of 1933, as amended.</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28.40.    </w:t>
      </w:r>
      <w:r>
        <w:rPr>
          <w:color w:val="000000"/>
        </w:rPr>
        <w:t>“</w:t>
      </w:r>
      <w:r>
        <w:rPr>
          <w:rFonts w:ascii="Times New Roman;sans-serif" w:hAnsi="Times New Roman;sans-serif"/>
          <w:b/>
          <w:i/>
          <w:color w:val="000000"/>
          <w:sz w:val="22"/>
        </w:rPr>
        <w:t>Service</w:t>
      </w:r>
      <w:r>
        <w:rPr>
          <w:color w:val="000000"/>
        </w:rPr>
        <w:t xml:space="preserve">” </w:t>
      </w:r>
      <w:r>
        <w:rPr>
          <w:rFonts w:ascii="Times New Roman;sans-serif" w:hAnsi="Times New Roman;sans-serif"/>
          <w:b w:val="false"/>
          <w:color w:val="000000"/>
          <w:sz w:val="22"/>
        </w:rPr>
        <w:t xml:space="preserve">shall mean service as an Employee, Consultant, Director or Non-Employee Director, to the Company or a Parent, Subsidiary or 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leave is for a period of not more than 90 days (x) unless reemployment upon the expiration of such leave is guaranteed by contract or statute, or (y) unless provided otherwise pursuant to formal policy adopted from time to time by the Company and issued and promulgated to employees in writing. In the case of any Employee on a leave of absence or a reduction in hours worked (for illustrative purposes only, a change in schedule from that of full-time to part-time), the Committee may make such provisions respecting suspension of or modification of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military leave, he or she shall be given vesting credit with respect to Awards to the same extent as would have applied had the Participant continued to provide services to the Company throughout the leave on the same terms as he or she was providing services immediately prior to such leave. An employee shall have terminated employment as of the date he or she ceases provide services (regardless of whether the termination is in breach of local employment laws or is later found to be invalid) and employment shall not be extended by any notice period or garden leave mandated by local law,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a change in status from an employee to a consultant or advisor shall not terminate the service provider’s Service, unless determined by the Committee, in its discretion. The Committee will have sole discretion to determine whether a Participant has ceased to provide Services and the effective date on which the Participant ceased to provide Services.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28.41.    </w:t>
      </w:r>
      <w:r>
        <w:rPr>
          <w:color w:val="000000"/>
        </w:rPr>
        <w:t>“</w:t>
      </w:r>
      <w:r>
        <w:rPr>
          <w:rFonts w:ascii="Times New Roman;sans-serif" w:hAnsi="Times New Roman;sans-serif"/>
          <w:b/>
          <w:i/>
          <w:color w:val="000000"/>
          <w:sz w:val="22"/>
        </w:rPr>
        <w:t>Shares</w:t>
      </w:r>
      <w:r>
        <w:rPr>
          <w:color w:val="000000"/>
        </w:rPr>
        <w:t xml:space="preserve">” </w:t>
      </w:r>
      <w:r>
        <w:rPr>
          <w:rFonts w:ascii="Times New Roman;sans-serif" w:hAnsi="Times New Roman;sans-serif"/>
          <w:b w:val="false"/>
          <w:color w:val="000000"/>
          <w:sz w:val="22"/>
        </w:rPr>
        <w:t>means shares of the Company’s Common Stock and the common stock of any successor entity.</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28.42.    </w:t>
      </w:r>
      <w:r>
        <w:rPr>
          <w:color w:val="000000"/>
        </w:rPr>
        <w:t>“</w:t>
      </w:r>
      <w:r>
        <w:rPr>
          <w:rFonts w:ascii="Times New Roman;sans-serif" w:hAnsi="Times New Roman;sans-serif"/>
          <w:b/>
          <w:i/>
          <w:color w:val="000000"/>
          <w:sz w:val="22"/>
        </w:rPr>
        <w:t>Stock Appreciation Right</w:t>
      </w:r>
      <w:r>
        <w:rPr>
          <w:color w:val="000000"/>
        </w:rPr>
        <w:t xml:space="preserve">” </w:t>
      </w:r>
      <w:r>
        <w:rPr>
          <w:rFonts w:ascii="Times New Roman;sans-serif" w:hAnsi="Times New Roman;sans-serif"/>
          <w:b w:val="false"/>
          <w:color w:val="000000"/>
          <w:sz w:val="22"/>
        </w:rPr>
        <w:t xml:space="preserve">means an Award granted pursuant to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of the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28.43.    </w:t>
      </w:r>
      <w:r>
        <w:rPr>
          <w:color w:val="000000"/>
        </w:rPr>
        <w:t>“</w:t>
      </w:r>
      <w:r>
        <w:rPr>
          <w:rFonts w:ascii="Times New Roman;sans-serif" w:hAnsi="Times New Roman;sans-serif"/>
          <w:b/>
          <w:i/>
          <w:color w:val="000000"/>
          <w:sz w:val="22"/>
        </w:rPr>
        <w:t>Stock Bonus</w:t>
      </w:r>
      <w:r>
        <w:rPr>
          <w:color w:val="000000"/>
        </w:rPr>
        <w:t xml:space="preserve">” </w:t>
      </w:r>
      <w:r>
        <w:rPr>
          <w:rFonts w:ascii="Times New Roman;sans-serif" w:hAnsi="Times New Roman;sans-serif"/>
          <w:b w:val="false"/>
          <w:color w:val="000000"/>
          <w:sz w:val="22"/>
        </w:rPr>
        <w:t xml:space="preserve">means an Award granted pursuant to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of the Plan. </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28.44.    </w:t>
      </w:r>
      <w:r>
        <w:rPr>
          <w:color w:val="000000"/>
        </w:rPr>
        <w:t>“</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28.45.    </w:t>
      </w:r>
      <w:r>
        <w:rPr>
          <w:color w:val="000000"/>
        </w:rPr>
        <w:t>“</w:t>
      </w:r>
      <w:r>
        <w:rPr>
          <w:rFonts w:ascii="Times New Roman;sans-serif" w:hAnsi="Times New Roman;sans-serif"/>
          <w:b/>
          <w:i/>
          <w:color w:val="000000"/>
          <w:sz w:val="22"/>
        </w:rPr>
        <w:t>Treasury Regulations</w:t>
      </w:r>
      <w:r>
        <w:rPr>
          <w:color w:val="000000"/>
        </w:rPr>
        <w:t xml:space="preserve">” </w:t>
      </w:r>
      <w:r>
        <w:rPr>
          <w:rFonts w:ascii="Times New Roman;sans-serif" w:hAnsi="Times New Roman;sans-serif"/>
          <w:b w:val="false"/>
          <w:color w:val="000000"/>
          <w:sz w:val="22"/>
        </w:rPr>
        <w:t>means regulations promulgated by the United States Treasury Department.</w:t>
      </w:r>
    </w:p>
    <w:p>
      <w:pPr>
        <w:pStyle w:val="TextBody"/>
        <w:bidi w:val="0"/>
        <w:spacing w:lineRule="atLeast" w:line="240" w:before="240" w:after="283"/>
        <w:ind w:left="0" w:right="0" w:firstLine="720"/>
        <w:jc w:val="both"/>
        <w:rPr/>
      </w:pPr>
      <w:r>
        <w:rPr>
          <w:rFonts w:ascii="Times New Roman;sans-serif" w:hAnsi="Times New Roman;sans-serif"/>
          <w:b/>
          <w:color w:val="010000"/>
          <w:sz w:val="22"/>
        </w:rPr>
        <w:t>28.46.    </w:t>
      </w:r>
      <w:r>
        <w:rPr>
          <w:color w:val="000000"/>
        </w:rPr>
        <w:t>“</w:t>
      </w:r>
      <w:r>
        <w:rPr>
          <w:rFonts w:ascii="Times New Roman;sans-serif" w:hAnsi="Times New Roman;sans-serif"/>
          <w:b/>
          <w:i/>
          <w:color w:val="000000"/>
          <w:sz w:val="22"/>
        </w:rPr>
        <w:t>Unvested Shares</w:t>
      </w:r>
      <w:r>
        <w:rPr>
          <w:color w:val="000000"/>
        </w:rPr>
        <w:t xml:space="preserve">” </w:t>
      </w:r>
      <w:r>
        <w:rPr>
          <w:rFonts w:ascii="Times New Roman;sans-serif" w:hAnsi="Times New Roman;sans-serif"/>
          <w:b w:val="false"/>
          <w:color w:val="000000"/>
          <w:sz w:val="22"/>
        </w:rPr>
        <w:t>means Shares that have not yet vested or are subject to a right of repurchase in favor of the Company (or any successor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center"/>
        <w:rPr/>
      </w:pPr>
      <w:r>
        <w:rPr/>
        <w:drawing>
          <wp:inline distT="0" distB="0" distL="0" distR="0">
            <wp:extent cx="6305550" cy="8162925"/>
            <wp:effectExtent l="0" t="0" r="0" b="0"/>
            <wp:docPr id="8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 descr=""/>
                    <pic:cNvPicPr>
                      <a:picLocks noChangeAspect="1" noChangeArrowheads="1"/>
                    </pic:cNvPicPr>
                  </pic:nvPicPr>
                  <pic:blipFill>
                    <a:blip r:embed="rId7"/>
                    <a:stretch>
                      <a:fillRect/>
                    </a:stretch>
                  </pic:blipFill>
                  <pic:spPr bwMode="auto">
                    <a:xfrm>
                      <a:off x="0" y="0"/>
                      <a:ext cx="6305550" cy="81629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305550" cy="8153400"/>
            <wp:effectExtent l="0" t="0" r="0" b="0"/>
            <wp:docPr id="8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 descr=""/>
                    <pic:cNvPicPr>
                      <a:picLocks noChangeAspect="1" noChangeArrowheads="1"/>
                    </pic:cNvPicPr>
                  </pic:nvPicPr>
                  <pic:blipFill>
                    <a:blip r:embed="rId8"/>
                    <a:stretch>
                      <a:fillRect/>
                    </a:stretch>
                  </pic:blipFill>
                  <pic:spPr bwMode="auto">
                    <a:xfrm>
                      <a:off x="0" y="0"/>
                      <a:ext cx="6305550" cy="8153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41598</Words>
  <Characters>222303</Characters>
  <CharactersWithSpaces>263368</CharactersWithSpaces>
  <Paragraphs>1628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