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2479675</wp:posOffset>
            </wp:positionH>
            <wp:positionV relativeFrom="page">
              <wp:posOffset>680720</wp:posOffset>
            </wp:positionV>
            <wp:extent cx="25888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88895" cy="8255"/>
                    </a:xfrm>
                    <a:prstGeom prst="rect">
                      <a:avLst/>
                    </a:prstGeom>
                    <a:noFill/>
                  </pic:spPr>
                </pic:pic>
              </a:graphicData>
            </a:graphic>
          </wp:anchor>
        </w:drawing>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114300</wp:posOffset>
            </wp:positionV>
            <wp:extent cx="25888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5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132080</wp:posOffset>
            </wp:positionV>
            <wp:extent cx="2588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309"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6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48"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1" w:lineRule="exact"/>
        <w:rPr>
          <w:sz w:val="24"/>
          <w:szCs w:val="24"/>
          <w:color w:val="auto"/>
        </w:rPr>
      </w:pPr>
    </w:p>
    <w:p>
      <w:pPr>
        <w:ind w:left="3380"/>
        <w:spacing w:after="0"/>
        <w:tabs>
          <w:tab w:leader="none" w:pos="6660" w:val="left"/>
          <w:tab w:leader="none" w:pos="7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1323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9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001-37985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128905</wp:posOffset>
            </wp:positionV>
            <wp:extent cx="25888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6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ANAPTYSBIO, INC.</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107315</wp:posOffset>
            </wp:positionV>
            <wp:extent cx="25888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93"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3980" w:type="dxa"/>
            <w:vAlign w:val="bottom"/>
            <w:gridSpan w:val="2"/>
          </w:tcPr>
          <w:p>
            <w:pPr>
              <w:jc w:val="center"/>
              <w:ind w:left="1996"/>
              <w:spacing w:after="0"/>
              <w:rPr>
                <w:sz w:val="20"/>
                <w:szCs w:val="20"/>
                <w:color w:val="auto"/>
              </w:rPr>
            </w:pPr>
            <w:r>
              <w:rPr>
                <w:rFonts w:ascii="Arial" w:cs="Arial" w:eastAsia="Arial" w:hAnsi="Arial"/>
                <w:sz w:val="18"/>
                <w:szCs w:val="18"/>
                <w:b w:val="1"/>
                <w:bCs w:val="1"/>
                <w:color w:val="auto"/>
                <w:w w:val="93"/>
              </w:rPr>
              <w:t>Delaware</w:t>
            </w:r>
          </w:p>
        </w:tc>
        <w:tc>
          <w:tcPr>
            <w:tcW w:w="1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40" w:type="dxa"/>
            <w:vAlign w:val="bottom"/>
            <w:gridSpan w:val="2"/>
          </w:tcPr>
          <w:p>
            <w:pPr>
              <w:jc w:val="center"/>
              <w:ind w:right="1959"/>
              <w:spacing w:after="0"/>
              <w:rPr>
                <w:sz w:val="20"/>
                <w:szCs w:val="20"/>
                <w:color w:val="auto"/>
              </w:rPr>
            </w:pPr>
            <w:r>
              <w:rPr>
                <w:rFonts w:ascii="Arial" w:cs="Arial" w:eastAsia="Arial" w:hAnsi="Arial"/>
                <w:sz w:val="18"/>
                <w:szCs w:val="18"/>
                <w:b w:val="1"/>
                <w:bCs w:val="1"/>
                <w:color w:val="auto"/>
                <w:w w:val="91"/>
              </w:rPr>
              <w:t>20-3828755</w:t>
            </w:r>
          </w:p>
        </w:tc>
      </w:tr>
      <w:tr>
        <w:trPr>
          <w:trHeight w:val="180"/>
        </w:trPr>
        <w:tc>
          <w:tcPr>
            <w:tcW w:w="3980" w:type="dxa"/>
            <w:vAlign w:val="bottom"/>
            <w:gridSpan w:val="2"/>
          </w:tcPr>
          <w:p>
            <w:pPr>
              <w:jc w:val="center"/>
              <w:ind w:left="2016"/>
              <w:spacing w:after="0"/>
              <w:rPr>
                <w:sz w:val="20"/>
                <w:szCs w:val="20"/>
                <w:color w:val="auto"/>
              </w:rPr>
            </w:pPr>
            <w:r>
              <w:rPr>
                <w:rFonts w:ascii="Arial" w:cs="Arial" w:eastAsia="Arial" w:hAnsi="Arial"/>
                <w:sz w:val="14"/>
                <w:szCs w:val="14"/>
                <w:b w:val="1"/>
                <w:bCs w:val="1"/>
                <w:color w:val="auto"/>
                <w:w w:val="93"/>
              </w:rPr>
              <w:t>(State or other jurisdiction of</w:t>
            </w:r>
          </w:p>
        </w:tc>
        <w:tc>
          <w:tcPr>
            <w:tcW w:w="1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0" w:type="dxa"/>
            <w:vAlign w:val="bottom"/>
          </w:tcPr>
          <w:p>
            <w:pPr>
              <w:jc w:val="center"/>
              <w:ind w:right="219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980" w:type="dxa"/>
            <w:vAlign w:val="bottom"/>
            <w:gridSpan w:val="2"/>
          </w:tcPr>
          <w:p>
            <w:pPr>
              <w:jc w:val="center"/>
              <w:ind w:left="2016"/>
              <w:spacing w:after="0"/>
              <w:rPr>
                <w:sz w:val="20"/>
                <w:szCs w:val="20"/>
                <w:color w:val="auto"/>
              </w:rPr>
            </w:pPr>
            <w:r>
              <w:rPr>
                <w:rFonts w:ascii="Arial" w:cs="Arial" w:eastAsia="Arial" w:hAnsi="Arial"/>
                <w:sz w:val="14"/>
                <w:szCs w:val="14"/>
                <w:b w:val="1"/>
                <w:bCs w:val="1"/>
                <w:color w:val="auto"/>
                <w:w w:val="94"/>
              </w:rPr>
              <w:t>incorporation or organization)</w:t>
            </w:r>
          </w:p>
        </w:tc>
        <w:tc>
          <w:tcPr>
            <w:tcW w:w="1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40" w:type="dxa"/>
            <w:vAlign w:val="bottom"/>
            <w:gridSpan w:val="2"/>
          </w:tcPr>
          <w:p>
            <w:pPr>
              <w:jc w:val="center"/>
              <w:ind w:right="1939"/>
              <w:spacing w:after="0"/>
              <w:rPr>
                <w:sz w:val="20"/>
                <w:szCs w:val="20"/>
                <w:color w:val="auto"/>
              </w:rPr>
            </w:pPr>
            <w:r>
              <w:rPr>
                <w:rFonts w:ascii="Arial" w:cs="Arial" w:eastAsia="Arial" w:hAnsi="Arial"/>
                <w:sz w:val="14"/>
                <w:szCs w:val="14"/>
                <w:b w:val="1"/>
                <w:bCs w:val="1"/>
                <w:color w:val="auto"/>
                <w:w w:val="95"/>
              </w:rPr>
              <w:t>Identification Number)</w:t>
            </w:r>
          </w:p>
        </w:tc>
      </w:tr>
      <w:tr>
        <w:trPr>
          <w:trHeight w:val="304"/>
        </w:trPr>
        <w:tc>
          <w:tcPr>
            <w:tcW w:w="3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10421 Pacific Center Court, Suite 200</w:t>
            </w: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2"/>
        </w:trPr>
        <w:tc>
          <w:tcPr>
            <w:tcW w:w="3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San Diego, CA 92121</w:t>
            </w:r>
          </w:p>
        </w:tc>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86"/>
        </w:trPr>
        <w:tc>
          <w:tcPr>
            <w:tcW w:w="3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(Address of principal executive offices and zip code)</w:t>
            </w:r>
          </w:p>
        </w:tc>
        <w:tc>
          <w:tcPr>
            <w:tcW w:w="24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300"/>
        </w:trPr>
        <w:tc>
          <w:tcPr>
            <w:tcW w:w="3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40" w:type="dxa"/>
            <w:vAlign w:val="bottom"/>
            <w:gridSpan w:val="2"/>
          </w:tcPr>
          <w:p>
            <w:pPr>
              <w:jc w:val="center"/>
              <w:ind w:left="62"/>
              <w:spacing w:after="0"/>
              <w:rPr>
                <w:sz w:val="20"/>
                <w:szCs w:val="20"/>
                <w:color w:val="auto"/>
              </w:rPr>
            </w:pPr>
            <w:r>
              <w:rPr>
                <w:rFonts w:ascii="Arial" w:cs="Arial" w:eastAsia="Arial" w:hAnsi="Arial"/>
                <w:sz w:val="18"/>
                <w:szCs w:val="18"/>
                <w:b w:val="1"/>
                <w:bCs w:val="1"/>
                <w:color w:val="auto"/>
                <w:w w:val="90"/>
              </w:rPr>
              <w:t>(858) 362-6295</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4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160"/>
        </w:trPr>
        <w:tc>
          <w:tcPr>
            <w:tcW w:w="3580" w:type="dxa"/>
            <w:vAlign w:val="bottom"/>
          </w:tcPr>
          <w:p>
            <w:pPr>
              <w:spacing w:after="0"/>
              <w:rPr>
                <w:sz w:val="13"/>
                <w:szCs w:val="13"/>
                <w:color w:val="auto"/>
              </w:rPr>
            </w:pPr>
          </w:p>
        </w:tc>
        <w:tc>
          <w:tcPr>
            <w:tcW w:w="540" w:type="dxa"/>
            <w:vAlign w:val="bottom"/>
            <w:tcBorders>
              <w:bottom w:val="single" w:sz="8" w:color="auto"/>
            </w:tcBorders>
            <w:gridSpan w:val="2"/>
          </w:tcPr>
          <w:p>
            <w:pPr>
              <w:spacing w:after="0"/>
              <w:rPr>
                <w:sz w:val="13"/>
                <w:szCs w:val="13"/>
                <w:color w:val="auto"/>
              </w:rPr>
            </w:pPr>
          </w:p>
        </w:tc>
        <w:tc>
          <w:tcPr>
            <w:tcW w:w="30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spacing w:after="0"/>
              <w:rPr>
                <w:sz w:val="13"/>
                <w:szCs w:val="13"/>
                <w:color w:val="auto"/>
              </w:rPr>
            </w:pPr>
          </w:p>
        </w:tc>
        <w:tc>
          <w:tcPr>
            <w:tcW w:w="3600" w:type="dxa"/>
            <w:vAlign w:val="bottom"/>
          </w:tcPr>
          <w:p>
            <w:pPr>
              <w:spacing w:after="0"/>
              <w:rPr>
                <w:sz w:val="13"/>
                <w:szCs w:val="13"/>
                <w:color w:val="auto"/>
              </w:rPr>
            </w:pPr>
          </w:p>
        </w:tc>
      </w:tr>
      <w:tr>
        <w:trPr>
          <w:trHeight w:val="318"/>
        </w:trPr>
        <w:tc>
          <w:tcPr>
            <w:tcW w:w="11260" w:type="dxa"/>
            <w:vAlign w:val="bottom"/>
            <w:gridSpan w:val="7"/>
          </w:tcPr>
          <w:p>
            <w:pPr>
              <w:jc w:val="center"/>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135"/>
        </w:trPr>
        <w:tc>
          <w:tcPr>
            <w:tcW w:w="3980" w:type="dxa"/>
            <w:vAlign w:val="bottom"/>
            <w:tcBorders>
              <w:bottom w:val="single" w:sz="8" w:color="auto"/>
            </w:tcBorders>
            <w:gridSpan w:val="2"/>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840" w:type="dxa"/>
            <w:vAlign w:val="bottom"/>
            <w:tcBorders>
              <w:bottom w:val="single" w:sz="8" w:color="auto"/>
            </w:tcBorders>
            <w:gridSpan w:val="2"/>
          </w:tcPr>
          <w:p>
            <w:pPr>
              <w:spacing w:after="0"/>
              <w:rPr>
                <w:sz w:val="11"/>
                <w:szCs w:val="11"/>
                <w:color w:val="auto"/>
              </w:rPr>
            </w:pPr>
          </w:p>
        </w:tc>
      </w:tr>
      <w:tr>
        <w:trPr>
          <w:trHeight w:val="237"/>
        </w:trPr>
        <w:tc>
          <w:tcPr>
            <w:tcW w:w="3980" w:type="dxa"/>
            <w:vAlign w:val="bottom"/>
            <w:tcBorders>
              <w:left w:val="single" w:sz="8" w:color="auto"/>
            </w:tcBorders>
            <w:gridSpan w:val="2"/>
          </w:tcPr>
          <w:p>
            <w:pPr>
              <w:jc w:val="center"/>
              <w:ind w:left="56"/>
              <w:spacing w:after="0"/>
              <w:rPr>
                <w:sz w:val="20"/>
                <w:szCs w:val="20"/>
                <w:color w:val="auto"/>
              </w:rPr>
            </w:pPr>
            <w:r>
              <w:rPr>
                <w:rFonts w:ascii="Arial" w:cs="Arial" w:eastAsia="Arial" w:hAnsi="Arial"/>
                <w:sz w:val="18"/>
                <w:szCs w:val="18"/>
                <w:color w:val="auto"/>
                <w:w w:val="88"/>
              </w:rPr>
              <w:t>Title of each class</w:t>
            </w:r>
          </w:p>
        </w:tc>
        <w:tc>
          <w:tcPr>
            <w:tcW w:w="140" w:type="dxa"/>
            <w:vAlign w:val="bottom"/>
            <w:tcBorders>
              <w:right w:val="single" w:sz="8" w:color="auto"/>
            </w:tcBorders>
          </w:tcPr>
          <w:p>
            <w:pPr>
              <w:spacing w:after="0"/>
              <w:rPr>
                <w:sz w:val="20"/>
                <w:szCs w:val="20"/>
                <w:color w:val="auto"/>
              </w:rPr>
            </w:pPr>
          </w:p>
        </w:tc>
        <w:tc>
          <w:tcPr>
            <w:tcW w:w="3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00" w:type="dxa"/>
            <w:vAlign w:val="bottom"/>
          </w:tcPr>
          <w:p>
            <w:pPr>
              <w:spacing w:after="0"/>
              <w:rPr>
                <w:sz w:val="20"/>
                <w:szCs w:val="20"/>
                <w:color w:val="auto"/>
              </w:rPr>
            </w:pPr>
          </w:p>
        </w:tc>
        <w:tc>
          <w:tcPr>
            <w:tcW w:w="3840" w:type="dxa"/>
            <w:vAlign w:val="bottom"/>
            <w:tcBorders>
              <w:right w:val="single" w:sz="8" w:color="auto"/>
            </w:tcBorders>
            <w:gridSpan w:val="2"/>
          </w:tcPr>
          <w:p>
            <w:pPr>
              <w:jc w:val="center"/>
              <w:ind w:right="259"/>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3980" w:type="dxa"/>
            <w:vAlign w:val="bottom"/>
            <w:tcBorders>
              <w:left w:val="single" w:sz="8" w:color="auto"/>
              <w:bottom w:val="single" w:sz="8" w:color="auto"/>
            </w:tcBorders>
            <w:gridSpan w:val="2"/>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right w:val="single" w:sz="8" w:color="auto"/>
            </w:tcBorders>
          </w:tcPr>
          <w:p>
            <w:pPr>
              <w:spacing w:after="0"/>
              <w:rPr>
                <w:sz w:val="2"/>
                <w:szCs w:val="2"/>
                <w:color w:val="auto"/>
              </w:rPr>
            </w:pPr>
          </w:p>
        </w:tc>
      </w:tr>
      <w:tr>
        <w:trPr>
          <w:trHeight w:val="237"/>
        </w:trPr>
        <w:tc>
          <w:tcPr>
            <w:tcW w:w="3980" w:type="dxa"/>
            <w:vAlign w:val="bottom"/>
            <w:tcBorders>
              <w:left w:val="single" w:sz="8" w:color="auto"/>
            </w:tcBorders>
            <w:gridSpan w:val="2"/>
          </w:tcPr>
          <w:p>
            <w:pPr>
              <w:jc w:val="center"/>
              <w:ind w:left="56"/>
              <w:spacing w:after="0"/>
              <w:rPr>
                <w:sz w:val="20"/>
                <w:szCs w:val="20"/>
                <w:color w:val="auto"/>
              </w:rPr>
            </w:pPr>
            <w:r>
              <w:rPr>
                <w:rFonts w:ascii="Arial" w:cs="Arial" w:eastAsia="Arial" w:hAnsi="Arial"/>
                <w:sz w:val="18"/>
                <w:szCs w:val="18"/>
                <w:color w:val="auto"/>
                <w:w w:val="89"/>
              </w:rPr>
              <w:t>Common Stock, $0.001 par value</w:t>
            </w:r>
          </w:p>
        </w:tc>
        <w:tc>
          <w:tcPr>
            <w:tcW w:w="140" w:type="dxa"/>
            <w:vAlign w:val="bottom"/>
            <w:tcBorders>
              <w:right w:val="single" w:sz="8" w:color="auto"/>
            </w:tcBorders>
          </w:tcPr>
          <w:p>
            <w:pPr>
              <w:spacing w:after="0"/>
              <w:rPr>
                <w:sz w:val="20"/>
                <w:szCs w:val="20"/>
                <w:color w:val="auto"/>
              </w:rPr>
            </w:pPr>
          </w:p>
        </w:tc>
        <w:tc>
          <w:tcPr>
            <w:tcW w:w="3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Borders>
              <w:right w:val="single" w:sz="8" w:color="auto"/>
            </w:tcBorders>
          </w:tcPr>
          <w:p>
            <w:pPr>
              <w:jc w:val="center"/>
              <w:ind w:right="499"/>
              <w:spacing w:after="0"/>
              <w:rPr>
                <w:sz w:val="20"/>
                <w:szCs w:val="20"/>
                <w:color w:val="auto"/>
              </w:rPr>
            </w:pPr>
            <w:r>
              <w:rPr>
                <w:rFonts w:ascii="Arial" w:cs="Arial" w:eastAsia="Arial" w:hAnsi="Arial"/>
                <w:sz w:val="18"/>
                <w:szCs w:val="18"/>
                <w:color w:val="auto"/>
                <w:w w:val="91"/>
              </w:rPr>
              <w:t>The Nasdaq Stock Market LLC</w:t>
            </w:r>
          </w:p>
        </w:tc>
      </w:tr>
      <w:tr>
        <w:trPr>
          <w:trHeight w:val="27"/>
        </w:trPr>
        <w:tc>
          <w:tcPr>
            <w:tcW w:w="358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right w:val="single" w:sz="8" w:color="auto"/>
            </w:tcBorders>
          </w:tcPr>
          <w:p>
            <w:pPr>
              <w:spacing w:after="0"/>
              <w:rPr>
                <w:sz w:val="2"/>
                <w:szCs w:val="2"/>
                <w:color w:val="auto"/>
              </w:rPr>
            </w:pPr>
          </w:p>
        </w:tc>
      </w:tr>
    </w:tbl>
    <w:p>
      <w:pPr>
        <w:spacing w:after="0" w:line="80" w:lineRule="exact"/>
        <w:rPr>
          <w:sz w:val="24"/>
          <w:szCs w:val="24"/>
          <w:color w:val="auto"/>
        </w:rPr>
      </w:pPr>
    </w:p>
    <w:p>
      <w:pPr>
        <w:ind w:right="260"/>
        <w:spacing w:after="0" w:line="28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88" w:lineRule="exact"/>
        <w:tabs>
          <w:tab w:leader="none" w:pos="2600" w:val="left"/>
          <w:tab w:leader="none" w:pos="3360" w:val="left"/>
        </w:tabs>
        <w:rPr>
          <w:sz w:val="20"/>
          <w:szCs w:val="20"/>
          <w:color w:val="auto"/>
        </w:rPr>
      </w:pPr>
      <w:r>
        <w:rPr>
          <w:rFonts w:ascii="Arial" w:cs="Arial" w:eastAsia="Arial" w:hAnsi="Arial"/>
          <w:sz w:val="18"/>
          <w:szCs w:val="18"/>
          <w:color w:val="auto"/>
        </w:rPr>
        <w:t>requirements for the past 90 days:</w:t>
        <w:tab/>
        <w:t xml:space="preserve">Yes </w:t>
      </w:r>
      <w:r>
        <w:rPr>
          <w:rFonts w:ascii="MS PGothic" w:cs="MS PGothic" w:eastAsia="MS PGothic" w:hAnsi="MS PGothic"/>
          <w:sz w:val="25"/>
          <w:szCs w:val="25"/>
          <w:color w:val="auto"/>
        </w:rPr>
        <w:t>☒</w:t>
      </w:r>
      <w:r>
        <w:rPr>
          <w:rFonts w:ascii="Arial" w:cs="Arial" w:eastAsia="Arial" w:hAnsi="Arial"/>
          <w:sz w:val="18"/>
          <w:szCs w:val="18"/>
          <w:color w:val="auto"/>
        </w:rPr>
        <w:tab/>
        <w:t xml:space="preserve">No </w:t>
      </w:r>
      <w:r>
        <w:rPr>
          <w:rFonts w:ascii="MS PGothic" w:cs="MS PGothic" w:eastAsia="MS PGothic" w:hAnsi="MS PGothic"/>
          <w:sz w:val="21"/>
          <w:szCs w:val="21"/>
          <w:color w:val="auto"/>
        </w:rPr>
        <w:t>☐</w:t>
      </w:r>
    </w:p>
    <w:p>
      <w:pPr>
        <w:spacing w:after="0" w:line="53" w:lineRule="exact"/>
        <w:rPr>
          <w:sz w:val="24"/>
          <w:szCs w:val="24"/>
          <w:color w:val="auto"/>
        </w:rPr>
      </w:pPr>
    </w:p>
    <w:p>
      <w:pPr>
        <w:ind w:right="320"/>
        <w:spacing w:after="0" w:line="288"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88" w:lineRule="exact"/>
        <w:tabs>
          <w:tab w:leader="none" w:pos="580" w:val="left"/>
          <w:tab w:leader="none" w:pos="134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25"/>
          <w:szCs w:val="25"/>
          <w:color w:val="auto"/>
        </w:rPr>
        <w:t>☒</w:t>
      </w:r>
      <w:r>
        <w:rPr>
          <w:rFonts w:ascii="Arial" w:cs="Arial" w:eastAsia="Arial" w:hAnsi="Arial"/>
          <w:sz w:val="18"/>
          <w:szCs w:val="18"/>
          <w:color w:val="auto"/>
        </w:rPr>
        <w:tab/>
        <w:t xml:space="preserve">No </w:t>
      </w:r>
      <w:r>
        <w:rPr>
          <w:rFonts w:ascii="MS PGothic" w:cs="MS PGothic" w:eastAsia="MS PGothic" w:hAnsi="MS PGothic"/>
          <w:sz w:val="21"/>
          <w:szCs w:val="21"/>
          <w:color w:val="auto"/>
        </w:rPr>
        <w:t>☐</w:t>
      </w:r>
    </w:p>
    <w:p>
      <w:pPr>
        <w:spacing w:after="0" w:line="53" w:lineRule="exact"/>
        <w:rPr>
          <w:sz w:val="24"/>
          <w:szCs w:val="24"/>
          <w:color w:val="auto"/>
        </w:rPr>
      </w:pPr>
    </w:p>
    <w:p>
      <w:pPr>
        <w:ind w:right="2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338"/>
        </w:trPr>
        <w:tc>
          <w:tcPr>
            <w:tcW w:w="22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00" w:type="dxa"/>
            <w:vAlign w:val="bottom"/>
          </w:tcPr>
          <w:p>
            <w:pPr>
              <w:ind w:left="500"/>
              <w:spacing w:after="0" w:line="221" w:lineRule="exact"/>
              <w:rPr>
                <w:sz w:val="20"/>
                <w:szCs w:val="20"/>
                <w:color w:val="auto"/>
              </w:rPr>
            </w:pPr>
            <w:r>
              <w:rPr>
                <w:rFonts w:ascii="MS PGothic" w:cs="MS PGothic" w:eastAsia="MS PGothic" w:hAnsi="MS PGothic"/>
                <w:sz w:val="22"/>
                <w:szCs w:val="22"/>
                <w:color w:val="auto"/>
              </w:rPr>
              <w:t>☐</w:t>
            </w:r>
          </w:p>
        </w:tc>
        <w:tc>
          <w:tcPr>
            <w:tcW w:w="5020" w:type="dxa"/>
            <w:vAlign w:val="bottom"/>
          </w:tcPr>
          <w:p>
            <w:pPr>
              <w:ind w:left="258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340"/>
              <w:spacing w:after="0" w:line="221" w:lineRule="exact"/>
              <w:rPr>
                <w:sz w:val="20"/>
                <w:szCs w:val="20"/>
                <w:color w:val="auto"/>
              </w:rPr>
            </w:pPr>
            <w:r>
              <w:rPr>
                <w:rFonts w:ascii="MS PGothic" w:cs="MS PGothic" w:eastAsia="MS PGothic" w:hAnsi="MS PGothic"/>
                <w:sz w:val="22"/>
                <w:szCs w:val="22"/>
                <w:color w:val="auto"/>
                <w:w w:val="99"/>
              </w:rPr>
              <w:t>☐</w:t>
            </w:r>
          </w:p>
        </w:tc>
      </w:tr>
      <w:tr>
        <w:trPr>
          <w:trHeight w:val="408"/>
        </w:trPr>
        <w:tc>
          <w:tcPr>
            <w:tcW w:w="2200" w:type="dxa"/>
            <w:vAlign w:val="bottom"/>
          </w:tcPr>
          <w:p>
            <w:pPr>
              <w:spacing w:after="0"/>
              <w:rPr>
                <w:sz w:val="20"/>
                <w:szCs w:val="20"/>
                <w:color w:val="auto"/>
              </w:rPr>
            </w:pPr>
            <w:r>
              <w:rPr>
                <w:rFonts w:ascii="Arial" w:cs="Arial" w:eastAsia="Arial" w:hAnsi="Arial"/>
                <w:sz w:val="18"/>
                <w:szCs w:val="18"/>
                <w:color w:val="auto"/>
              </w:rPr>
              <w:t>Non-accelerated Filer</w:t>
            </w:r>
          </w:p>
        </w:tc>
        <w:tc>
          <w:tcPr>
            <w:tcW w:w="3300" w:type="dxa"/>
            <w:vAlign w:val="bottom"/>
          </w:tcPr>
          <w:p>
            <w:pPr>
              <w:ind w:left="500"/>
              <w:spacing w:after="0" w:line="251" w:lineRule="exact"/>
              <w:rPr>
                <w:sz w:val="20"/>
                <w:szCs w:val="20"/>
                <w:color w:val="auto"/>
              </w:rPr>
            </w:pPr>
            <w:r>
              <w:rPr>
                <w:rFonts w:ascii="MS PGothic" w:cs="MS PGothic" w:eastAsia="MS PGothic" w:hAnsi="MS PGothic"/>
                <w:sz w:val="25"/>
                <w:szCs w:val="25"/>
                <w:color w:val="auto"/>
              </w:rPr>
              <w:t>☒</w:t>
            </w:r>
          </w:p>
        </w:tc>
        <w:tc>
          <w:tcPr>
            <w:tcW w:w="5020" w:type="dxa"/>
            <w:vAlign w:val="bottom"/>
          </w:tcPr>
          <w:p>
            <w:pPr>
              <w:ind w:left="258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340"/>
              <w:spacing w:after="0" w:line="251" w:lineRule="exact"/>
              <w:rPr>
                <w:sz w:val="20"/>
                <w:szCs w:val="20"/>
                <w:color w:val="auto"/>
              </w:rPr>
            </w:pPr>
            <w:r>
              <w:rPr>
                <w:rFonts w:ascii="MS PGothic" w:cs="MS PGothic" w:eastAsia="MS PGothic" w:hAnsi="MS PGothic"/>
                <w:sz w:val="25"/>
                <w:szCs w:val="25"/>
                <w:color w:val="auto"/>
                <w:w w:val="87"/>
              </w:rPr>
              <w:t>☒</w:t>
            </w:r>
          </w:p>
        </w:tc>
      </w:tr>
      <w:tr>
        <w:trPr>
          <w:trHeight w:val="362"/>
        </w:trPr>
        <w:tc>
          <w:tcPr>
            <w:tcW w:w="22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020" w:type="dxa"/>
            <w:vAlign w:val="bottom"/>
          </w:tcPr>
          <w:p>
            <w:pPr>
              <w:ind w:left="258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340"/>
              <w:spacing w:after="0" w:line="221" w:lineRule="exact"/>
              <w:rPr>
                <w:sz w:val="20"/>
                <w:szCs w:val="20"/>
                <w:color w:val="auto"/>
              </w:rPr>
            </w:pPr>
            <w:r>
              <w:rPr>
                <w:rFonts w:ascii="MS PGothic" w:cs="MS PGothic" w:eastAsia="MS PGothic" w:hAnsi="MS PGothic"/>
                <w:sz w:val="22"/>
                <w:szCs w:val="22"/>
                <w:color w:val="auto"/>
                <w:w w:val="99"/>
              </w:rPr>
              <w:t>☐</w:t>
            </w:r>
          </w:p>
        </w:tc>
      </w:tr>
    </w:tbl>
    <w:p>
      <w:pPr>
        <w:spacing w:after="0" w:line="60" w:lineRule="exact"/>
        <w:rPr>
          <w:sz w:val="24"/>
          <w:szCs w:val="24"/>
          <w:color w:val="auto"/>
        </w:rPr>
      </w:pPr>
    </w:p>
    <w:p>
      <w:pPr>
        <w:ind w:right="18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 w:lineRule="exact"/>
        <w:rPr>
          <w:sz w:val="24"/>
          <w:szCs w:val="24"/>
          <w:color w:val="auto"/>
        </w:rPr>
      </w:pPr>
    </w:p>
    <w:p>
      <w:pPr>
        <w:ind w:right="234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5"/>
          <w:szCs w:val="25"/>
          <w:color w:val="auto"/>
        </w:rPr>
        <w:t>☒</w:t>
      </w:r>
      <w:r>
        <w:rPr>
          <w:rFonts w:ascii="Arial" w:cs="Arial" w:eastAsia="Arial" w:hAnsi="Arial"/>
          <w:sz w:val="18"/>
          <w:szCs w:val="18"/>
          <w:color w:val="auto"/>
        </w:rPr>
        <w:t xml:space="preserve"> As of August 6, 2020, there were 27,303,581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111760</wp:posOffset>
            </wp:positionV>
            <wp:extent cx="2588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1" w:name="page2"/>
    <w:bookmarkEnd w:id="1"/>
    <w:p>
      <w:pPr>
        <w:jc w:val="center"/>
        <w:ind w:left="1480"/>
        <w:spacing w:after="0"/>
        <w:rPr>
          <w:sz w:val="20"/>
          <w:szCs w:val="20"/>
          <w:color w:val="auto"/>
        </w:rPr>
      </w:pPr>
      <w:r>
        <w:rPr>
          <w:rFonts w:ascii="Arial" w:cs="Arial" w:eastAsia="Arial" w:hAnsi="Arial"/>
          <w:sz w:val="22"/>
          <w:szCs w:val="22"/>
          <w:b w:val="1"/>
          <w:bCs w:val="1"/>
          <w:color w:val="auto"/>
        </w:rPr>
        <w:t>AnaptysBio, Inc.</w:t>
      </w:r>
    </w:p>
    <w:p>
      <w:pPr>
        <w:spacing w:after="0" w:line="27" w:lineRule="exact"/>
        <w:rPr>
          <w:sz w:val="20"/>
          <w:szCs w:val="20"/>
          <w:color w:val="auto"/>
        </w:rPr>
      </w:pPr>
    </w:p>
    <w:p>
      <w:pPr>
        <w:jc w:val="center"/>
        <w:ind w:left="148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PART I. FINANCIAL INFORMATION</w:t>
      </w:r>
    </w:p>
    <w:p>
      <w:pPr>
        <w:spacing w:after="0" w:line="162" w:lineRule="exact"/>
        <w:rPr>
          <w:sz w:val="20"/>
          <w:szCs w:val="20"/>
          <w:color w:val="auto"/>
        </w:rPr>
      </w:pPr>
    </w:p>
    <w:p>
      <w:pPr>
        <w:ind w:left="80"/>
        <w:spacing w:after="0"/>
        <w:tabs>
          <w:tab w:leader="none" w:pos="1360" w:val="left"/>
        </w:tabs>
        <w:rPr>
          <w:rFonts w:ascii="Arial" w:cs="Arial" w:eastAsia="Arial" w:hAnsi="Arial"/>
          <w:sz w:val="16"/>
          <w:szCs w:val="16"/>
          <w:u w:val="single" w:color="auto"/>
          <w:color w:val="0000FF"/>
        </w:rPr>
      </w:pPr>
      <w:hyperlink w:anchor="page3">
        <w:r>
          <w:rPr>
            <w:rFonts w:ascii="Arial" w:cs="Arial" w:eastAsia="Arial" w:hAnsi="Arial"/>
            <w:sz w:val="18"/>
            <w:szCs w:val="18"/>
            <w:color w:val="0000FF"/>
          </w:rPr>
          <w:t>Item 1.</w:t>
        </w:r>
      </w:hyperlink>
      <w:r>
        <w:rPr>
          <w:rFonts w:ascii="Arial" w:cs="Arial" w:eastAsia="Arial" w:hAnsi="Arial"/>
          <w:sz w:val="18"/>
          <w:szCs w:val="18"/>
          <w:color w:val="0000FF"/>
        </w:rPr>
        <w:tab/>
      </w:r>
      <w:hyperlink w:anchor="page3">
        <w:r>
          <w:rPr>
            <w:rFonts w:ascii="Arial" w:cs="Arial" w:eastAsia="Arial" w:hAnsi="Arial"/>
            <w:sz w:val="16"/>
            <w:szCs w:val="16"/>
            <w:u w:val="single" w:color="auto"/>
            <w:color w:val="0000FF"/>
          </w:rPr>
          <w:t>Consolidated Financial Statements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-130175</wp:posOffset>
            </wp:positionV>
            <wp:extent cx="7115175" cy="205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205740"/>
                    </a:xfrm>
                    <a:prstGeom prst="rect">
                      <a:avLst/>
                    </a:prstGeom>
                    <a:noFill/>
                  </pic:spPr>
                </pic:pic>
              </a:graphicData>
            </a:graphic>
          </wp:anchor>
        </w:drawing>
      </w:r>
    </w:p>
    <w:p>
      <w:pPr>
        <w:spacing w:after="0" w:line="97" w:lineRule="exact"/>
        <w:rPr>
          <w:sz w:val="20"/>
          <w:szCs w:val="20"/>
          <w:color w:val="auto"/>
        </w:rPr>
      </w:pPr>
    </w:p>
    <w:p>
      <w:pPr>
        <w:ind w:left="13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Consolidated Balance Sheets as of June 30, 2020 and December 31, 2019</w:t>
        </w:r>
      </w:hyperlink>
    </w:p>
    <w:p>
      <w:pPr>
        <w:spacing w:after="0" w:line="117" w:lineRule="exact"/>
        <w:rPr>
          <w:sz w:val="20"/>
          <w:szCs w:val="20"/>
          <w:color w:val="auto"/>
        </w:rPr>
      </w:pPr>
    </w:p>
    <w:p>
      <w:pPr>
        <w:ind w:left="1380"/>
        <w:spacing w:after="0" w:line="235" w:lineRule="auto"/>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Consolidated Statements of Operations and Comprehensive Loss for the Three</w:t>
        </w:r>
        <w:r>
          <w:rPr>
            <w:rFonts w:ascii="Arial" w:cs="Arial" w:eastAsia="Arial" w:hAnsi="Arial"/>
            <w:sz w:val="18"/>
            <w:szCs w:val="18"/>
            <w:color w:val="0000FF"/>
          </w:rPr>
          <w:t xml:space="preserve"> and Six Months Ended June 30, 2020</w:t>
        </w:r>
      </w:hyperlink>
      <w:r>
        <w:rPr>
          <w:rFonts w:ascii="Arial" w:cs="Arial" w:eastAsia="Arial" w:hAnsi="Arial"/>
          <w:sz w:val="18"/>
          <w:szCs w:val="18"/>
          <w:color w:val="0000FF"/>
        </w:rPr>
        <w:t xml:space="preserve"> </w:t>
      </w:r>
      <w:hyperlink w:anchor="page3">
        <w:r>
          <w:rPr>
            <w:rFonts w:ascii="Arial" w:cs="Arial" w:eastAsia="Arial" w:hAnsi="Arial"/>
            <w:sz w:val="18"/>
            <w:szCs w:val="18"/>
            <w:u w:val="single" w:color="auto"/>
            <w:color w:val="0000FF"/>
          </w:rPr>
          <w:t>and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-256540</wp:posOffset>
            </wp:positionV>
            <wp:extent cx="7115175" cy="316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316865"/>
                    </a:xfrm>
                    <a:prstGeom prst="rect">
                      <a:avLst/>
                    </a:prstGeom>
                    <a:noFill/>
                  </pic:spPr>
                </pic:pic>
              </a:graphicData>
            </a:graphic>
          </wp:anchor>
        </w:drawing>
      </w:r>
    </w:p>
    <w:p>
      <w:pPr>
        <w:spacing w:after="0" w:line="74" w:lineRule="exact"/>
        <w:rPr>
          <w:sz w:val="20"/>
          <w:szCs w:val="20"/>
          <w:color w:val="auto"/>
        </w:rPr>
      </w:pPr>
    </w:p>
    <w:p>
      <w:pPr>
        <w:ind w:left="13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Consolidated Statements of Stockholders' Equity for the Three and Six Months Ended June 30, 2020</w:t>
        </w:r>
      </w:hyperlink>
    </w:p>
    <w:p>
      <w:pPr>
        <w:spacing w:after="0" w:line="117" w:lineRule="exact"/>
        <w:rPr>
          <w:sz w:val="20"/>
          <w:szCs w:val="20"/>
          <w:color w:val="auto"/>
        </w:rPr>
      </w:pPr>
    </w:p>
    <w:p>
      <w:pPr>
        <w:ind w:left="1380"/>
        <w:spacing w:after="0"/>
        <w:rPr>
          <w:rFonts w:ascii="Arial" w:cs="Arial" w:eastAsia="Arial" w:hAnsi="Arial"/>
          <w:sz w:val="18"/>
          <w:szCs w:val="18"/>
          <w:color w:val="0000FF"/>
        </w:rPr>
      </w:pPr>
      <w:hyperlink w:anchor="page5">
        <w:r>
          <w:rPr>
            <w:rFonts w:ascii="Arial" w:cs="Arial" w:eastAsia="Arial" w:hAnsi="Arial"/>
            <w:sz w:val="18"/>
            <w:szCs w:val="18"/>
            <w:u w:val="single" w:color="auto"/>
            <w:color w:val="0000FF"/>
          </w:rPr>
          <w:t>Consolidated Statements of Stockholders’ Equity for the Three</w:t>
        </w:r>
        <w:r>
          <w:rPr>
            <w:rFonts w:ascii="Arial" w:cs="Arial" w:eastAsia="Arial" w:hAnsi="Arial"/>
            <w:sz w:val="18"/>
            <w:szCs w:val="18"/>
            <w:color w:val="0000FF"/>
          </w:rPr>
          <w:t xml:space="preserve"> </w:t>
        </w:r>
      </w:hyperlink>
      <w:hyperlink w:anchor="page4">
        <w:r>
          <w:rPr>
            <w:rFonts w:ascii="Arial" w:cs="Arial" w:eastAsia="Arial" w:hAnsi="Arial"/>
            <w:sz w:val="18"/>
            <w:szCs w:val="18"/>
            <w:color w:val="0000FF"/>
          </w:rPr>
          <w:t xml:space="preserve">and Six </w:t>
        </w:r>
      </w:hyperlink>
      <w:hyperlink w:anchor="page5">
        <w:r>
          <w:rPr>
            <w:rFonts w:ascii="Arial" w:cs="Arial" w:eastAsia="Arial" w:hAnsi="Arial"/>
            <w:sz w:val="18"/>
            <w:szCs w:val="18"/>
            <w:color w:val="0000FF"/>
          </w:rPr>
          <w:t xml:space="preserve">Months Ended June 30, </w:t>
        </w:r>
        <w:r>
          <w:rPr>
            <w:rFonts w:ascii="Arial" w:cs="Arial" w:eastAsia="Arial" w:hAnsi="Arial"/>
            <w:sz w:val="18"/>
            <w:szCs w:val="18"/>
            <w:u w:val="single" w:color="auto"/>
            <w:color w:val="0000FF"/>
          </w:rPr>
          <w:t>2019</w:t>
        </w:r>
      </w:hyperlink>
    </w:p>
    <w:p>
      <w:pPr>
        <w:spacing w:after="0" w:line="20" w:lineRule="exact"/>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column">
              <wp:posOffset>13335</wp:posOffset>
            </wp:positionH>
            <wp:positionV relativeFrom="paragraph">
              <wp:posOffset>-130175</wp:posOffset>
            </wp:positionV>
            <wp:extent cx="7115175"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205740"/>
                    </a:xfrm>
                    <a:prstGeom prst="rect">
                      <a:avLst/>
                    </a:prstGeom>
                    <a:noFill/>
                  </pic:spPr>
                </pic:pic>
              </a:graphicData>
            </a:graphic>
          </wp:anchor>
        </w:drawing>
      </w:r>
    </w:p>
    <w:p>
      <w:pPr>
        <w:spacing w:after="0" w:line="97" w:lineRule="exact"/>
        <w:rPr>
          <w:rFonts w:ascii="Arial" w:cs="Arial" w:eastAsia="Arial" w:hAnsi="Arial"/>
          <w:sz w:val="18"/>
          <w:szCs w:val="18"/>
          <w:color w:val="0000FF"/>
        </w:rPr>
      </w:pPr>
    </w:p>
    <w:p>
      <w:pPr>
        <w:ind w:left="1380"/>
        <w:spacing w:after="0"/>
        <w:rPr>
          <w:rFonts w:ascii="Arial" w:cs="Arial" w:eastAsia="Arial" w:hAnsi="Arial"/>
          <w:sz w:val="18"/>
          <w:szCs w:val="18"/>
          <w:color w:val="0000FF"/>
        </w:rPr>
      </w:pPr>
      <w:hyperlink w:anchor="page6">
        <w:r>
          <w:rPr>
            <w:rFonts w:ascii="Arial" w:cs="Arial" w:eastAsia="Arial" w:hAnsi="Arial"/>
            <w:sz w:val="18"/>
            <w:szCs w:val="18"/>
            <w:u w:val="single" w:color="auto"/>
            <w:color w:val="0000FF"/>
          </w:rPr>
          <w:t>Consolidated Statements of Cash Flows for the Six Months Ended June 30</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2020 and 2019</w:t>
        </w:r>
      </w:hyperlink>
    </w:p>
    <w:p>
      <w:pPr>
        <w:spacing w:after="0" w:line="117" w:lineRule="exact"/>
        <w:rPr>
          <w:rFonts w:ascii="Arial" w:cs="Arial" w:eastAsia="Arial" w:hAnsi="Arial"/>
          <w:sz w:val="18"/>
          <w:szCs w:val="18"/>
          <w:color w:val="0000FF"/>
        </w:rPr>
      </w:pPr>
    </w:p>
    <w:p>
      <w:pPr>
        <w:ind w:left="138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the Unaudited Consolidated Financial Statements</w:t>
        </w:r>
      </w:hyperlink>
    </w:p>
    <w:p>
      <w:pPr>
        <w:spacing w:after="0" w:line="20" w:lineRule="exact"/>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column">
              <wp:posOffset>13335</wp:posOffset>
            </wp:positionH>
            <wp:positionV relativeFrom="paragraph">
              <wp:posOffset>-130175</wp:posOffset>
            </wp:positionV>
            <wp:extent cx="7115175"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205740"/>
                    </a:xfrm>
                    <a:prstGeom prst="rect">
                      <a:avLst/>
                    </a:prstGeom>
                    <a:noFill/>
                  </pic:spPr>
                </pic:pic>
              </a:graphicData>
            </a:graphic>
          </wp:anchor>
        </w:drawing>
      </w:r>
    </w:p>
    <w:p>
      <w:pPr>
        <w:spacing w:after="0" w:line="97" w:lineRule="exact"/>
        <w:rPr>
          <w:rFonts w:ascii="Arial" w:cs="Arial" w:eastAsia="Arial" w:hAnsi="Arial"/>
          <w:sz w:val="18"/>
          <w:szCs w:val="18"/>
          <w:color w:val="0000FF"/>
        </w:rPr>
      </w:pPr>
    </w:p>
    <w:p>
      <w:pPr>
        <w:ind w:left="80"/>
        <w:spacing w:after="0"/>
        <w:tabs>
          <w:tab w:leader="none" w:pos="1360" w:val="left"/>
        </w:tabs>
        <w:rPr>
          <w:rFonts w:ascii="Arial" w:cs="Arial" w:eastAsia="Arial" w:hAnsi="Arial"/>
          <w:sz w:val="16"/>
          <w:szCs w:val="16"/>
          <w:u w:val="single" w:color="auto"/>
          <w:color w:val="0000FF"/>
        </w:rPr>
      </w:pPr>
      <w:hyperlink w:anchor="page21">
        <w:r>
          <w:rPr>
            <w:rFonts w:ascii="Arial" w:cs="Arial" w:eastAsia="Arial" w:hAnsi="Arial"/>
            <w:sz w:val="18"/>
            <w:szCs w:val="18"/>
            <w:color w:val="0000FF"/>
          </w:rPr>
          <w:t>Item 2.</w:t>
        </w:r>
      </w:hyperlink>
      <w:r>
        <w:rPr>
          <w:rFonts w:ascii="Arial" w:cs="Arial" w:eastAsia="Arial" w:hAnsi="Arial"/>
          <w:sz w:val="18"/>
          <w:szCs w:val="18"/>
          <w:color w:val="0000FF"/>
        </w:rPr>
        <w:tab/>
      </w:r>
      <w:hyperlink w:anchor="page21">
        <w:r>
          <w:rPr>
            <w:rFonts w:ascii="Arial" w:cs="Arial" w:eastAsia="Arial" w:hAnsi="Arial"/>
            <w:sz w:val="16"/>
            <w:szCs w:val="16"/>
            <w:u w:val="single" w:color="auto"/>
            <w:color w:val="0000FF"/>
          </w:rPr>
          <w:t>Management’s Discussion and Analysis of Financial Condition and Results of Operations</w:t>
        </w:r>
      </w:hyperlink>
    </w:p>
    <w:p>
      <w:pPr>
        <w:spacing w:after="0" w:line="117" w:lineRule="exact"/>
        <w:rPr>
          <w:sz w:val="20"/>
          <w:szCs w:val="20"/>
          <w:color w:val="auto"/>
        </w:rPr>
      </w:pPr>
    </w:p>
    <w:p>
      <w:pPr>
        <w:ind w:left="80"/>
        <w:spacing w:after="0"/>
        <w:tabs>
          <w:tab w:leader="none" w:pos="1360" w:val="left"/>
        </w:tabs>
        <w:rPr>
          <w:rFonts w:ascii="Arial" w:cs="Arial" w:eastAsia="Arial" w:hAnsi="Arial"/>
          <w:sz w:val="16"/>
          <w:szCs w:val="16"/>
          <w:u w:val="single" w:color="auto"/>
          <w:color w:val="0000FF"/>
        </w:rPr>
      </w:pPr>
      <w:hyperlink w:anchor="page30">
        <w:r>
          <w:rPr>
            <w:rFonts w:ascii="Arial" w:cs="Arial" w:eastAsia="Arial" w:hAnsi="Arial"/>
            <w:sz w:val="18"/>
            <w:szCs w:val="18"/>
            <w:color w:val="0000FF"/>
          </w:rPr>
          <w:t>Item 3.</w:t>
        </w:r>
      </w:hyperlink>
      <w:r>
        <w:rPr>
          <w:rFonts w:ascii="Arial" w:cs="Arial" w:eastAsia="Arial" w:hAnsi="Arial"/>
          <w:sz w:val="18"/>
          <w:szCs w:val="18"/>
          <w:color w:val="0000FF"/>
        </w:rPr>
        <w:tab/>
      </w:r>
      <w:hyperlink w:anchor="page30">
        <w:r>
          <w:rPr>
            <w:rFonts w:ascii="Arial" w:cs="Arial" w:eastAsia="Arial" w:hAnsi="Arial"/>
            <w:sz w:val="16"/>
            <w:szCs w:val="16"/>
            <w:u w:val="single" w:color="auto"/>
            <w:color w:val="0000FF"/>
          </w:rPr>
          <w:t>Quantitative and Qualitative Disclosures About Market Risk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-130175</wp:posOffset>
            </wp:positionV>
            <wp:extent cx="7115175"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205740"/>
                    </a:xfrm>
                    <a:prstGeom prst="rect">
                      <a:avLst/>
                    </a:prstGeom>
                    <a:noFill/>
                  </pic:spPr>
                </pic:pic>
              </a:graphicData>
            </a:graphic>
          </wp:anchor>
        </w:drawing>
      </w:r>
    </w:p>
    <w:p>
      <w:pPr>
        <w:spacing w:after="0" w:line="97" w:lineRule="exact"/>
        <w:rPr>
          <w:sz w:val="20"/>
          <w:szCs w:val="20"/>
          <w:color w:val="auto"/>
        </w:rPr>
      </w:pPr>
    </w:p>
    <w:p>
      <w:pPr>
        <w:ind w:left="80"/>
        <w:spacing w:after="0"/>
        <w:tabs>
          <w:tab w:leader="none" w:pos="1400" w:val="left"/>
        </w:tabs>
        <w:rPr>
          <w:rFonts w:ascii="Arial" w:cs="Arial" w:eastAsia="Arial" w:hAnsi="Arial"/>
          <w:sz w:val="15"/>
          <w:szCs w:val="15"/>
          <w:u w:val="single" w:color="auto"/>
          <w:color w:val="0000FF"/>
        </w:rPr>
      </w:pPr>
      <w:hyperlink w:anchor="page31">
        <w:r>
          <w:rPr>
            <w:rFonts w:ascii="Arial" w:cs="Arial" w:eastAsia="Arial" w:hAnsi="Arial"/>
            <w:sz w:val="18"/>
            <w:szCs w:val="18"/>
            <w:color w:val="0000FF"/>
          </w:rPr>
          <w:t>Item 4.</w:t>
        </w:r>
      </w:hyperlink>
      <w:r>
        <w:rPr>
          <w:rFonts w:ascii="Arial" w:cs="Arial" w:eastAsia="Arial" w:hAnsi="Arial"/>
          <w:sz w:val="18"/>
          <w:szCs w:val="18"/>
          <w:color w:val="0000FF"/>
        </w:rPr>
        <w:tab/>
      </w:r>
      <w:hyperlink w:anchor="page31">
        <w:r>
          <w:rPr>
            <w:rFonts w:ascii="Arial" w:cs="Arial" w:eastAsia="Arial" w:hAnsi="Arial"/>
            <w:sz w:val="15"/>
            <w:szCs w:val="15"/>
            <w:u w:val="single" w:color="auto"/>
            <w:color w:val="0000FF"/>
          </w:rPr>
          <w:t>Controls and Procedures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74930</wp:posOffset>
            </wp:positionV>
            <wp:extent cx="71151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7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46355</wp:posOffset>
            </wp:positionV>
            <wp:extent cx="822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46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p>
      <w:pPr>
        <w:spacing w:after="0" w:line="117" w:lineRule="exact"/>
        <w:rPr>
          <w:sz w:val="20"/>
          <w:szCs w:val="20"/>
          <w:color w:val="auto"/>
        </w:rPr>
      </w:pPr>
    </w:p>
    <w:p>
      <w:pPr>
        <w:ind w:left="46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p>
      <w:pPr>
        <w:spacing w:after="0" w:line="293" w:lineRule="exact"/>
        <w:rPr>
          <w:sz w:val="20"/>
          <w:szCs w:val="20"/>
          <w:color w:val="auto"/>
        </w:rPr>
      </w:pPr>
    </w:p>
    <w:p>
      <w:pPr>
        <w:ind w:left="46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p>
      <w:pPr>
        <w:spacing w:after="0" w:line="117" w:lineRule="exact"/>
        <w:rPr>
          <w:sz w:val="20"/>
          <w:szCs w:val="20"/>
          <w:color w:val="auto"/>
        </w:rPr>
      </w:pPr>
    </w:p>
    <w:p>
      <w:pPr>
        <w:ind w:left="460"/>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p>
      <w:pPr>
        <w:spacing w:after="0" w:line="117" w:lineRule="exact"/>
        <w:rPr>
          <w:sz w:val="20"/>
          <w:szCs w:val="20"/>
          <w:color w:val="auto"/>
        </w:rPr>
      </w:pPr>
    </w:p>
    <w:p>
      <w:pPr>
        <w:ind w:left="46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p>
      <w:pPr>
        <w:spacing w:after="0" w:line="117" w:lineRule="exact"/>
        <w:rPr>
          <w:sz w:val="20"/>
          <w:szCs w:val="20"/>
          <w:color w:val="auto"/>
        </w:rPr>
      </w:pPr>
    </w:p>
    <w:p>
      <w:pPr>
        <w:ind w:left="460"/>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p>
      <w:pPr>
        <w:spacing w:after="0" w:line="117" w:lineRule="exact"/>
        <w:rPr>
          <w:sz w:val="20"/>
          <w:szCs w:val="20"/>
          <w:color w:val="auto"/>
        </w:rPr>
      </w:pPr>
    </w:p>
    <w:p>
      <w:pPr>
        <w:ind w:left="460"/>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p>
      <w:pPr>
        <w:spacing w:after="0" w:line="117" w:lineRule="exact"/>
        <w:rPr>
          <w:sz w:val="20"/>
          <w:szCs w:val="20"/>
          <w:color w:val="auto"/>
        </w:rPr>
      </w:pPr>
    </w:p>
    <w:p>
      <w:pPr>
        <w:ind w:left="400"/>
        <w:spacing w:after="0"/>
        <w:rPr>
          <w:rFonts w:ascii="Arial" w:cs="Arial" w:eastAsia="Arial" w:hAnsi="Arial"/>
          <w:sz w:val="18"/>
          <w:szCs w:val="18"/>
          <w:color w:val="0000FF"/>
        </w:rPr>
      </w:pPr>
      <w:hyperlink w:anchor="page21">
        <w:r>
          <w:rPr>
            <w:rFonts w:ascii="Arial" w:cs="Arial" w:eastAsia="Arial" w:hAnsi="Arial"/>
            <w:sz w:val="18"/>
            <w:szCs w:val="18"/>
            <w:color w:val="0000FF"/>
          </w:rPr>
          <w:t>20</w:t>
        </w:r>
      </w:hyperlink>
    </w:p>
    <w:p>
      <w:pPr>
        <w:spacing w:after="0" w:line="117" w:lineRule="exact"/>
        <w:rPr>
          <w:sz w:val="20"/>
          <w:szCs w:val="20"/>
          <w:color w:val="auto"/>
        </w:rPr>
      </w:pPr>
    </w:p>
    <w:p>
      <w:pPr>
        <w:ind w:left="400"/>
        <w:spacing w:after="0"/>
        <w:rPr>
          <w:rFonts w:ascii="Arial" w:cs="Arial" w:eastAsia="Arial" w:hAnsi="Arial"/>
          <w:sz w:val="18"/>
          <w:szCs w:val="18"/>
          <w:color w:val="0000FF"/>
        </w:rPr>
      </w:pPr>
      <w:hyperlink w:anchor="page30">
        <w:r>
          <w:rPr>
            <w:rFonts w:ascii="Arial" w:cs="Arial" w:eastAsia="Arial" w:hAnsi="Arial"/>
            <w:sz w:val="18"/>
            <w:szCs w:val="18"/>
            <w:color w:val="0000FF"/>
          </w:rPr>
          <w:t>29</w:t>
        </w:r>
      </w:hyperlink>
    </w:p>
    <w:p>
      <w:pPr>
        <w:spacing w:after="0" w:line="117" w:lineRule="exact"/>
        <w:rPr>
          <w:sz w:val="20"/>
          <w:szCs w:val="20"/>
          <w:color w:val="auto"/>
        </w:rPr>
      </w:pPr>
    </w:p>
    <w:p>
      <w:pPr>
        <w:ind w:left="400"/>
        <w:spacing w:after="0"/>
        <w:rPr>
          <w:rFonts w:ascii="Arial" w:cs="Arial" w:eastAsia="Arial" w:hAnsi="Arial"/>
          <w:sz w:val="18"/>
          <w:szCs w:val="18"/>
          <w:color w:val="0000FF"/>
        </w:rPr>
      </w:pPr>
      <w:hyperlink w:anchor="page31">
        <w:r>
          <w:rPr>
            <w:rFonts w:ascii="Arial" w:cs="Arial" w:eastAsia="Arial" w:hAnsi="Arial"/>
            <w:sz w:val="18"/>
            <w:szCs w:val="18"/>
            <w:color w:val="0000FF"/>
          </w:rPr>
          <w:t>29</w:t>
        </w:r>
      </w:hyperlink>
    </w:p>
    <w:p>
      <w:pPr>
        <w:spacing w:after="0" w:line="563" w:lineRule="exact"/>
        <w:rPr>
          <w:sz w:val="20"/>
          <w:szCs w:val="20"/>
          <w:color w:val="auto"/>
        </w:rPr>
      </w:pPr>
    </w:p>
    <w:p>
      <w:pPr>
        <w:sectPr>
          <w:pgSz w:w="11900" w:h="16838" w:orient="portrait"/>
          <w:cols w:equalWidth="0" w:num="2">
            <w:col w:w="9780" w:space="300"/>
            <w:col w:w="1160"/>
          </w:cols>
          <w:pgMar w:left="320" w:top="895" w:right="339" w:bottom="1440" w:gutter="0" w:footer="0" w:header="0"/>
        </w:sectPr>
      </w:pPr>
    </w:p>
    <w:tbl>
      <w:tblPr>
        <w:tblLayout w:type="fixed"/>
        <w:tblInd w:w="20" w:type="dxa"/>
        <w:tblCellMar>
          <w:top w:w="0" w:type="dxa"/>
          <w:left w:w="0" w:type="dxa"/>
          <w:bottom w:w="0" w:type="dxa"/>
          <w:right w:w="0" w:type="dxa"/>
        </w:tblCellMar>
      </w:tblPr>
      <w:tr>
        <w:trPr>
          <w:trHeight w:val="270"/>
        </w:trPr>
        <w:tc>
          <w:tcPr>
            <w:tcW w:w="1020" w:type="dxa"/>
            <w:vAlign w:val="bottom"/>
            <w:shd w:val="clear" w:color="auto" w:fill="CCEEFF"/>
          </w:tcPr>
          <w:p>
            <w:pPr>
              <w:spacing w:after="0"/>
              <w:rPr>
                <w:sz w:val="23"/>
                <w:szCs w:val="23"/>
                <w:color w:val="auto"/>
              </w:rPr>
            </w:pPr>
          </w:p>
        </w:tc>
        <w:tc>
          <w:tcPr>
            <w:tcW w:w="7060" w:type="dxa"/>
            <w:vAlign w:val="bottom"/>
            <w:shd w:val="clear" w:color="auto" w:fill="CCEEFF"/>
          </w:tcPr>
          <w:p>
            <w:pPr>
              <w:spacing w:after="0"/>
              <w:rPr>
                <w:sz w:val="23"/>
                <w:szCs w:val="23"/>
                <w:color w:val="auto"/>
              </w:rPr>
            </w:pPr>
          </w:p>
        </w:tc>
        <w:tc>
          <w:tcPr>
            <w:tcW w:w="3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020" w:type="dxa"/>
            <w:vAlign w:val="bottom"/>
          </w:tcPr>
          <w:p>
            <w:pPr>
              <w:ind w:left="60"/>
              <w:spacing w:after="0"/>
              <w:rPr>
                <w:rFonts w:ascii="Arial" w:cs="Arial" w:eastAsia="Arial" w:hAnsi="Arial"/>
                <w:sz w:val="18"/>
                <w:szCs w:val="18"/>
                <w:color w:val="0000FF"/>
              </w:rPr>
            </w:pPr>
            <w:hyperlink w:anchor="page32">
              <w:r>
                <w:rPr>
                  <w:rFonts w:ascii="Arial" w:cs="Arial" w:eastAsia="Arial" w:hAnsi="Arial"/>
                  <w:sz w:val="18"/>
                  <w:szCs w:val="18"/>
                  <w:color w:val="0000FF"/>
                </w:rPr>
                <w:t>Item 1.</w:t>
              </w:r>
            </w:hyperlink>
          </w:p>
        </w:tc>
        <w:tc>
          <w:tcPr>
            <w:tcW w:w="7060" w:type="dxa"/>
            <w:vAlign w:val="bottom"/>
          </w:tcPr>
          <w:p>
            <w:pPr>
              <w:ind w:left="34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Legal Proceedings</w:t>
              </w:r>
            </w:hyperlink>
          </w:p>
        </w:tc>
        <w:tc>
          <w:tcPr>
            <w:tcW w:w="3120" w:type="dxa"/>
            <w:vAlign w:val="bottom"/>
            <w:vMerge w:val="restart"/>
          </w:tcPr>
          <w:p>
            <w:pPr>
              <w:jc w:val="right"/>
              <w:ind w:right="470"/>
              <w:spacing w:after="0"/>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c>
          <w:tcPr>
            <w:tcW w:w="0" w:type="dxa"/>
            <w:vAlign w:val="bottom"/>
          </w:tcPr>
          <w:p>
            <w:pPr>
              <w:spacing w:after="0"/>
              <w:rPr>
                <w:sz w:val="1"/>
                <w:szCs w:val="1"/>
                <w:color w:val="auto"/>
              </w:rPr>
            </w:pPr>
          </w:p>
        </w:tc>
      </w:tr>
      <w:tr>
        <w:trPr>
          <w:trHeight w:val="94"/>
        </w:trPr>
        <w:tc>
          <w:tcPr>
            <w:tcW w:w="10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3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020" w:type="dxa"/>
            <w:vAlign w:val="bottom"/>
            <w:shd w:val="clear" w:color="auto" w:fill="CCEEFF"/>
          </w:tcPr>
          <w:p>
            <w:pPr>
              <w:ind w:left="60"/>
              <w:spacing w:after="0"/>
              <w:rPr>
                <w:rFonts w:ascii="Arial" w:cs="Arial" w:eastAsia="Arial" w:hAnsi="Arial"/>
                <w:sz w:val="18"/>
                <w:szCs w:val="18"/>
                <w:color w:val="0000FF"/>
              </w:rPr>
            </w:pPr>
            <w:hyperlink w:anchor="page32">
              <w:r>
                <w:rPr>
                  <w:rFonts w:ascii="Arial" w:cs="Arial" w:eastAsia="Arial" w:hAnsi="Arial"/>
                  <w:sz w:val="18"/>
                  <w:szCs w:val="18"/>
                  <w:color w:val="0000FF"/>
                </w:rPr>
                <w:t>Item 1A.</w:t>
              </w:r>
            </w:hyperlink>
          </w:p>
        </w:tc>
        <w:tc>
          <w:tcPr>
            <w:tcW w:w="7060" w:type="dxa"/>
            <w:vAlign w:val="bottom"/>
            <w:shd w:val="clear" w:color="auto" w:fill="CCEEFF"/>
          </w:tcPr>
          <w:p>
            <w:pPr>
              <w:ind w:left="34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Risk Factors</w:t>
              </w:r>
            </w:hyperlink>
          </w:p>
        </w:tc>
        <w:tc>
          <w:tcPr>
            <w:tcW w:w="3120" w:type="dxa"/>
            <w:vAlign w:val="bottom"/>
            <w:vMerge w:val="restart"/>
            <w:shd w:val="clear" w:color="auto" w:fill="CCEEFF"/>
          </w:tcPr>
          <w:p>
            <w:pPr>
              <w:jc w:val="right"/>
              <w:ind w:right="470"/>
              <w:spacing w:after="0"/>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c>
          <w:tcPr>
            <w:tcW w:w="0" w:type="dxa"/>
            <w:vAlign w:val="bottom"/>
          </w:tcPr>
          <w:p>
            <w:pPr>
              <w:spacing w:after="0"/>
              <w:rPr>
                <w:sz w:val="1"/>
                <w:szCs w:val="1"/>
                <w:color w:val="auto"/>
              </w:rPr>
            </w:pPr>
          </w:p>
        </w:tc>
      </w:tr>
      <w:tr>
        <w:trPr>
          <w:trHeight w:val="94"/>
        </w:trPr>
        <w:tc>
          <w:tcPr>
            <w:tcW w:w="1020" w:type="dxa"/>
            <w:vAlign w:val="bottom"/>
            <w:shd w:val="clear" w:color="auto" w:fill="CCEEFF"/>
          </w:tcPr>
          <w:p>
            <w:pPr>
              <w:spacing w:after="0"/>
              <w:rPr>
                <w:sz w:val="8"/>
                <w:szCs w:val="8"/>
                <w:color w:val="auto"/>
              </w:rPr>
            </w:pPr>
          </w:p>
        </w:tc>
        <w:tc>
          <w:tcPr>
            <w:tcW w:w="7060" w:type="dxa"/>
            <w:vAlign w:val="bottom"/>
            <w:shd w:val="clear" w:color="auto" w:fill="CCEEFF"/>
          </w:tcPr>
          <w:p>
            <w:pPr>
              <w:spacing w:after="0"/>
              <w:rPr>
                <w:sz w:val="8"/>
                <w:szCs w:val="8"/>
                <w:color w:val="auto"/>
              </w:rPr>
            </w:pPr>
          </w:p>
        </w:tc>
        <w:tc>
          <w:tcPr>
            <w:tcW w:w="31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020" w:type="dxa"/>
            <w:vAlign w:val="bottom"/>
          </w:tcPr>
          <w:p>
            <w:pPr>
              <w:ind w:left="60"/>
              <w:spacing w:after="0"/>
              <w:rPr>
                <w:rFonts w:ascii="Arial" w:cs="Arial" w:eastAsia="Arial" w:hAnsi="Arial"/>
                <w:sz w:val="18"/>
                <w:szCs w:val="18"/>
                <w:color w:val="0000FF"/>
              </w:rPr>
            </w:pPr>
            <w:hyperlink w:anchor="page68">
              <w:r>
                <w:rPr>
                  <w:rFonts w:ascii="Arial" w:cs="Arial" w:eastAsia="Arial" w:hAnsi="Arial"/>
                  <w:sz w:val="18"/>
                  <w:szCs w:val="18"/>
                  <w:color w:val="0000FF"/>
                </w:rPr>
                <w:t>Item 2.</w:t>
              </w:r>
            </w:hyperlink>
          </w:p>
        </w:tc>
        <w:tc>
          <w:tcPr>
            <w:tcW w:w="7060" w:type="dxa"/>
            <w:vAlign w:val="bottom"/>
          </w:tcPr>
          <w:p>
            <w:pPr>
              <w:ind w:left="34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Unregistered Sales of Equity Securities and Use of Proceeds</w:t>
              </w:r>
            </w:hyperlink>
          </w:p>
        </w:tc>
        <w:tc>
          <w:tcPr>
            <w:tcW w:w="3120" w:type="dxa"/>
            <w:vAlign w:val="bottom"/>
            <w:vMerge w:val="restart"/>
          </w:tcPr>
          <w:p>
            <w:pPr>
              <w:jc w:val="right"/>
              <w:ind w:right="470"/>
              <w:spacing w:after="0"/>
              <w:rPr>
                <w:rFonts w:ascii="Arial" w:cs="Arial" w:eastAsia="Arial" w:hAnsi="Arial"/>
                <w:sz w:val="18"/>
                <w:szCs w:val="18"/>
                <w:color w:val="0000FF"/>
              </w:rPr>
            </w:pPr>
            <w:hyperlink w:anchor="page68">
              <w:r>
                <w:rPr>
                  <w:rFonts w:ascii="Arial" w:cs="Arial" w:eastAsia="Arial" w:hAnsi="Arial"/>
                  <w:sz w:val="18"/>
                  <w:szCs w:val="18"/>
                  <w:color w:val="0000FF"/>
                </w:rPr>
                <w:t>66</w:t>
              </w:r>
            </w:hyperlink>
          </w:p>
        </w:tc>
        <w:tc>
          <w:tcPr>
            <w:tcW w:w="0" w:type="dxa"/>
            <w:vAlign w:val="bottom"/>
          </w:tcPr>
          <w:p>
            <w:pPr>
              <w:spacing w:after="0"/>
              <w:rPr>
                <w:sz w:val="1"/>
                <w:szCs w:val="1"/>
                <w:color w:val="auto"/>
              </w:rPr>
            </w:pPr>
          </w:p>
        </w:tc>
      </w:tr>
      <w:tr>
        <w:trPr>
          <w:trHeight w:val="94"/>
        </w:trPr>
        <w:tc>
          <w:tcPr>
            <w:tcW w:w="10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3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020" w:type="dxa"/>
            <w:vAlign w:val="bottom"/>
            <w:shd w:val="clear" w:color="auto" w:fill="CCEEFF"/>
          </w:tcPr>
          <w:p>
            <w:pPr>
              <w:ind w:left="60"/>
              <w:spacing w:after="0"/>
              <w:rPr>
                <w:rFonts w:ascii="Arial" w:cs="Arial" w:eastAsia="Arial" w:hAnsi="Arial"/>
                <w:sz w:val="18"/>
                <w:szCs w:val="18"/>
                <w:color w:val="0000FF"/>
              </w:rPr>
            </w:pPr>
            <w:hyperlink w:anchor="page68">
              <w:r>
                <w:rPr>
                  <w:rFonts w:ascii="Arial" w:cs="Arial" w:eastAsia="Arial" w:hAnsi="Arial"/>
                  <w:sz w:val="18"/>
                  <w:szCs w:val="18"/>
                  <w:color w:val="0000FF"/>
                </w:rPr>
                <w:t>Item 3.</w:t>
              </w:r>
            </w:hyperlink>
          </w:p>
        </w:tc>
        <w:tc>
          <w:tcPr>
            <w:tcW w:w="7060" w:type="dxa"/>
            <w:vAlign w:val="bottom"/>
            <w:shd w:val="clear" w:color="auto" w:fill="CCEEFF"/>
          </w:tcPr>
          <w:p>
            <w:pPr>
              <w:ind w:left="34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Defaults Upon Senior Securities</w:t>
              </w:r>
            </w:hyperlink>
          </w:p>
        </w:tc>
        <w:tc>
          <w:tcPr>
            <w:tcW w:w="3120" w:type="dxa"/>
            <w:vAlign w:val="bottom"/>
            <w:vMerge w:val="restart"/>
            <w:shd w:val="clear" w:color="auto" w:fill="CCEEFF"/>
          </w:tcPr>
          <w:p>
            <w:pPr>
              <w:jc w:val="right"/>
              <w:ind w:right="470"/>
              <w:spacing w:after="0"/>
              <w:rPr>
                <w:rFonts w:ascii="Arial" w:cs="Arial" w:eastAsia="Arial" w:hAnsi="Arial"/>
                <w:sz w:val="18"/>
                <w:szCs w:val="18"/>
                <w:color w:val="0000FF"/>
              </w:rPr>
            </w:pPr>
            <w:hyperlink w:anchor="page68">
              <w:r>
                <w:rPr>
                  <w:rFonts w:ascii="Arial" w:cs="Arial" w:eastAsia="Arial" w:hAnsi="Arial"/>
                  <w:sz w:val="18"/>
                  <w:szCs w:val="18"/>
                  <w:color w:val="0000FF"/>
                </w:rPr>
                <w:t>66</w:t>
              </w:r>
            </w:hyperlink>
          </w:p>
        </w:tc>
        <w:tc>
          <w:tcPr>
            <w:tcW w:w="0" w:type="dxa"/>
            <w:vAlign w:val="bottom"/>
          </w:tcPr>
          <w:p>
            <w:pPr>
              <w:spacing w:after="0"/>
              <w:rPr>
                <w:sz w:val="1"/>
                <w:szCs w:val="1"/>
                <w:color w:val="auto"/>
              </w:rPr>
            </w:pPr>
          </w:p>
        </w:tc>
      </w:tr>
      <w:tr>
        <w:trPr>
          <w:trHeight w:val="94"/>
        </w:trPr>
        <w:tc>
          <w:tcPr>
            <w:tcW w:w="1020" w:type="dxa"/>
            <w:vAlign w:val="bottom"/>
            <w:shd w:val="clear" w:color="auto" w:fill="CCEEFF"/>
          </w:tcPr>
          <w:p>
            <w:pPr>
              <w:spacing w:after="0"/>
              <w:rPr>
                <w:sz w:val="8"/>
                <w:szCs w:val="8"/>
                <w:color w:val="auto"/>
              </w:rPr>
            </w:pPr>
          </w:p>
        </w:tc>
        <w:tc>
          <w:tcPr>
            <w:tcW w:w="7060" w:type="dxa"/>
            <w:vAlign w:val="bottom"/>
            <w:shd w:val="clear" w:color="auto" w:fill="CCEEFF"/>
          </w:tcPr>
          <w:p>
            <w:pPr>
              <w:spacing w:after="0"/>
              <w:rPr>
                <w:sz w:val="8"/>
                <w:szCs w:val="8"/>
                <w:color w:val="auto"/>
              </w:rPr>
            </w:pPr>
          </w:p>
        </w:tc>
        <w:tc>
          <w:tcPr>
            <w:tcW w:w="31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020" w:type="dxa"/>
            <w:vAlign w:val="bottom"/>
          </w:tcPr>
          <w:p>
            <w:pPr>
              <w:ind w:left="60"/>
              <w:spacing w:after="0"/>
              <w:rPr>
                <w:rFonts w:ascii="Arial" w:cs="Arial" w:eastAsia="Arial" w:hAnsi="Arial"/>
                <w:sz w:val="18"/>
                <w:szCs w:val="18"/>
                <w:color w:val="0000FF"/>
              </w:rPr>
            </w:pPr>
            <w:hyperlink w:anchor="page68">
              <w:r>
                <w:rPr>
                  <w:rFonts w:ascii="Arial" w:cs="Arial" w:eastAsia="Arial" w:hAnsi="Arial"/>
                  <w:sz w:val="18"/>
                  <w:szCs w:val="18"/>
                  <w:color w:val="0000FF"/>
                </w:rPr>
                <w:t>Item 4.</w:t>
              </w:r>
            </w:hyperlink>
          </w:p>
        </w:tc>
        <w:tc>
          <w:tcPr>
            <w:tcW w:w="7060" w:type="dxa"/>
            <w:vAlign w:val="bottom"/>
          </w:tcPr>
          <w:p>
            <w:pPr>
              <w:ind w:left="34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Mine Safety Disclosures</w:t>
              </w:r>
            </w:hyperlink>
          </w:p>
        </w:tc>
        <w:tc>
          <w:tcPr>
            <w:tcW w:w="3120" w:type="dxa"/>
            <w:vAlign w:val="bottom"/>
            <w:vMerge w:val="restart"/>
          </w:tcPr>
          <w:p>
            <w:pPr>
              <w:jc w:val="right"/>
              <w:ind w:right="470"/>
              <w:spacing w:after="0"/>
              <w:rPr>
                <w:rFonts w:ascii="Arial" w:cs="Arial" w:eastAsia="Arial" w:hAnsi="Arial"/>
                <w:sz w:val="18"/>
                <w:szCs w:val="18"/>
                <w:color w:val="0000FF"/>
              </w:rPr>
            </w:pPr>
            <w:hyperlink w:anchor="page68">
              <w:r>
                <w:rPr>
                  <w:rFonts w:ascii="Arial" w:cs="Arial" w:eastAsia="Arial" w:hAnsi="Arial"/>
                  <w:sz w:val="18"/>
                  <w:szCs w:val="18"/>
                  <w:color w:val="0000FF"/>
                </w:rPr>
                <w:t>67</w:t>
              </w:r>
            </w:hyperlink>
          </w:p>
        </w:tc>
        <w:tc>
          <w:tcPr>
            <w:tcW w:w="0" w:type="dxa"/>
            <w:vAlign w:val="bottom"/>
          </w:tcPr>
          <w:p>
            <w:pPr>
              <w:spacing w:after="0"/>
              <w:rPr>
                <w:sz w:val="1"/>
                <w:szCs w:val="1"/>
                <w:color w:val="auto"/>
              </w:rPr>
            </w:pPr>
          </w:p>
        </w:tc>
      </w:tr>
      <w:tr>
        <w:trPr>
          <w:trHeight w:val="94"/>
        </w:trPr>
        <w:tc>
          <w:tcPr>
            <w:tcW w:w="10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3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020" w:type="dxa"/>
            <w:vAlign w:val="bottom"/>
            <w:shd w:val="clear" w:color="auto" w:fill="CCEEFF"/>
          </w:tcPr>
          <w:p>
            <w:pPr>
              <w:ind w:left="60"/>
              <w:spacing w:after="0"/>
              <w:rPr>
                <w:rFonts w:ascii="Arial" w:cs="Arial" w:eastAsia="Arial" w:hAnsi="Arial"/>
                <w:sz w:val="18"/>
                <w:szCs w:val="18"/>
                <w:color w:val="0000FF"/>
              </w:rPr>
            </w:pPr>
            <w:hyperlink w:anchor="page69">
              <w:r>
                <w:rPr>
                  <w:rFonts w:ascii="Arial" w:cs="Arial" w:eastAsia="Arial" w:hAnsi="Arial"/>
                  <w:sz w:val="18"/>
                  <w:szCs w:val="18"/>
                  <w:color w:val="0000FF"/>
                </w:rPr>
                <w:t>Item 5.</w:t>
              </w:r>
            </w:hyperlink>
          </w:p>
        </w:tc>
        <w:tc>
          <w:tcPr>
            <w:tcW w:w="7060" w:type="dxa"/>
            <w:vAlign w:val="bottom"/>
            <w:shd w:val="clear" w:color="auto" w:fill="CCEEFF"/>
          </w:tcPr>
          <w:p>
            <w:pPr>
              <w:ind w:left="34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Other Information</w:t>
              </w:r>
            </w:hyperlink>
          </w:p>
        </w:tc>
        <w:tc>
          <w:tcPr>
            <w:tcW w:w="3120" w:type="dxa"/>
            <w:vAlign w:val="bottom"/>
            <w:vMerge w:val="restart"/>
            <w:shd w:val="clear" w:color="auto" w:fill="CCEEFF"/>
          </w:tcPr>
          <w:p>
            <w:pPr>
              <w:jc w:val="right"/>
              <w:ind w:right="470"/>
              <w:spacing w:after="0"/>
              <w:rPr>
                <w:rFonts w:ascii="Arial" w:cs="Arial" w:eastAsia="Arial" w:hAnsi="Arial"/>
                <w:sz w:val="18"/>
                <w:szCs w:val="18"/>
                <w:color w:val="0000FF"/>
              </w:rPr>
            </w:pPr>
            <w:hyperlink w:anchor="page69">
              <w:r>
                <w:rPr>
                  <w:rFonts w:ascii="Arial" w:cs="Arial" w:eastAsia="Arial" w:hAnsi="Arial"/>
                  <w:sz w:val="18"/>
                  <w:szCs w:val="18"/>
                  <w:color w:val="0000FF"/>
                </w:rPr>
                <w:t>67</w:t>
              </w:r>
            </w:hyperlink>
          </w:p>
        </w:tc>
        <w:tc>
          <w:tcPr>
            <w:tcW w:w="0" w:type="dxa"/>
            <w:vAlign w:val="bottom"/>
          </w:tcPr>
          <w:p>
            <w:pPr>
              <w:spacing w:after="0"/>
              <w:rPr>
                <w:sz w:val="1"/>
                <w:szCs w:val="1"/>
                <w:color w:val="auto"/>
              </w:rPr>
            </w:pPr>
          </w:p>
        </w:tc>
      </w:tr>
      <w:tr>
        <w:trPr>
          <w:trHeight w:val="94"/>
        </w:trPr>
        <w:tc>
          <w:tcPr>
            <w:tcW w:w="1020" w:type="dxa"/>
            <w:vAlign w:val="bottom"/>
            <w:shd w:val="clear" w:color="auto" w:fill="CCEEFF"/>
          </w:tcPr>
          <w:p>
            <w:pPr>
              <w:spacing w:after="0"/>
              <w:rPr>
                <w:sz w:val="8"/>
                <w:szCs w:val="8"/>
                <w:color w:val="auto"/>
              </w:rPr>
            </w:pPr>
          </w:p>
        </w:tc>
        <w:tc>
          <w:tcPr>
            <w:tcW w:w="7060" w:type="dxa"/>
            <w:vAlign w:val="bottom"/>
            <w:shd w:val="clear" w:color="auto" w:fill="CCEEFF"/>
          </w:tcPr>
          <w:p>
            <w:pPr>
              <w:spacing w:after="0"/>
              <w:rPr>
                <w:sz w:val="8"/>
                <w:szCs w:val="8"/>
                <w:color w:val="auto"/>
              </w:rPr>
            </w:pPr>
          </w:p>
        </w:tc>
        <w:tc>
          <w:tcPr>
            <w:tcW w:w="31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020" w:type="dxa"/>
            <w:vAlign w:val="bottom"/>
          </w:tcPr>
          <w:p>
            <w:pPr>
              <w:ind w:left="60"/>
              <w:spacing w:after="0"/>
              <w:rPr>
                <w:rFonts w:ascii="Arial" w:cs="Arial" w:eastAsia="Arial" w:hAnsi="Arial"/>
                <w:sz w:val="18"/>
                <w:szCs w:val="18"/>
                <w:color w:val="0000FF"/>
              </w:rPr>
            </w:pPr>
            <w:hyperlink w:anchor="page69">
              <w:r>
                <w:rPr>
                  <w:rFonts w:ascii="Arial" w:cs="Arial" w:eastAsia="Arial" w:hAnsi="Arial"/>
                  <w:sz w:val="18"/>
                  <w:szCs w:val="18"/>
                  <w:color w:val="0000FF"/>
                </w:rPr>
                <w:t>Item 6.</w:t>
              </w:r>
            </w:hyperlink>
          </w:p>
        </w:tc>
        <w:tc>
          <w:tcPr>
            <w:tcW w:w="7060" w:type="dxa"/>
            <w:vAlign w:val="bottom"/>
          </w:tcPr>
          <w:p>
            <w:pPr>
              <w:ind w:left="34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Exhibits</w:t>
              </w:r>
            </w:hyperlink>
          </w:p>
        </w:tc>
        <w:tc>
          <w:tcPr>
            <w:tcW w:w="3120" w:type="dxa"/>
            <w:vAlign w:val="bottom"/>
            <w:vMerge w:val="restart"/>
          </w:tcPr>
          <w:p>
            <w:pPr>
              <w:jc w:val="right"/>
              <w:ind w:right="470"/>
              <w:spacing w:after="0"/>
              <w:rPr>
                <w:rFonts w:ascii="Arial" w:cs="Arial" w:eastAsia="Arial" w:hAnsi="Arial"/>
                <w:sz w:val="18"/>
                <w:szCs w:val="18"/>
                <w:color w:val="0000FF"/>
              </w:rPr>
            </w:pPr>
            <w:hyperlink w:anchor="page69">
              <w:r>
                <w:rPr>
                  <w:rFonts w:ascii="Arial" w:cs="Arial" w:eastAsia="Arial" w:hAnsi="Arial"/>
                  <w:sz w:val="18"/>
                  <w:szCs w:val="18"/>
                  <w:color w:val="0000FF"/>
                </w:rPr>
                <w:t>67</w:t>
              </w:r>
            </w:hyperlink>
          </w:p>
        </w:tc>
        <w:tc>
          <w:tcPr>
            <w:tcW w:w="0" w:type="dxa"/>
            <w:vAlign w:val="bottom"/>
          </w:tcPr>
          <w:p>
            <w:pPr>
              <w:spacing w:after="0"/>
              <w:rPr>
                <w:sz w:val="1"/>
                <w:szCs w:val="1"/>
                <w:color w:val="auto"/>
              </w:rPr>
            </w:pPr>
          </w:p>
        </w:tc>
      </w:tr>
      <w:tr>
        <w:trPr>
          <w:trHeight w:val="94"/>
        </w:trPr>
        <w:tc>
          <w:tcPr>
            <w:tcW w:w="10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3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0" w:type="dxa"/>
            <w:vAlign w:val="bottom"/>
          </w:tcPr>
          <w:p>
            <w:pPr>
              <w:spacing w:after="0"/>
              <w:rPr>
                <w:sz w:val="24"/>
                <w:szCs w:val="24"/>
                <w:color w:val="auto"/>
              </w:rPr>
            </w:pPr>
          </w:p>
        </w:tc>
        <w:tc>
          <w:tcPr>
            <w:tcW w:w="6420" w:type="dxa"/>
            <w:vAlign w:val="bottom"/>
            <w:tcBorders>
              <w:bottom w:val="single" w:sz="8" w:color="CCEEFF"/>
            </w:tcBorders>
            <w:shd w:val="clear" w:color="auto" w:fill="CCEEFF"/>
          </w:tcPr>
          <w:p>
            <w:pPr>
              <w:ind w:left="140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Exhibit Index</w:t>
              </w:r>
            </w:hyperlink>
          </w:p>
        </w:tc>
        <w:tc>
          <w:tcPr>
            <w:tcW w:w="4780" w:type="dxa"/>
            <w:vAlign w:val="bottom"/>
            <w:tcBorders>
              <w:bottom w:val="single" w:sz="8" w:color="CCEEFF"/>
            </w:tcBorders>
            <w:shd w:val="clear" w:color="auto" w:fill="CCEEFF"/>
          </w:tcPr>
          <w:p>
            <w:pPr>
              <w:jc w:val="right"/>
              <w:ind w:right="470"/>
              <w:spacing w:after="0"/>
              <w:rPr>
                <w:rFonts w:ascii="Arial" w:cs="Arial" w:eastAsia="Arial" w:hAnsi="Arial"/>
                <w:sz w:val="18"/>
                <w:szCs w:val="18"/>
                <w:color w:val="0000FF"/>
              </w:rPr>
            </w:pPr>
            <w:hyperlink w:anchor="page69">
              <w:r>
                <w:rPr>
                  <w:rFonts w:ascii="Arial" w:cs="Arial" w:eastAsia="Arial" w:hAnsi="Arial"/>
                  <w:sz w:val="18"/>
                  <w:szCs w:val="18"/>
                  <w:color w:val="0000FF"/>
                </w:rPr>
                <w:t>67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20" w:type="dxa"/>
            <w:vAlign w:val="bottom"/>
          </w:tcPr>
          <w:p>
            <w:pPr>
              <w:ind w:left="140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Signatures</w:t>
              </w:r>
            </w:hyperlink>
          </w:p>
        </w:tc>
        <w:tc>
          <w:tcPr>
            <w:tcW w:w="4780" w:type="dxa"/>
            <w:vAlign w:val="bottom"/>
            <w:vMerge w:val="restart"/>
          </w:tcPr>
          <w:p>
            <w:pPr>
              <w:jc w:val="right"/>
              <w:ind w:right="470"/>
              <w:spacing w:after="0"/>
              <w:rPr>
                <w:rFonts w:ascii="Arial" w:cs="Arial" w:eastAsia="Arial" w:hAnsi="Arial"/>
                <w:sz w:val="18"/>
                <w:szCs w:val="18"/>
                <w:color w:val="0000FF"/>
              </w:rPr>
            </w:pPr>
            <w:hyperlink w:anchor="page69">
              <w:r>
                <w:rPr>
                  <w:rFonts w:ascii="Arial" w:cs="Arial" w:eastAsia="Arial" w:hAnsi="Arial"/>
                  <w:sz w:val="18"/>
                  <w:szCs w:val="18"/>
                  <w:color w:val="0000FF"/>
                </w:rPr>
                <w:t>68</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47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5"/>
        </w:trPr>
        <w:tc>
          <w:tcPr>
            <w:tcW w:w="20" w:type="dxa"/>
            <w:vAlign w:val="bottom"/>
            <w:tcBorders>
              <w:bottom w:val="single" w:sz="8" w:color="9A9A9A"/>
            </w:tcBorders>
          </w:tcPr>
          <w:p>
            <w:pPr>
              <w:spacing w:after="0"/>
              <w:rPr>
                <w:sz w:val="24"/>
                <w:szCs w:val="24"/>
                <w:color w:val="auto"/>
              </w:rPr>
            </w:pPr>
          </w:p>
        </w:tc>
        <w:tc>
          <w:tcPr>
            <w:tcW w:w="642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2" w:name="page3"/>
    <w:bookmarkEnd w:id="2"/>
    <w:p>
      <w:pPr>
        <w:ind w:left="410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2"/>
              </w:rPr>
              <w:t>June 30, 2020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196"/>
        </w:trPr>
        <w:tc>
          <w:tcPr>
            <w:tcW w:w="7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FF0FC"/>
            </w:tcBorders>
            <w:shd w:val="clear" w:color="auto" w:fill="CFF0FC"/>
          </w:tcPr>
          <w:p>
            <w:pPr>
              <w:ind w:left="532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221,172</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171,017</w:t>
            </w:r>
          </w:p>
        </w:tc>
        <w:tc>
          <w:tcPr>
            <w:tcW w:w="0" w:type="dxa"/>
            <w:vAlign w:val="bottom"/>
          </w:tcPr>
          <w:p>
            <w:pPr>
              <w:spacing w:after="0"/>
              <w:rPr>
                <w:sz w:val="1"/>
                <w:szCs w:val="1"/>
                <w:color w:val="auto"/>
              </w:rPr>
            </w:pP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220" w:type="dxa"/>
            <w:vAlign w:val="bottom"/>
          </w:tcPr>
          <w:p>
            <w:pPr>
              <w:spacing w:after="0"/>
              <w:rPr>
                <w:sz w:val="19"/>
                <w:szCs w:val="19"/>
                <w:color w:val="auto"/>
              </w:rPr>
            </w:pP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156,706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203,210</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CFF0FC"/>
            </w:tcBorders>
            <w:shd w:val="clear" w:color="auto" w:fill="CFF0FC"/>
          </w:tcPr>
          <w:p>
            <w:pPr>
              <w:spacing w:after="0"/>
              <w:rPr>
                <w:sz w:val="22"/>
                <w:szCs w:val="22"/>
                <w:color w:val="auto"/>
              </w:rPr>
            </w:pPr>
          </w:p>
        </w:tc>
        <w:tc>
          <w:tcPr>
            <w:tcW w:w="13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6,638</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42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3,506</w:t>
            </w:r>
          </w:p>
        </w:tc>
        <w:tc>
          <w:tcPr>
            <w:tcW w:w="0" w:type="dxa"/>
            <w:vAlign w:val="bottom"/>
          </w:tcPr>
          <w:p>
            <w:pPr>
              <w:spacing w:after="0"/>
              <w:rPr>
                <w:sz w:val="1"/>
                <w:szCs w:val="1"/>
                <w:color w:val="auto"/>
              </w:rPr>
            </w:pPr>
          </w:p>
        </w:tc>
      </w:tr>
      <w:tr>
        <w:trPr>
          <w:trHeight w:val="217"/>
        </w:trPr>
        <w:tc>
          <w:tcPr>
            <w:tcW w:w="7980" w:type="dxa"/>
            <w:vAlign w:val="bottom"/>
          </w:tcPr>
          <w:p>
            <w:pPr>
              <w:ind w:left="740"/>
              <w:spacing w:after="0"/>
              <w:rPr>
                <w:sz w:val="20"/>
                <w:szCs w:val="20"/>
                <w:color w:val="auto"/>
              </w:rPr>
            </w:pPr>
            <w:r>
              <w:rPr>
                <w:rFonts w:ascii="Arial" w:cs="Arial" w:eastAsia="Arial" w:hAnsi="Arial"/>
                <w:sz w:val="16"/>
                <w:szCs w:val="16"/>
                <w:color w:val="auto"/>
              </w:rPr>
              <w:t>Total current assets</w:t>
            </w: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384,516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377,733</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Property and equipment, net</w:t>
            </w:r>
          </w:p>
        </w:tc>
        <w:tc>
          <w:tcPr>
            <w:tcW w:w="22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1,495</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1,618</w:t>
            </w:r>
          </w:p>
        </w:tc>
        <w:tc>
          <w:tcPr>
            <w:tcW w:w="0" w:type="dxa"/>
            <w:vAlign w:val="bottom"/>
          </w:tcPr>
          <w:p>
            <w:pPr>
              <w:spacing w:after="0"/>
              <w:rPr>
                <w:sz w:val="1"/>
                <w:szCs w:val="1"/>
                <w:color w:val="auto"/>
              </w:rPr>
            </w:pP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Long-term investments</w:t>
            </w:r>
          </w:p>
        </w:tc>
        <w:tc>
          <w:tcPr>
            <w:tcW w:w="220" w:type="dxa"/>
            <w:vAlign w:val="bottom"/>
          </w:tcPr>
          <w:p>
            <w:pPr>
              <w:spacing w:after="0"/>
              <w:rPr>
                <w:sz w:val="19"/>
                <w:szCs w:val="19"/>
                <w:color w:val="auto"/>
              </w:rPr>
            </w:pP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14,321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54,305</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long-term assets</w:t>
            </w:r>
          </w:p>
        </w:tc>
        <w:tc>
          <w:tcPr>
            <w:tcW w:w="22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1,354</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1,481</w:t>
            </w:r>
          </w:p>
        </w:tc>
        <w:tc>
          <w:tcPr>
            <w:tcW w:w="0" w:type="dxa"/>
            <w:vAlign w:val="bottom"/>
          </w:tcPr>
          <w:p>
            <w:pPr>
              <w:spacing w:after="0"/>
              <w:rPr>
                <w:sz w:val="1"/>
                <w:szCs w:val="1"/>
                <w:color w:val="auto"/>
              </w:rPr>
            </w:pP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9"/>
                <w:szCs w:val="19"/>
                <w:color w:val="auto"/>
              </w:rPr>
            </w:pP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3"/>
        </w:trPr>
        <w:tc>
          <w:tcPr>
            <w:tcW w:w="79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9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401,746</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435,197</w:t>
            </w:r>
          </w:p>
        </w:tc>
        <w:tc>
          <w:tcPr>
            <w:tcW w:w="0" w:type="dxa"/>
            <w:vAlign w:val="bottom"/>
          </w:tcPr>
          <w:p>
            <w:pPr>
              <w:spacing w:after="0"/>
              <w:rPr>
                <w:sz w:val="1"/>
                <w:szCs w:val="1"/>
                <w:color w:val="auto"/>
              </w:rPr>
            </w:pPr>
          </w:p>
        </w:tc>
      </w:tr>
      <w:tr>
        <w:trPr>
          <w:trHeight w:val="20"/>
        </w:trPr>
        <w:tc>
          <w:tcPr>
            <w:tcW w:w="7980" w:type="dxa"/>
            <w:vAlign w:val="bottom"/>
            <w:tcBorders>
              <w:top w:val="single" w:sz="8" w:color="CFF0FC"/>
              <w:bottom w:val="single" w:sz="8" w:color="CFF0FC"/>
            </w:tcBorders>
            <w:vMerge w:val="restart"/>
          </w:tcPr>
          <w:p>
            <w:pPr>
              <w:ind w:left="386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79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6,289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16,237</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Accrued expenses</w:t>
            </w:r>
          </w:p>
        </w:tc>
        <w:tc>
          <w:tcPr>
            <w:tcW w:w="22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12,916</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11,052</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Notes payable, current portion</w:t>
            </w:r>
          </w:p>
        </w:tc>
        <w:tc>
          <w:tcPr>
            <w:tcW w:w="22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1,375</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CFF0FC"/>
            </w:tcBorders>
            <w:shd w:val="clear" w:color="auto" w:fill="CFF0FC"/>
          </w:tcPr>
          <w:p>
            <w:pPr>
              <w:spacing w:after="0"/>
              <w:rPr>
                <w:sz w:val="22"/>
                <w:szCs w:val="22"/>
                <w:color w:val="auto"/>
              </w:rPr>
            </w:pPr>
          </w:p>
        </w:tc>
        <w:tc>
          <w:tcPr>
            <w:tcW w:w="13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925</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42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871</w:t>
            </w:r>
          </w:p>
        </w:tc>
        <w:tc>
          <w:tcPr>
            <w:tcW w:w="0" w:type="dxa"/>
            <w:vAlign w:val="bottom"/>
          </w:tcPr>
          <w:p>
            <w:pPr>
              <w:spacing w:after="0"/>
              <w:rPr>
                <w:sz w:val="1"/>
                <w:szCs w:val="1"/>
                <w:color w:val="auto"/>
              </w:rPr>
            </w:pPr>
          </w:p>
        </w:tc>
      </w:tr>
      <w:tr>
        <w:trPr>
          <w:trHeight w:val="217"/>
        </w:trPr>
        <w:tc>
          <w:tcPr>
            <w:tcW w:w="7980" w:type="dxa"/>
            <w:vAlign w:val="bottom"/>
          </w:tcPr>
          <w:p>
            <w:pPr>
              <w:ind w:left="74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20,130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29,535</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7980" w:type="dxa"/>
            <w:vAlign w:val="bottom"/>
            <w:shd w:val="clear" w:color="auto" w:fill="CFF0FC"/>
          </w:tcPr>
          <w:p>
            <w:pPr>
              <w:ind w:left="20"/>
              <w:spacing w:after="0" w:line="179" w:lineRule="exact"/>
              <w:rPr>
                <w:sz w:val="20"/>
                <w:szCs w:val="20"/>
                <w:color w:val="auto"/>
              </w:rPr>
            </w:pPr>
            <w:r>
              <w:rPr>
                <w:rFonts w:ascii="Arial" w:cs="Arial" w:eastAsia="Arial" w:hAnsi="Arial"/>
                <w:sz w:val="16"/>
                <w:szCs w:val="16"/>
                <w:color w:val="auto"/>
                <w:w w:val="93"/>
              </w:rPr>
              <w:t>Preferred stock, $0.001 par value, 10,000 shares authorized and no shares, issued or outstanding at June 30, 2020 and</w:t>
            </w:r>
          </w:p>
        </w:tc>
        <w:tc>
          <w:tcPr>
            <w:tcW w:w="220" w:type="dxa"/>
            <w:vAlign w:val="bottom"/>
            <w:shd w:val="clear" w:color="auto" w:fill="CFF0FC"/>
          </w:tcPr>
          <w:p>
            <w:pPr>
              <w:spacing w:after="0"/>
              <w:rPr>
                <w:sz w:val="15"/>
                <w:szCs w:val="15"/>
                <w:color w:val="auto"/>
              </w:rPr>
            </w:pPr>
          </w:p>
        </w:tc>
        <w:tc>
          <w:tcPr>
            <w:tcW w:w="146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5"/>
                <w:szCs w:val="15"/>
                <w:color w:val="auto"/>
              </w:rPr>
            </w:pPr>
          </w:p>
        </w:tc>
        <w:tc>
          <w:tcPr>
            <w:tcW w:w="1420" w:type="dxa"/>
            <w:vAlign w:val="bottom"/>
            <w:vMerge w:val="restart"/>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December 31, 2019, respectively</w:t>
            </w:r>
          </w:p>
        </w:tc>
        <w:tc>
          <w:tcPr>
            <w:tcW w:w="220" w:type="dxa"/>
            <w:vAlign w:val="bottom"/>
            <w:shd w:val="clear" w:color="auto" w:fill="CFF0FC"/>
          </w:tcPr>
          <w:p>
            <w:pPr>
              <w:spacing w:after="0"/>
              <w:rPr>
                <w:sz w:val="18"/>
                <w:szCs w:val="18"/>
                <w:color w:val="auto"/>
              </w:rPr>
            </w:pPr>
          </w:p>
        </w:tc>
        <w:tc>
          <w:tcPr>
            <w:tcW w:w="146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980" w:type="dxa"/>
            <w:vAlign w:val="bottom"/>
          </w:tcPr>
          <w:p>
            <w:pPr>
              <w:ind w:left="20"/>
              <w:spacing w:after="0" w:line="166" w:lineRule="exact"/>
              <w:rPr>
                <w:sz w:val="20"/>
                <w:szCs w:val="20"/>
                <w:color w:val="auto"/>
              </w:rPr>
            </w:pPr>
            <w:r>
              <w:rPr>
                <w:rFonts w:ascii="Arial" w:cs="Arial" w:eastAsia="Arial" w:hAnsi="Arial"/>
                <w:sz w:val="16"/>
                <w:szCs w:val="16"/>
                <w:color w:val="auto"/>
                <w:w w:val="91"/>
              </w:rPr>
              <w:t>Common stock, $0.001 par value, 500,000 shares authorized, 27,287 shares and 27,255 shares issued and outstanding at</w:t>
            </w:r>
          </w:p>
        </w:tc>
        <w:tc>
          <w:tcPr>
            <w:tcW w:w="220" w:type="dxa"/>
            <w:vAlign w:val="bottom"/>
          </w:tcPr>
          <w:p>
            <w:pPr>
              <w:spacing w:after="0"/>
              <w:rPr>
                <w:sz w:val="14"/>
                <w:szCs w:val="14"/>
                <w:color w:val="auto"/>
              </w:rPr>
            </w:pPr>
          </w:p>
        </w:tc>
        <w:tc>
          <w:tcPr>
            <w:tcW w:w="1360" w:type="dxa"/>
            <w:vAlign w:val="bottom"/>
            <w:vMerge w:val="restart"/>
          </w:tcPr>
          <w:p>
            <w:pPr>
              <w:jc w:val="right"/>
              <w:ind w:right="8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restart"/>
          </w:tcPr>
          <w:p>
            <w:pPr>
              <w:jc w:val="right"/>
              <w:ind w:right="5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6"/>
                <w:szCs w:val="16"/>
                <w:color w:val="auto"/>
              </w:rPr>
              <w:t>June 30, 2020 and December 31, 2019, respectively</w:t>
            </w:r>
          </w:p>
        </w:tc>
        <w:tc>
          <w:tcPr>
            <w:tcW w:w="2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7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Additional paid in capital</w:t>
            </w:r>
          </w:p>
        </w:tc>
        <w:tc>
          <w:tcPr>
            <w:tcW w:w="22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654,492</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648,669</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Accumulated other comprehensive income</w:t>
            </w:r>
          </w:p>
        </w:tc>
        <w:tc>
          <w:tcPr>
            <w:tcW w:w="220" w:type="dxa"/>
            <w:vAlign w:val="bottom"/>
          </w:tcPr>
          <w:p>
            <w:pPr>
              <w:spacing w:after="0"/>
              <w:rPr>
                <w:sz w:val="19"/>
                <w:szCs w:val="19"/>
                <w:color w:val="auto"/>
              </w:rPr>
            </w:pP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753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Accumulated deficit</w:t>
            </w:r>
          </w:p>
        </w:tc>
        <w:tc>
          <w:tcPr>
            <w:tcW w:w="220" w:type="dxa"/>
            <w:vAlign w:val="bottom"/>
            <w:tcBorders>
              <w:bottom w:val="single" w:sz="8" w:color="CFF0FC"/>
            </w:tcBorders>
            <w:shd w:val="clear" w:color="auto" w:fill="CFF0FC"/>
          </w:tcPr>
          <w:p>
            <w:pPr>
              <w:spacing w:after="0"/>
              <w:rPr>
                <w:sz w:val="22"/>
                <w:szCs w:val="22"/>
                <w:color w:val="auto"/>
              </w:rPr>
            </w:pPr>
          </w:p>
        </w:tc>
        <w:tc>
          <w:tcPr>
            <w:tcW w:w="13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(273,836)</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4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(244,026)</w:t>
            </w:r>
          </w:p>
        </w:tc>
        <w:tc>
          <w:tcPr>
            <w:tcW w:w="0" w:type="dxa"/>
            <w:vAlign w:val="bottom"/>
          </w:tcPr>
          <w:p>
            <w:pPr>
              <w:spacing w:after="0"/>
              <w:rPr>
                <w:sz w:val="1"/>
                <w:szCs w:val="1"/>
                <w:color w:val="auto"/>
              </w:rPr>
            </w:pPr>
          </w:p>
        </w:tc>
      </w:tr>
      <w:tr>
        <w:trPr>
          <w:trHeight w:val="217"/>
        </w:trPr>
        <w:tc>
          <w:tcPr>
            <w:tcW w:w="7980" w:type="dxa"/>
            <w:vAlign w:val="bottom"/>
          </w:tcPr>
          <w:p>
            <w:pPr>
              <w:ind w:left="26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381,436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405,008</w:t>
            </w:r>
          </w:p>
        </w:tc>
        <w:tc>
          <w:tcPr>
            <w:tcW w:w="0" w:type="dxa"/>
            <w:vAlign w:val="bottom"/>
          </w:tcPr>
          <w:p>
            <w:pPr>
              <w:spacing w:after="0"/>
              <w:rPr>
                <w:sz w:val="1"/>
                <w:szCs w:val="1"/>
                <w:color w:val="auto"/>
              </w:rPr>
            </w:pPr>
          </w:p>
        </w:tc>
      </w:tr>
      <w:tr>
        <w:trPr>
          <w:trHeight w:val="33"/>
        </w:trPr>
        <w:tc>
          <w:tcPr>
            <w:tcW w:w="79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9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401,746</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435,197</w:t>
            </w:r>
          </w:p>
        </w:tc>
        <w:tc>
          <w:tcPr>
            <w:tcW w:w="0" w:type="dxa"/>
            <w:vAlign w:val="bottom"/>
          </w:tcPr>
          <w:p>
            <w:pPr>
              <w:spacing w:after="0"/>
              <w:rPr>
                <w:sz w:val="1"/>
                <w:szCs w:val="1"/>
                <w:color w:val="auto"/>
              </w:rPr>
            </w:pPr>
          </w:p>
        </w:tc>
      </w:tr>
      <w:tr>
        <w:trPr>
          <w:trHeight w:val="20"/>
        </w:trPr>
        <w:tc>
          <w:tcPr>
            <w:tcW w:w="79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4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5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6"/>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Collaboration revenue</w:t>
            </w:r>
          </w:p>
        </w:tc>
        <w:tc>
          <w:tcPr>
            <w:tcW w:w="30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FF0FC"/>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5,000</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15,000</w:t>
            </w:r>
          </w:p>
        </w:tc>
        <w:tc>
          <w:tcPr>
            <w:tcW w:w="1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03"/>
        </w:trPr>
        <w:tc>
          <w:tcPr>
            <w:tcW w:w="57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Research and development</w:t>
            </w:r>
          </w:p>
        </w:tc>
        <w:tc>
          <w:tcPr>
            <w:tcW w:w="3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17,948</w:t>
            </w: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27,350</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38,916</w:t>
            </w: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47,981</w:t>
            </w:r>
          </w:p>
        </w:tc>
        <w:tc>
          <w:tcPr>
            <w:tcW w:w="0" w:type="dxa"/>
            <w:vAlign w:val="bottom"/>
          </w:tcPr>
          <w:p>
            <w:pPr>
              <w:spacing w:after="0"/>
              <w:rPr>
                <w:sz w:val="1"/>
                <w:szCs w:val="1"/>
                <w:color w:val="auto"/>
              </w:rPr>
            </w:pPr>
          </w:p>
        </w:tc>
      </w:tr>
      <w:tr>
        <w:trPr>
          <w:trHeight w:val="224"/>
        </w:trPr>
        <w:tc>
          <w:tcPr>
            <w:tcW w:w="5740" w:type="dxa"/>
            <w:vAlign w:val="bottom"/>
          </w:tcPr>
          <w:p>
            <w:pPr>
              <w:ind w:left="260"/>
              <w:spacing w:after="0"/>
              <w:rPr>
                <w:sz w:val="20"/>
                <w:szCs w:val="20"/>
                <w:color w:val="auto"/>
              </w:rPr>
            </w:pPr>
            <w:r>
              <w:rPr>
                <w:rFonts w:ascii="Arial" w:cs="Arial" w:eastAsia="Arial" w:hAnsi="Arial"/>
                <w:sz w:val="16"/>
                <w:szCs w:val="16"/>
                <w:color w:val="auto"/>
              </w:rPr>
              <w:t>General and administrative</w:t>
            </w:r>
          </w:p>
        </w:tc>
        <w:tc>
          <w:tcPr>
            <w:tcW w:w="300" w:type="dxa"/>
            <w:vAlign w:val="bottom"/>
          </w:tcPr>
          <w:p>
            <w:pPr>
              <w:spacing w:after="0"/>
              <w:rPr>
                <w:sz w:val="19"/>
                <w:szCs w:val="19"/>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4,687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4,307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8,972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8,448</w:t>
            </w:r>
          </w:p>
        </w:tc>
        <w:tc>
          <w:tcPr>
            <w:tcW w:w="0" w:type="dxa"/>
            <w:vAlign w:val="bottom"/>
          </w:tcPr>
          <w:p>
            <w:pPr>
              <w:spacing w:after="0"/>
              <w:rPr>
                <w:sz w:val="1"/>
                <w:szCs w:val="1"/>
                <w:color w:val="auto"/>
              </w:rPr>
            </w:pPr>
          </w:p>
        </w:tc>
      </w:tr>
      <w:tr>
        <w:trPr>
          <w:trHeight w:val="33"/>
        </w:trPr>
        <w:tc>
          <w:tcPr>
            <w:tcW w:w="57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22,635</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31,657</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47,888</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56,429</w:t>
            </w:r>
          </w:p>
        </w:tc>
        <w:tc>
          <w:tcPr>
            <w:tcW w:w="0" w:type="dxa"/>
            <w:vAlign w:val="bottom"/>
          </w:tcPr>
          <w:p>
            <w:pPr>
              <w:spacing w:after="0"/>
              <w:rPr>
                <w:sz w:val="1"/>
                <w:szCs w:val="1"/>
                <w:color w:val="auto"/>
              </w:rPr>
            </w:pPr>
          </w:p>
        </w:tc>
      </w:tr>
      <w:tr>
        <w:trPr>
          <w:trHeight w:val="217"/>
        </w:trPr>
        <w:tc>
          <w:tcPr>
            <w:tcW w:w="5740" w:type="dxa"/>
            <w:vAlign w:val="bottom"/>
          </w:tcPr>
          <w:p>
            <w:pPr>
              <w:ind w:left="740"/>
              <w:spacing w:after="0"/>
              <w:rPr>
                <w:sz w:val="20"/>
                <w:szCs w:val="20"/>
                <w:color w:val="auto"/>
              </w:rPr>
            </w:pPr>
            <w:r>
              <w:rPr>
                <w:rFonts w:ascii="Arial" w:cs="Arial" w:eastAsia="Arial" w:hAnsi="Arial"/>
                <w:sz w:val="16"/>
                <w:szCs w:val="16"/>
                <w:color w:val="auto"/>
              </w:rPr>
              <w:t>Loss from operations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(22,635)</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(26,657)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(32,888)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(51,429)</w:t>
            </w:r>
          </w:p>
        </w:tc>
        <w:tc>
          <w:tcPr>
            <w:tcW w:w="0" w:type="dxa"/>
            <w:vAlign w:val="bottom"/>
          </w:tcPr>
          <w:p>
            <w:pPr>
              <w:spacing w:after="0"/>
              <w:rPr>
                <w:sz w:val="1"/>
                <w:szCs w:val="1"/>
                <w:color w:val="auto"/>
              </w:rPr>
            </w:pPr>
          </w:p>
        </w:tc>
      </w:tr>
      <w:tr>
        <w:trPr>
          <w:trHeight w:val="33"/>
        </w:trPr>
        <w:tc>
          <w:tcPr>
            <w:tcW w:w="57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income (expense), net:</w:t>
            </w:r>
          </w:p>
        </w:tc>
        <w:tc>
          <w:tcPr>
            <w:tcW w:w="3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40" w:type="dxa"/>
            <w:vAlign w:val="bottom"/>
          </w:tcPr>
          <w:p>
            <w:pPr>
              <w:ind w:left="26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Interest income</w:t>
            </w:r>
          </w:p>
        </w:tc>
        <w:tc>
          <w:tcPr>
            <w:tcW w:w="3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1,061</w:t>
            </w: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2,957</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2,958</w:t>
            </w: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5,945</w:t>
            </w:r>
          </w:p>
        </w:tc>
        <w:tc>
          <w:tcPr>
            <w:tcW w:w="0" w:type="dxa"/>
            <w:vAlign w:val="bottom"/>
          </w:tcPr>
          <w:p>
            <w:pPr>
              <w:spacing w:after="0"/>
              <w:rPr>
                <w:sz w:val="1"/>
                <w:szCs w:val="1"/>
                <w:color w:val="auto"/>
              </w:rPr>
            </w:pPr>
          </w:p>
        </w:tc>
      </w:tr>
      <w:tr>
        <w:trPr>
          <w:trHeight w:val="224"/>
        </w:trPr>
        <w:tc>
          <w:tcPr>
            <w:tcW w:w="5740" w:type="dxa"/>
            <w:vAlign w:val="bottom"/>
          </w:tcPr>
          <w:p>
            <w:pPr>
              <w:ind w:left="220"/>
              <w:spacing w:after="0"/>
              <w:rPr>
                <w:sz w:val="20"/>
                <w:szCs w:val="20"/>
                <w:color w:val="auto"/>
              </w:rPr>
            </w:pPr>
            <w:r>
              <w:rPr>
                <w:rFonts w:ascii="Arial" w:cs="Arial" w:eastAsia="Arial" w:hAnsi="Arial"/>
                <w:sz w:val="16"/>
                <w:szCs w:val="16"/>
                <w:color w:val="auto"/>
              </w:rPr>
              <w:t>Other income (expense), net</w:t>
            </w:r>
          </w:p>
        </w:tc>
        <w:tc>
          <w:tcPr>
            <w:tcW w:w="300" w:type="dxa"/>
            <w:vAlign w:val="bottom"/>
          </w:tcPr>
          <w:p>
            <w:pPr>
              <w:spacing w:after="0"/>
              <w:rPr>
                <w:sz w:val="19"/>
                <w:szCs w:val="19"/>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57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other income (expense), net</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1,087</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2,635</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3,078</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5,310</w:t>
            </w:r>
          </w:p>
        </w:tc>
        <w:tc>
          <w:tcPr>
            <w:tcW w:w="0" w:type="dxa"/>
            <w:vAlign w:val="bottom"/>
          </w:tcPr>
          <w:p>
            <w:pPr>
              <w:spacing w:after="0"/>
              <w:rPr>
                <w:sz w:val="1"/>
                <w:szCs w:val="1"/>
                <w:color w:val="auto"/>
              </w:rPr>
            </w:pPr>
          </w:p>
        </w:tc>
      </w:tr>
      <w:tr>
        <w:trPr>
          <w:trHeight w:val="217"/>
        </w:trPr>
        <w:tc>
          <w:tcPr>
            <w:tcW w:w="5740" w:type="dxa"/>
            <w:vAlign w:val="bottom"/>
          </w:tcPr>
          <w:p>
            <w:pPr>
              <w:ind w:left="740"/>
              <w:spacing w:after="0"/>
              <w:rPr>
                <w:sz w:val="20"/>
                <w:szCs w:val="20"/>
                <w:color w:val="auto"/>
              </w:rPr>
            </w:pPr>
            <w:r>
              <w:rPr>
                <w:rFonts w:ascii="Arial" w:cs="Arial" w:eastAsia="Arial" w:hAnsi="Arial"/>
                <w:sz w:val="16"/>
                <w:szCs w:val="16"/>
                <w:color w:val="auto"/>
              </w:rPr>
              <w:t>Loss before income taxes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(21,548)</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(24,022)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(29,810)</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(46,119)</w:t>
            </w: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7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7"/>
        </w:trPr>
        <w:tc>
          <w:tcPr>
            <w:tcW w:w="5740" w:type="dxa"/>
            <w:vAlign w:val="bottom"/>
          </w:tcPr>
          <w:p>
            <w:pPr>
              <w:ind w:left="700"/>
              <w:spacing w:after="0"/>
              <w:rPr>
                <w:sz w:val="20"/>
                <w:szCs w:val="20"/>
                <w:color w:val="auto"/>
              </w:rPr>
            </w:pPr>
            <w:r>
              <w:rPr>
                <w:rFonts w:ascii="Arial" w:cs="Arial" w:eastAsia="Arial" w:hAnsi="Arial"/>
                <w:sz w:val="16"/>
                <w:szCs w:val="16"/>
                <w:color w:val="auto"/>
              </w:rPr>
              <w:t>Net loss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(21,548)</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(23,962)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(29,810)</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(46,040)</w:t>
            </w: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comprehensive (loss) income:</w:t>
            </w:r>
          </w:p>
        </w:tc>
        <w:tc>
          <w:tcPr>
            <w:tcW w:w="3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5740" w:type="dxa"/>
            <w:vAlign w:val="bottom"/>
          </w:tcPr>
          <w:p>
            <w:pPr>
              <w:ind w:left="520"/>
              <w:spacing w:after="0" w:line="166" w:lineRule="exact"/>
              <w:rPr>
                <w:sz w:val="20"/>
                <w:szCs w:val="20"/>
                <w:color w:val="auto"/>
              </w:rPr>
            </w:pPr>
            <w:r>
              <w:rPr>
                <w:rFonts w:ascii="Arial" w:cs="Arial" w:eastAsia="Arial" w:hAnsi="Arial"/>
                <w:sz w:val="16"/>
                <w:szCs w:val="16"/>
                <w:color w:val="auto"/>
                <w:w w:val="94"/>
              </w:rPr>
              <w:t>Unrealized (loss) income on available for sale securities, net of tax of $0, $99,</w:t>
            </w:r>
          </w:p>
        </w:tc>
        <w:tc>
          <w:tcPr>
            <w:tcW w:w="300" w:type="dxa"/>
            <w:vAlign w:val="bottom"/>
          </w:tcPr>
          <w:p>
            <w:pPr>
              <w:spacing w:after="0"/>
              <w:rPr>
                <w:sz w:val="14"/>
                <w:szCs w:val="14"/>
                <w:color w:val="auto"/>
              </w:rPr>
            </w:pPr>
          </w:p>
        </w:tc>
        <w:tc>
          <w:tcPr>
            <w:tcW w:w="980" w:type="dxa"/>
            <w:vAlign w:val="bottom"/>
            <w:vMerge w:val="restart"/>
          </w:tcPr>
          <w:p>
            <w:pPr>
              <w:jc w:val="right"/>
              <w:ind w:right="20"/>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vMerge w:val="restart"/>
          </w:tcPr>
          <w:p>
            <w:pPr>
              <w:jc w:val="right"/>
              <w:ind w:right="80"/>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ind w:right="80"/>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vMerge w:val="restart"/>
          </w:tcPr>
          <w:p>
            <w:pPr>
              <w:jc w:val="right"/>
              <w:ind w:right="60"/>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209"/>
        </w:trPr>
        <w:tc>
          <w:tcPr>
            <w:tcW w:w="5740" w:type="dxa"/>
            <w:vAlign w:val="bottom"/>
            <w:tcBorders>
              <w:bottom w:val="single" w:sz="8" w:color="CFF0FC"/>
            </w:tcBorders>
          </w:tcPr>
          <w:p>
            <w:pPr>
              <w:ind w:left="520"/>
              <w:spacing w:after="0"/>
              <w:rPr>
                <w:sz w:val="20"/>
                <w:szCs w:val="20"/>
                <w:color w:val="auto"/>
              </w:rPr>
            </w:pPr>
            <w:r>
              <w:rPr>
                <w:rFonts w:ascii="Arial" w:cs="Arial" w:eastAsia="Arial" w:hAnsi="Arial"/>
                <w:sz w:val="16"/>
                <w:szCs w:val="16"/>
                <w:color w:val="auto"/>
              </w:rPr>
              <w:t>$0 and $214, respectively</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57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Comprehensive loss</w:t>
            </w:r>
          </w:p>
        </w:tc>
        <w:tc>
          <w:tcPr>
            <w:tcW w:w="30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(21,940)</w:t>
            </w:r>
          </w:p>
        </w:tc>
        <w:tc>
          <w:tcPr>
            <w:tcW w:w="12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(23,592)</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(29,395)</w:t>
            </w:r>
          </w:p>
        </w:tc>
        <w:tc>
          <w:tcPr>
            <w:tcW w:w="10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(45,243)</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6"/>
                <w:szCs w:val="16"/>
                <w:color w:val="auto"/>
              </w:rPr>
              <w:t>Net loss per common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57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Basic and diluted</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6"/>
                <w:szCs w:val="16"/>
                <w:color w:val="auto"/>
              </w:rPr>
              <w:t>(0.79)</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(0.89)</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6"/>
                <w:szCs w:val="16"/>
                <w:color w:val="auto"/>
              </w:rPr>
              <w:t>Weighted-average number of shares outstanding:</w:t>
            </w: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7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57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Basic and diluted</w:t>
            </w:r>
          </w:p>
        </w:tc>
        <w:tc>
          <w:tcPr>
            <w:tcW w:w="3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27,279</w:t>
            </w:r>
          </w:p>
        </w:tc>
        <w:tc>
          <w:tcPr>
            <w:tcW w:w="1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27,026</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27,271</w:t>
            </w: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27,004</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240" w:type="dxa"/>
            <w:vAlign w:val="bottom"/>
          </w:tcPr>
          <w:p>
            <w:pPr>
              <w:spacing w:after="0"/>
              <w:rPr>
                <w:sz w:val="10"/>
                <w:szCs w:val="10"/>
                <w:color w:val="auto"/>
              </w:rPr>
            </w:pPr>
          </w:p>
        </w:tc>
        <w:tc>
          <w:tcPr>
            <w:tcW w:w="1780" w:type="dxa"/>
            <w:vAlign w:val="bottom"/>
            <w:gridSpan w:val="5"/>
          </w:tcPr>
          <w:p>
            <w:pPr>
              <w:ind w:left="480"/>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10"/>
                <w:szCs w:val="1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9"/>
              </w:rPr>
              <w:t>Additional</w:t>
            </w:r>
          </w:p>
        </w:tc>
        <w:tc>
          <w:tcPr>
            <w:tcW w:w="80" w:type="dxa"/>
            <w:vAlign w:val="bottom"/>
          </w:tcPr>
          <w:p>
            <w:pPr>
              <w:spacing w:after="0"/>
              <w:rPr>
                <w:sz w:val="10"/>
                <w:szCs w:val="1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0"/>
              </w:rPr>
              <w:t>Accumulated Other</w:t>
            </w: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center"/>
              <w:ind w:right="139"/>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54"/>
        </w:trPr>
        <w:tc>
          <w:tcPr>
            <w:tcW w:w="424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restart"/>
          </w:tcPr>
          <w:p>
            <w:pPr>
              <w:jc w:val="center"/>
              <w:ind w:right="360"/>
              <w:spacing w:after="0" w:line="122" w:lineRule="exact"/>
              <w:rPr>
                <w:sz w:val="20"/>
                <w:szCs w:val="20"/>
                <w:color w:val="auto"/>
              </w:rPr>
            </w:pPr>
            <w:r>
              <w:rPr>
                <w:rFonts w:ascii="Arial" w:cs="Arial" w:eastAsia="Arial" w:hAnsi="Arial"/>
                <w:sz w:val="11"/>
                <w:szCs w:val="11"/>
                <w:b w:val="1"/>
                <w:bCs w:val="1"/>
                <w:color w:val="auto"/>
                <w:w w:val="92"/>
              </w:rPr>
              <w:t>Paid-in</w:t>
            </w:r>
          </w:p>
        </w:tc>
        <w:tc>
          <w:tcPr>
            <w:tcW w:w="80" w:type="dxa"/>
            <w:vAlign w:val="bottom"/>
          </w:tcPr>
          <w:p>
            <w:pPr>
              <w:spacing w:after="0"/>
              <w:rPr>
                <w:sz w:val="4"/>
                <w:szCs w:val="4"/>
                <w:color w:val="auto"/>
              </w:rPr>
            </w:pPr>
          </w:p>
        </w:tc>
        <w:tc>
          <w:tcPr>
            <w:tcW w:w="1240" w:type="dxa"/>
            <w:vAlign w:val="bottom"/>
            <w:gridSpan w:val="2"/>
            <w:vMerge w:val="restart"/>
          </w:tcPr>
          <w:p>
            <w:pPr>
              <w:jc w:val="center"/>
              <w:ind w:right="200"/>
              <w:spacing w:after="0" w:line="122" w:lineRule="exact"/>
              <w:rPr>
                <w:sz w:val="20"/>
                <w:szCs w:val="20"/>
                <w:color w:val="auto"/>
              </w:rPr>
            </w:pPr>
            <w:r>
              <w:rPr>
                <w:rFonts w:ascii="Arial" w:cs="Arial" w:eastAsia="Arial" w:hAnsi="Arial"/>
                <w:sz w:val="11"/>
                <w:szCs w:val="11"/>
                <w:b w:val="1"/>
                <w:bCs w:val="1"/>
                <w:color w:val="auto"/>
                <w:w w:val="87"/>
              </w:rPr>
              <w:t>Comprehensive (Loss)</w:t>
            </w:r>
          </w:p>
        </w:tc>
        <w:tc>
          <w:tcPr>
            <w:tcW w:w="180" w:type="dxa"/>
            <w:vAlign w:val="bottom"/>
          </w:tcPr>
          <w:p>
            <w:pPr>
              <w:spacing w:after="0"/>
              <w:rPr>
                <w:sz w:val="4"/>
                <w:szCs w:val="4"/>
                <w:color w:val="auto"/>
              </w:rPr>
            </w:pPr>
          </w:p>
        </w:tc>
        <w:tc>
          <w:tcPr>
            <w:tcW w:w="1140" w:type="dxa"/>
            <w:vAlign w:val="bottom"/>
            <w:gridSpan w:val="2"/>
            <w:vMerge w:val="restart"/>
          </w:tcPr>
          <w:p>
            <w:pPr>
              <w:ind w:left="120"/>
              <w:spacing w:after="0" w:line="122" w:lineRule="exact"/>
              <w:rPr>
                <w:sz w:val="20"/>
                <w:szCs w:val="20"/>
                <w:color w:val="auto"/>
              </w:rPr>
            </w:pPr>
            <w:r>
              <w:rPr>
                <w:rFonts w:ascii="Arial" w:cs="Arial" w:eastAsia="Arial" w:hAnsi="Arial"/>
                <w:sz w:val="11"/>
                <w:szCs w:val="11"/>
                <w:b w:val="1"/>
                <w:bCs w:val="1"/>
                <w:color w:val="auto"/>
              </w:rPr>
              <w:t>Accumulated</w:t>
            </w:r>
          </w:p>
        </w:tc>
        <w:tc>
          <w:tcPr>
            <w:tcW w:w="180" w:type="dxa"/>
            <w:vAlign w:val="bottom"/>
          </w:tcPr>
          <w:p>
            <w:pPr>
              <w:spacing w:after="0"/>
              <w:rPr>
                <w:sz w:val="4"/>
                <w:szCs w:val="4"/>
                <w:color w:val="auto"/>
              </w:rPr>
            </w:pPr>
          </w:p>
        </w:tc>
        <w:tc>
          <w:tcPr>
            <w:tcW w:w="1040" w:type="dxa"/>
            <w:vAlign w:val="bottom"/>
            <w:vMerge w:val="restart"/>
          </w:tcPr>
          <w:p>
            <w:pPr>
              <w:jc w:val="center"/>
              <w:ind w:right="139"/>
              <w:spacing w:after="0" w:line="122" w:lineRule="exact"/>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47"/>
        </w:trPr>
        <w:tc>
          <w:tcPr>
            <w:tcW w:w="4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4240" w:type="dxa"/>
            <w:vAlign w:val="bottom"/>
          </w:tcPr>
          <w:p>
            <w:pPr>
              <w:spacing w:after="0"/>
              <w:rPr>
                <w:sz w:val="12"/>
                <w:szCs w:val="12"/>
                <w:color w:val="auto"/>
              </w:rPr>
            </w:pPr>
          </w:p>
        </w:tc>
        <w:tc>
          <w:tcPr>
            <w:tcW w:w="900" w:type="dxa"/>
            <w:vAlign w:val="bottom"/>
            <w:gridSpan w:val="2"/>
          </w:tcPr>
          <w:p>
            <w:pPr>
              <w:ind w:left="24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12"/>
                <w:szCs w:val="12"/>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2"/>
              </w:rPr>
              <w:t>Capital</w:t>
            </w:r>
          </w:p>
        </w:tc>
        <w:tc>
          <w:tcPr>
            <w:tcW w:w="80" w:type="dxa"/>
            <w:vAlign w:val="bottom"/>
          </w:tcPr>
          <w:p>
            <w:pPr>
              <w:spacing w:after="0"/>
              <w:rPr>
                <w:sz w:val="12"/>
                <w:szCs w:val="12"/>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3"/>
              </w:rPr>
              <w:t>Income</w:t>
            </w:r>
          </w:p>
        </w:tc>
        <w:tc>
          <w:tcPr>
            <w:tcW w:w="180" w:type="dxa"/>
            <w:vAlign w:val="bottom"/>
          </w:tcPr>
          <w:p>
            <w:pPr>
              <w:spacing w:after="0"/>
              <w:rPr>
                <w:sz w:val="12"/>
                <w:szCs w:val="12"/>
                <w:color w:val="auto"/>
              </w:rPr>
            </w:pPr>
          </w:p>
        </w:tc>
        <w:tc>
          <w:tcPr>
            <w:tcW w:w="1140" w:type="dxa"/>
            <w:vAlign w:val="bottom"/>
            <w:gridSpan w:val="2"/>
          </w:tcPr>
          <w:p>
            <w:pPr>
              <w:ind w:left="260"/>
              <w:spacing w:after="0"/>
              <w:rPr>
                <w:sz w:val="20"/>
                <w:szCs w:val="20"/>
                <w:color w:val="auto"/>
              </w:rPr>
            </w:pPr>
            <w:r>
              <w:rPr>
                <w:rFonts w:ascii="Arial" w:cs="Arial" w:eastAsia="Arial" w:hAnsi="Arial"/>
                <w:sz w:val="11"/>
                <w:szCs w:val="11"/>
                <w:b w:val="1"/>
                <w:bCs w:val="1"/>
                <w:color w:val="auto"/>
              </w:rPr>
              <w:t>Deficit</w:t>
            </w:r>
          </w:p>
        </w:tc>
        <w:tc>
          <w:tcPr>
            <w:tcW w:w="180" w:type="dxa"/>
            <w:vAlign w:val="bottom"/>
          </w:tcPr>
          <w:p>
            <w:pPr>
              <w:spacing w:after="0"/>
              <w:rPr>
                <w:sz w:val="12"/>
                <w:szCs w:val="12"/>
                <w:color w:val="auto"/>
              </w:rPr>
            </w:pPr>
          </w:p>
        </w:tc>
        <w:tc>
          <w:tcPr>
            <w:tcW w:w="1040" w:type="dxa"/>
            <w:vAlign w:val="bottom"/>
          </w:tcPr>
          <w:p>
            <w:pPr>
              <w:jc w:val="center"/>
              <w:ind w:right="139"/>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2"/>
        </w:trPr>
        <w:tc>
          <w:tcPr>
            <w:tcW w:w="4240" w:type="dxa"/>
            <w:vAlign w:val="bottom"/>
            <w:tcBorders>
              <w:bottom w:val="single" w:sz="8" w:color="CFF0FC"/>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2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December 31, 2019</w:t>
            </w:r>
          </w:p>
        </w:tc>
        <w:tc>
          <w:tcPr>
            <w:tcW w:w="7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27,255</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FF0FC"/>
          </w:tcPr>
          <w:p>
            <w:pPr>
              <w:jc w:val="right"/>
              <w:ind w:right="78"/>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ind w:right="79"/>
              <w:spacing w:after="0"/>
              <w:rPr>
                <w:sz w:val="20"/>
                <w:szCs w:val="20"/>
                <w:color w:val="auto"/>
              </w:rPr>
            </w:pPr>
            <w:r>
              <w:rPr>
                <w:rFonts w:ascii="Arial" w:cs="Arial" w:eastAsia="Arial" w:hAnsi="Arial"/>
                <w:sz w:val="13"/>
                <w:szCs w:val="13"/>
                <w:color w:val="auto"/>
              </w:rPr>
              <w:t>648,669</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FF0FC"/>
          </w:tcPr>
          <w:p>
            <w:pPr>
              <w:jc w:val="right"/>
              <w:ind w:right="79"/>
              <w:spacing w:after="0"/>
              <w:rPr>
                <w:sz w:val="20"/>
                <w:szCs w:val="20"/>
                <w:color w:val="auto"/>
              </w:rPr>
            </w:pPr>
            <w:r>
              <w:rPr>
                <w:rFonts w:ascii="Arial" w:cs="Arial" w:eastAsia="Arial" w:hAnsi="Arial"/>
                <w:sz w:val="13"/>
                <w:szCs w:val="13"/>
                <w:color w:val="auto"/>
              </w:rPr>
              <w:t>338</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FF0FC"/>
          </w:tcPr>
          <w:p>
            <w:pPr>
              <w:jc w:val="right"/>
              <w:ind w:right="38"/>
              <w:spacing w:after="0"/>
              <w:rPr>
                <w:sz w:val="20"/>
                <w:szCs w:val="20"/>
                <w:color w:val="auto"/>
              </w:rPr>
            </w:pPr>
            <w:r>
              <w:rPr>
                <w:rFonts w:ascii="Arial" w:cs="Arial" w:eastAsia="Arial" w:hAnsi="Arial"/>
                <w:sz w:val="13"/>
                <w:szCs w:val="13"/>
                <w:color w:val="auto"/>
              </w:rPr>
              <w:t>(244,026)</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3"/>
                <w:szCs w:val="13"/>
                <w:color w:val="auto"/>
              </w:rPr>
              <w:t>405,008</w:t>
            </w:r>
          </w:p>
        </w:tc>
        <w:tc>
          <w:tcPr>
            <w:tcW w:w="0" w:type="dxa"/>
            <w:vAlign w:val="bottom"/>
          </w:tcPr>
          <w:p>
            <w:pPr>
              <w:spacing w:after="0"/>
              <w:rPr>
                <w:sz w:val="1"/>
                <w:szCs w:val="1"/>
                <w:color w:val="auto"/>
              </w:rPr>
            </w:pPr>
          </w:p>
        </w:tc>
      </w:tr>
      <w:tr>
        <w:trPr>
          <w:trHeight w:val="181"/>
        </w:trPr>
        <w:tc>
          <w:tcPr>
            <w:tcW w:w="4240" w:type="dxa"/>
            <w:vAlign w:val="bottom"/>
          </w:tcPr>
          <w:p>
            <w:pPr>
              <w:ind w:left="20"/>
              <w:spacing w:after="0"/>
              <w:rPr>
                <w:sz w:val="20"/>
                <w:szCs w:val="20"/>
                <w:color w:val="auto"/>
              </w:rPr>
            </w:pPr>
            <w:r>
              <w:rPr>
                <w:rFonts w:ascii="Arial" w:cs="Arial" w:eastAsia="Arial" w:hAnsi="Arial"/>
                <w:sz w:val="13"/>
                <w:szCs w:val="13"/>
                <w:color w:val="auto"/>
              </w:rPr>
              <w:t>Shares issued under employee stock plans</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980" w:type="dxa"/>
            <w:vAlign w:val="bottom"/>
          </w:tcPr>
          <w:p>
            <w:pPr>
              <w:jc w:val="right"/>
              <w:ind w:right="79"/>
              <w:spacing w:after="0"/>
              <w:rPr>
                <w:sz w:val="20"/>
                <w:szCs w:val="20"/>
                <w:color w:val="auto"/>
              </w:rPr>
            </w:pPr>
            <w:r>
              <w:rPr>
                <w:rFonts w:ascii="Arial" w:cs="Arial" w:eastAsia="Arial" w:hAnsi="Arial"/>
                <w:sz w:val="13"/>
                <w:szCs w:val="13"/>
                <w:color w:val="auto"/>
              </w:rPr>
              <w:t>36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40" w:type="dxa"/>
            <w:vAlign w:val="bottom"/>
          </w:tcPr>
          <w:p>
            <w:pPr>
              <w:jc w:val="right"/>
              <w:ind w:right="79"/>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264"/>
        </w:trPr>
        <w:tc>
          <w:tcPr>
            <w:tcW w:w="424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w:t>
            </w:r>
          </w:p>
        </w:tc>
        <w:tc>
          <w:tcPr>
            <w:tcW w:w="90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3"/>
                <w:szCs w:val="23"/>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23"/>
                <w:szCs w:val="23"/>
                <w:color w:val="auto"/>
              </w:rPr>
            </w:pPr>
          </w:p>
        </w:tc>
        <w:tc>
          <w:tcPr>
            <w:tcW w:w="980" w:type="dxa"/>
            <w:vAlign w:val="bottom"/>
            <w:shd w:val="clear" w:color="auto" w:fill="CFF0FC"/>
          </w:tcPr>
          <w:p>
            <w:pPr>
              <w:jc w:val="right"/>
              <w:ind w:right="79"/>
              <w:spacing w:after="0"/>
              <w:rPr>
                <w:sz w:val="20"/>
                <w:szCs w:val="20"/>
                <w:color w:val="auto"/>
              </w:rPr>
            </w:pPr>
            <w:r>
              <w:rPr>
                <w:rFonts w:ascii="Arial" w:cs="Arial" w:eastAsia="Arial" w:hAnsi="Arial"/>
                <w:sz w:val="13"/>
                <w:szCs w:val="13"/>
                <w:color w:val="auto"/>
              </w:rPr>
              <w:t>2,975</w:t>
            </w:r>
          </w:p>
        </w:tc>
        <w:tc>
          <w:tcPr>
            <w:tcW w:w="12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23"/>
                <w:szCs w:val="23"/>
                <w:color w:val="auto"/>
              </w:rPr>
            </w:pPr>
          </w:p>
        </w:tc>
        <w:tc>
          <w:tcPr>
            <w:tcW w:w="1140" w:type="dxa"/>
            <w:vAlign w:val="bottom"/>
            <w:gridSpan w:val="2"/>
            <w:shd w:val="clear" w:color="auto" w:fill="CFF0FC"/>
          </w:tcPr>
          <w:p>
            <w:pPr>
              <w:ind w:left="7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23"/>
                <w:szCs w:val="23"/>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3"/>
                <w:szCs w:val="13"/>
                <w:color w:val="auto"/>
              </w:rPr>
              <w:t>2,975</w:t>
            </w:r>
          </w:p>
        </w:tc>
        <w:tc>
          <w:tcPr>
            <w:tcW w:w="0" w:type="dxa"/>
            <w:vAlign w:val="bottom"/>
          </w:tcPr>
          <w:p>
            <w:pPr>
              <w:spacing w:after="0"/>
              <w:rPr>
                <w:sz w:val="1"/>
                <w:szCs w:val="1"/>
                <w:color w:val="auto"/>
              </w:rPr>
            </w:pPr>
          </w:p>
        </w:tc>
      </w:tr>
      <w:tr>
        <w:trPr>
          <w:trHeight w:val="181"/>
        </w:trPr>
        <w:tc>
          <w:tcPr>
            <w:tcW w:w="4240" w:type="dxa"/>
            <w:vAlign w:val="bottom"/>
          </w:tcPr>
          <w:p>
            <w:pPr>
              <w:ind w:left="20"/>
              <w:spacing w:after="0"/>
              <w:rPr>
                <w:sz w:val="20"/>
                <w:szCs w:val="20"/>
                <w:color w:val="auto"/>
              </w:rPr>
            </w:pPr>
            <w:r>
              <w:rPr>
                <w:rFonts w:ascii="Arial" w:cs="Arial" w:eastAsia="Arial" w:hAnsi="Arial"/>
                <w:sz w:val="13"/>
                <w:szCs w:val="13"/>
                <w:color w:val="auto"/>
              </w:rPr>
              <w:t>Comprehensive income, net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120" w:type="dxa"/>
            <w:vAlign w:val="bottom"/>
          </w:tcPr>
          <w:p>
            <w:pPr>
              <w:jc w:val="right"/>
              <w:ind w:right="79"/>
              <w:spacing w:after="0"/>
              <w:rPr>
                <w:sz w:val="20"/>
                <w:szCs w:val="20"/>
                <w:color w:val="auto"/>
              </w:rPr>
            </w:pPr>
            <w:r>
              <w:rPr>
                <w:rFonts w:ascii="Arial" w:cs="Arial" w:eastAsia="Arial" w:hAnsi="Arial"/>
                <w:sz w:val="13"/>
                <w:szCs w:val="13"/>
                <w:color w:val="auto"/>
              </w:rPr>
              <w:t>807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40" w:type="dxa"/>
            <w:vAlign w:val="bottom"/>
          </w:tcPr>
          <w:p>
            <w:pPr>
              <w:jc w:val="right"/>
              <w:ind w:right="79"/>
              <w:spacing w:after="0"/>
              <w:rPr>
                <w:sz w:val="20"/>
                <w:szCs w:val="20"/>
                <w:color w:val="auto"/>
              </w:rPr>
            </w:pPr>
            <w:r>
              <w:rPr>
                <w:rFonts w:ascii="Arial" w:cs="Arial" w:eastAsia="Arial" w:hAnsi="Arial"/>
                <w:sz w:val="13"/>
                <w:szCs w:val="13"/>
                <w:color w:val="auto"/>
              </w:rPr>
              <w:t>807</w:t>
            </w:r>
          </w:p>
        </w:tc>
        <w:tc>
          <w:tcPr>
            <w:tcW w:w="0" w:type="dxa"/>
            <w:vAlign w:val="bottom"/>
          </w:tcPr>
          <w:p>
            <w:pPr>
              <w:spacing w:after="0"/>
              <w:rPr>
                <w:sz w:val="1"/>
                <w:szCs w:val="1"/>
                <w:color w:val="auto"/>
              </w:rPr>
            </w:pPr>
          </w:p>
        </w:tc>
      </w:tr>
      <w:tr>
        <w:trPr>
          <w:trHeight w:val="197"/>
        </w:trPr>
        <w:tc>
          <w:tcPr>
            <w:tcW w:w="424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8"/>
              <w:spacing w:after="0"/>
              <w:rPr>
                <w:sz w:val="20"/>
                <w:szCs w:val="20"/>
                <w:color w:val="auto"/>
              </w:rPr>
            </w:pPr>
            <w:r>
              <w:rPr>
                <w:rFonts w:ascii="Arial" w:cs="Arial" w:eastAsia="Arial" w:hAnsi="Arial"/>
                <w:sz w:val="13"/>
                <w:szCs w:val="13"/>
                <w:color w:val="auto"/>
              </w:rPr>
              <w:t>(8,262)</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3"/>
                <w:szCs w:val="13"/>
                <w:color w:val="auto"/>
              </w:rPr>
              <w:t>(8,262)</w:t>
            </w:r>
          </w:p>
        </w:tc>
        <w:tc>
          <w:tcPr>
            <w:tcW w:w="0" w:type="dxa"/>
            <w:vAlign w:val="bottom"/>
          </w:tcPr>
          <w:p>
            <w:pPr>
              <w:spacing w:after="0"/>
              <w:rPr>
                <w:sz w:val="1"/>
                <w:szCs w:val="1"/>
                <w:color w:val="auto"/>
              </w:rPr>
            </w:pPr>
          </w:p>
        </w:tc>
      </w:tr>
      <w:tr>
        <w:trPr>
          <w:trHeight w:val="176"/>
        </w:trPr>
        <w:tc>
          <w:tcPr>
            <w:tcW w:w="4240" w:type="dxa"/>
            <w:vAlign w:val="bottom"/>
            <w:tcBorders>
              <w:bottom w:val="single" w:sz="8" w:color="CFF0FC"/>
            </w:tcBorders>
          </w:tcPr>
          <w:p>
            <w:pPr>
              <w:ind w:left="20"/>
              <w:spacing w:after="0"/>
              <w:rPr>
                <w:sz w:val="20"/>
                <w:szCs w:val="20"/>
                <w:color w:val="auto"/>
              </w:rPr>
            </w:pPr>
            <w:r>
              <w:rPr>
                <w:rFonts w:ascii="Arial" w:cs="Arial" w:eastAsia="Arial" w:hAnsi="Arial"/>
                <w:sz w:val="13"/>
                <w:szCs w:val="13"/>
                <w:b w:val="1"/>
                <w:bCs w:val="1"/>
                <w:color w:val="auto"/>
              </w:rPr>
              <w:t>Balance, March 31, 2020</w:t>
            </w:r>
          </w:p>
        </w:tc>
        <w:tc>
          <w:tcPr>
            <w:tcW w:w="7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27,277</w:t>
            </w:r>
          </w:p>
        </w:tc>
        <w:tc>
          <w:tcPr>
            <w:tcW w:w="12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3"/>
                <w:szCs w:val="13"/>
                <w:color w:val="auto"/>
              </w:rPr>
              <w:t>27</w:t>
            </w:r>
          </w:p>
        </w:tc>
        <w:tc>
          <w:tcPr>
            <w:tcW w:w="100" w:type="dxa"/>
            <w:vAlign w:val="bottom"/>
            <w:tcBorders>
              <w:bottom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3"/>
                <w:szCs w:val="13"/>
                <w:color w:val="auto"/>
              </w:rPr>
              <w:t>651,680</w:t>
            </w:r>
          </w:p>
        </w:tc>
        <w:tc>
          <w:tcPr>
            <w:tcW w:w="120" w:type="dxa"/>
            <w:vAlign w:val="bottom"/>
            <w:tcBorders>
              <w:bottom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3"/>
                <w:szCs w:val="13"/>
                <w:color w:val="auto"/>
              </w:rPr>
              <w:t>1,145</w:t>
            </w:r>
          </w:p>
        </w:tc>
        <w:tc>
          <w:tcPr>
            <w:tcW w:w="12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(252,288)</w:t>
            </w:r>
          </w:p>
        </w:tc>
        <w:tc>
          <w:tcPr>
            <w:tcW w:w="12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3"/>
                <w:szCs w:val="13"/>
                <w:color w:val="auto"/>
              </w:rPr>
              <w:t>400,564</w:t>
            </w:r>
          </w:p>
        </w:tc>
        <w:tc>
          <w:tcPr>
            <w:tcW w:w="0" w:type="dxa"/>
            <w:vAlign w:val="bottom"/>
          </w:tcPr>
          <w:p>
            <w:pPr>
              <w:spacing w:after="0"/>
              <w:rPr>
                <w:sz w:val="1"/>
                <w:szCs w:val="1"/>
                <w:color w:val="auto"/>
              </w:rPr>
            </w:pPr>
          </w:p>
        </w:tc>
      </w:tr>
      <w:tr>
        <w:trPr>
          <w:trHeight w:val="189"/>
        </w:trPr>
        <w:tc>
          <w:tcPr>
            <w:tcW w:w="4240" w:type="dxa"/>
            <w:vAlign w:val="bottom"/>
            <w:shd w:val="clear" w:color="auto" w:fill="CFF0FC"/>
          </w:tcPr>
          <w:p>
            <w:pPr>
              <w:ind w:left="20"/>
              <w:spacing w:after="0"/>
              <w:rPr>
                <w:sz w:val="20"/>
                <w:szCs w:val="20"/>
                <w:color w:val="auto"/>
              </w:rPr>
            </w:pPr>
            <w:r>
              <w:rPr>
                <w:rFonts w:ascii="Arial" w:cs="Arial" w:eastAsia="Arial" w:hAnsi="Arial"/>
                <w:sz w:val="13"/>
                <w:szCs w:val="13"/>
                <w:color w:val="auto"/>
              </w:rPr>
              <w:t>Shares issued under employee stock plans</w:t>
            </w:r>
          </w:p>
        </w:tc>
        <w:tc>
          <w:tcPr>
            <w:tcW w:w="7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79"/>
              <w:spacing w:after="0"/>
              <w:rPr>
                <w:sz w:val="20"/>
                <w:szCs w:val="20"/>
                <w:color w:val="auto"/>
              </w:rPr>
            </w:pPr>
            <w:r>
              <w:rPr>
                <w:rFonts w:ascii="Arial" w:cs="Arial" w:eastAsia="Arial" w:hAnsi="Arial"/>
                <w:sz w:val="13"/>
                <w:szCs w:val="13"/>
                <w:color w:val="auto"/>
              </w:rPr>
              <w:t>71</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ind w:left="7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81"/>
        </w:trPr>
        <w:tc>
          <w:tcPr>
            <w:tcW w:w="424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980" w:type="dxa"/>
            <w:vAlign w:val="bottom"/>
          </w:tcPr>
          <w:p>
            <w:pPr>
              <w:jc w:val="right"/>
              <w:ind w:right="79"/>
              <w:spacing w:after="0"/>
              <w:rPr>
                <w:sz w:val="20"/>
                <w:szCs w:val="20"/>
                <w:color w:val="auto"/>
              </w:rPr>
            </w:pPr>
            <w:r>
              <w:rPr>
                <w:rFonts w:ascii="Arial" w:cs="Arial" w:eastAsia="Arial" w:hAnsi="Arial"/>
                <w:sz w:val="13"/>
                <w:szCs w:val="13"/>
                <w:color w:val="auto"/>
              </w:rPr>
              <w:t>2,741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40" w:type="dxa"/>
            <w:vAlign w:val="bottom"/>
          </w:tcPr>
          <w:p>
            <w:pPr>
              <w:jc w:val="right"/>
              <w:ind w:right="79"/>
              <w:spacing w:after="0"/>
              <w:rPr>
                <w:sz w:val="20"/>
                <w:szCs w:val="20"/>
                <w:color w:val="auto"/>
              </w:rPr>
            </w:pPr>
            <w:r>
              <w:rPr>
                <w:rFonts w:ascii="Arial" w:cs="Arial" w:eastAsia="Arial" w:hAnsi="Arial"/>
                <w:sz w:val="13"/>
                <w:szCs w:val="13"/>
                <w:color w:val="auto"/>
              </w:rPr>
              <w:t>2,741</w:t>
            </w:r>
          </w:p>
        </w:tc>
        <w:tc>
          <w:tcPr>
            <w:tcW w:w="0" w:type="dxa"/>
            <w:vAlign w:val="bottom"/>
          </w:tcPr>
          <w:p>
            <w:pPr>
              <w:spacing w:after="0"/>
              <w:rPr>
                <w:sz w:val="1"/>
                <w:szCs w:val="1"/>
                <w:color w:val="auto"/>
              </w:rPr>
            </w:pPr>
          </w:p>
        </w:tc>
      </w:tr>
      <w:tr>
        <w:trPr>
          <w:trHeight w:val="197"/>
        </w:trPr>
        <w:tc>
          <w:tcPr>
            <w:tcW w:w="424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Comprehensive loss, net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3"/>
                <w:szCs w:val="13"/>
                <w:color w:val="auto"/>
              </w:rPr>
              <w:t>(392)</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ind w:left="7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3"/>
                <w:szCs w:val="13"/>
                <w:color w:val="auto"/>
              </w:rPr>
              <w:t>(392)</w:t>
            </w:r>
          </w:p>
        </w:tc>
        <w:tc>
          <w:tcPr>
            <w:tcW w:w="0" w:type="dxa"/>
            <w:vAlign w:val="bottom"/>
          </w:tcPr>
          <w:p>
            <w:pPr>
              <w:spacing w:after="0"/>
              <w:rPr>
                <w:sz w:val="1"/>
                <w:szCs w:val="1"/>
                <w:color w:val="auto"/>
              </w:rPr>
            </w:pPr>
          </w:p>
        </w:tc>
      </w:tr>
      <w:tr>
        <w:trPr>
          <w:trHeight w:val="183"/>
        </w:trPr>
        <w:tc>
          <w:tcPr>
            <w:tcW w:w="4240" w:type="dxa"/>
            <w:vAlign w:val="bottom"/>
          </w:tcPr>
          <w:p>
            <w:pPr>
              <w:ind w:left="20"/>
              <w:spacing w:after="0"/>
              <w:rPr>
                <w:sz w:val="20"/>
                <w:szCs w:val="20"/>
                <w:color w:val="auto"/>
              </w:rPr>
            </w:pPr>
            <w:r>
              <w:rPr>
                <w:rFonts w:ascii="Arial" w:cs="Arial" w:eastAsia="Arial" w:hAnsi="Arial"/>
                <w:sz w:val="13"/>
                <w:szCs w:val="13"/>
                <w:color w:val="auto"/>
              </w:rPr>
              <w:t>Net loss</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20" w:type="dxa"/>
            <w:vAlign w:val="bottom"/>
          </w:tcPr>
          <w:p>
            <w:pPr>
              <w:jc w:val="right"/>
              <w:ind w:right="38"/>
              <w:spacing w:after="0"/>
              <w:rPr>
                <w:sz w:val="20"/>
                <w:szCs w:val="20"/>
                <w:color w:val="auto"/>
              </w:rPr>
            </w:pPr>
            <w:r>
              <w:rPr>
                <w:rFonts w:ascii="Arial" w:cs="Arial" w:eastAsia="Arial" w:hAnsi="Arial"/>
                <w:sz w:val="13"/>
                <w:szCs w:val="13"/>
                <w:color w:val="auto"/>
              </w:rPr>
              <w:t>(21,548)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59"/>
              <w:spacing w:after="0"/>
              <w:rPr>
                <w:sz w:val="20"/>
                <w:szCs w:val="20"/>
                <w:color w:val="auto"/>
              </w:rPr>
            </w:pPr>
            <w:r>
              <w:rPr>
                <w:rFonts w:ascii="Arial" w:cs="Arial" w:eastAsia="Arial" w:hAnsi="Arial"/>
                <w:sz w:val="13"/>
                <w:szCs w:val="13"/>
                <w:color w:val="auto"/>
              </w:rPr>
              <w:t>(21,548)</w:t>
            </w:r>
          </w:p>
        </w:tc>
        <w:tc>
          <w:tcPr>
            <w:tcW w:w="0" w:type="dxa"/>
            <w:vAlign w:val="bottom"/>
          </w:tcPr>
          <w:p>
            <w:pPr>
              <w:spacing w:after="0"/>
              <w:rPr>
                <w:sz w:val="1"/>
                <w:szCs w:val="1"/>
                <w:color w:val="auto"/>
              </w:rPr>
            </w:pPr>
          </w:p>
        </w:tc>
      </w:tr>
      <w:tr>
        <w:trPr>
          <w:trHeight w:val="208"/>
        </w:trPr>
        <w:tc>
          <w:tcPr>
            <w:tcW w:w="42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June 30, 2020</w:t>
            </w:r>
          </w:p>
        </w:tc>
        <w:tc>
          <w:tcPr>
            <w:tcW w:w="78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27,287</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FF0FC"/>
          </w:tcPr>
          <w:p>
            <w:pPr>
              <w:jc w:val="right"/>
              <w:ind w:right="78"/>
              <w:spacing w:after="0"/>
              <w:rPr>
                <w:sz w:val="20"/>
                <w:szCs w:val="20"/>
                <w:color w:val="auto"/>
              </w:rPr>
            </w:pPr>
            <w:r>
              <w:rPr>
                <w:rFonts w:ascii="Arial" w:cs="Arial" w:eastAsia="Arial" w:hAnsi="Arial"/>
                <w:sz w:val="13"/>
                <w:szCs w:val="13"/>
                <w:color w:val="auto"/>
              </w:rPr>
              <w:t>27</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13"/>
                <w:szCs w:val="13"/>
                <w:color w:val="auto"/>
              </w:rPr>
              <w:t>654,492</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13"/>
                <w:szCs w:val="13"/>
                <w:color w:val="auto"/>
              </w:rPr>
              <w:t>753</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Arial" w:cs="Arial" w:eastAsia="Arial" w:hAnsi="Arial"/>
                <w:sz w:val="13"/>
                <w:szCs w:val="13"/>
                <w:color w:val="auto"/>
              </w:rPr>
              <w:t>(273,836)</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13"/>
                <w:szCs w:val="13"/>
                <w:color w:val="auto"/>
              </w:rPr>
              <w:t>381,436</w:t>
            </w:r>
          </w:p>
        </w:tc>
        <w:tc>
          <w:tcPr>
            <w:tcW w:w="0" w:type="dxa"/>
            <w:vAlign w:val="bottom"/>
          </w:tcPr>
          <w:p>
            <w:pPr>
              <w:spacing w:after="0"/>
              <w:rPr>
                <w:sz w:val="1"/>
                <w:szCs w:val="1"/>
                <w:color w:val="auto"/>
              </w:rPr>
            </w:pPr>
          </w:p>
        </w:tc>
      </w:tr>
      <w:tr>
        <w:trPr>
          <w:trHeight w:val="20"/>
        </w:trPr>
        <w:tc>
          <w:tcPr>
            <w:tcW w:w="42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6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5" w:name="page6"/>
    <w:bookmarkEnd w:id="5"/>
    <w:p>
      <w:pPr>
        <w:jc w:val="center"/>
        <w:ind w:right="-13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Consolidated Statement of Stockholders’ Equity</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200" w:type="dxa"/>
            <w:vAlign w:val="bottom"/>
          </w:tcPr>
          <w:p>
            <w:pPr>
              <w:spacing w:after="0"/>
              <w:rPr>
                <w:sz w:val="10"/>
                <w:szCs w:val="10"/>
                <w:color w:val="auto"/>
              </w:rPr>
            </w:pPr>
          </w:p>
        </w:tc>
        <w:tc>
          <w:tcPr>
            <w:tcW w:w="1820" w:type="dxa"/>
            <w:vAlign w:val="bottom"/>
            <w:gridSpan w:val="5"/>
          </w:tcPr>
          <w:p>
            <w:pPr>
              <w:ind w:left="500"/>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0"/>
                <w:szCs w:val="1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2"/>
              </w:rPr>
              <w:t>Additional</w:t>
            </w:r>
          </w:p>
        </w:tc>
        <w:tc>
          <w:tcPr>
            <w:tcW w:w="80" w:type="dxa"/>
            <w:vAlign w:val="bottom"/>
          </w:tcPr>
          <w:p>
            <w:pPr>
              <w:spacing w:after="0"/>
              <w:rPr>
                <w:sz w:val="10"/>
                <w:szCs w:val="10"/>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0"/>
              </w:rPr>
              <w:t>Accumulated Other</w:t>
            </w: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jc w:val="center"/>
              <w:ind w:right="119"/>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54"/>
        </w:trPr>
        <w:tc>
          <w:tcPr>
            <w:tcW w:w="42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gridSpan w:val="2"/>
            <w:vMerge w:val="restart"/>
          </w:tcPr>
          <w:p>
            <w:pPr>
              <w:jc w:val="center"/>
              <w:ind w:right="320"/>
              <w:spacing w:after="0" w:line="122" w:lineRule="exact"/>
              <w:rPr>
                <w:sz w:val="20"/>
                <w:szCs w:val="20"/>
                <w:color w:val="auto"/>
              </w:rPr>
            </w:pPr>
            <w:r>
              <w:rPr>
                <w:rFonts w:ascii="Arial" w:cs="Arial" w:eastAsia="Arial" w:hAnsi="Arial"/>
                <w:sz w:val="11"/>
                <w:szCs w:val="11"/>
                <w:b w:val="1"/>
                <w:bCs w:val="1"/>
                <w:color w:val="auto"/>
                <w:w w:val="92"/>
              </w:rPr>
              <w:t>Paid-in</w:t>
            </w:r>
          </w:p>
        </w:tc>
        <w:tc>
          <w:tcPr>
            <w:tcW w:w="80" w:type="dxa"/>
            <w:vAlign w:val="bottom"/>
          </w:tcPr>
          <w:p>
            <w:pPr>
              <w:spacing w:after="0"/>
              <w:rPr>
                <w:sz w:val="4"/>
                <w:szCs w:val="4"/>
                <w:color w:val="auto"/>
              </w:rPr>
            </w:pPr>
          </w:p>
        </w:tc>
        <w:tc>
          <w:tcPr>
            <w:tcW w:w="1200" w:type="dxa"/>
            <w:vAlign w:val="bottom"/>
            <w:gridSpan w:val="2"/>
            <w:vMerge w:val="restart"/>
          </w:tcPr>
          <w:p>
            <w:pPr>
              <w:jc w:val="center"/>
              <w:ind w:right="180"/>
              <w:spacing w:after="0" w:line="122" w:lineRule="exact"/>
              <w:rPr>
                <w:sz w:val="20"/>
                <w:szCs w:val="20"/>
                <w:color w:val="auto"/>
              </w:rPr>
            </w:pPr>
            <w:r>
              <w:rPr>
                <w:rFonts w:ascii="Arial" w:cs="Arial" w:eastAsia="Arial" w:hAnsi="Arial"/>
                <w:sz w:val="11"/>
                <w:szCs w:val="11"/>
                <w:b w:val="1"/>
                <w:bCs w:val="1"/>
                <w:color w:val="auto"/>
                <w:w w:val="85"/>
              </w:rPr>
              <w:t>Comprehensive (Loss)</w:t>
            </w:r>
          </w:p>
        </w:tc>
        <w:tc>
          <w:tcPr>
            <w:tcW w:w="200" w:type="dxa"/>
            <w:vAlign w:val="bottom"/>
          </w:tcPr>
          <w:p>
            <w:pPr>
              <w:spacing w:after="0"/>
              <w:rPr>
                <w:sz w:val="4"/>
                <w:szCs w:val="4"/>
                <w:color w:val="auto"/>
              </w:rPr>
            </w:pPr>
          </w:p>
        </w:tc>
        <w:tc>
          <w:tcPr>
            <w:tcW w:w="1100" w:type="dxa"/>
            <w:vAlign w:val="bottom"/>
            <w:gridSpan w:val="2"/>
            <w:vMerge w:val="restart"/>
          </w:tcPr>
          <w:p>
            <w:pPr>
              <w:ind w:left="100"/>
              <w:spacing w:after="0" w:line="122" w:lineRule="exact"/>
              <w:rPr>
                <w:sz w:val="20"/>
                <w:szCs w:val="20"/>
                <w:color w:val="auto"/>
              </w:rPr>
            </w:pPr>
            <w:r>
              <w:rPr>
                <w:rFonts w:ascii="Arial" w:cs="Arial" w:eastAsia="Arial" w:hAnsi="Arial"/>
                <w:sz w:val="11"/>
                <w:szCs w:val="11"/>
                <w:b w:val="1"/>
                <w:bCs w:val="1"/>
                <w:color w:val="auto"/>
              </w:rPr>
              <w:t>Accumulated</w:t>
            </w:r>
          </w:p>
        </w:tc>
        <w:tc>
          <w:tcPr>
            <w:tcW w:w="180" w:type="dxa"/>
            <w:vAlign w:val="bottom"/>
          </w:tcPr>
          <w:p>
            <w:pPr>
              <w:spacing w:after="0"/>
              <w:rPr>
                <w:sz w:val="4"/>
                <w:szCs w:val="4"/>
                <w:color w:val="auto"/>
              </w:rPr>
            </w:pPr>
          </w:p>
        </w:tc>
        <w:tc>
          <w:tcPr>
            <w:tcW w:w="1020" w:type="dxa"/>
            <w:vAlign w:val="bottom"/>
            <w:vMerge w:val="restart"/>
          </w:tcPr>
          <w:p>
            <w:pPr>
              <w:jc w:val="center"/>
              <w:ind w:right="119"/>
              <w:spacing w:after="0" w:line="122" w:lineRule="exact"/>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47"/>
        </w:trPr>
        <w:tc>
          <w:tcPr>
            <w:tcW w:w="4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4200" w:type="dxa"/>
            <w:vAlign w:val="bottom"/>
          </w:tcPr>
          <w:p>
            <w:pPr>
              <w:spacing w:after="0"/>
              <w:rPr>
                <w:sz w:val="12"/>
                <w:szCs w:val="12"/>
                <w:color w:val="auto"/>
              </w:rPr>
            </w:pPr>
          </w:p>
        </w:tc>
        <w:tc>
          <w:tcPr>
            <w:tcW w:w="920" w:type="dxa"/>
            <w:vAlign w:val="bottom"/>
            <w:gridSpan w:val="2"/>
          </w:tcPr>
          <w:p>
            <w:pPr>
              <w:ind w:left="24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2"/>
                <w:szCs w:val="12"/>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2"/>
              </w:rPr>
              <w:t>Capital</w:t>
            </w:r>
          </w:p>
        </w:tc>
        <w:tc>
          <w:tcPr>
            <w:tcW w:w="80" w:type="dxa"/>
            <w:vAlign w:val="bottom"/>
          </w:tcPr>
          <w:p>
            <w:pPr>
              <w:spacing w:after="0"/>
              <w:rPr>
                <w:sz w:val="12"/>
                <w:szCs w:val="12"/>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Income</w:t>
            </w:r>
          </w:p>
        </w:tc>
        <w:tc>
          <w:tcPr>
            <w:tcW w:w="200" w:type="dxa"/>
            <w:vAlign w:val="bottom"/>
          </w:tcPr>
          <w:p>
            <w:pPr>
              <w:spacing w:after="0"/>
              <w:rPr>
                <w:sz w:val="12"/>
                <w:szCs w:val="12"/>
                <w:color w:val="auto"/>
              </w:rPr>
            </w:pPr>
          </w:p>
        </w:tc>
        <w:tc>
          <w:tcPr>
            <w:tcW w:w="1100" w:type="dxa"/>
            <w:vAlign w:val="bottom"/>
            <w:gridSpan w:val="2"/>
          </w:tcPr>
          <w:p>
            <w:pPr>
              <w:ind w:left="240"/>
              <w:spacing w:after="0"/>
              <w:rPr>
                <w:sz w:val="20"/>
                <w:szCs w:val="20"/>
                <w:color w:val="auto"/>
              </w:rPr>
            </w:pPr>
            <w:r>
              <w:rPr>
                <w:rFonts w:ascii="Arial" w:cs="Arial" w:eastAsia="Arial" w:hAnsi="Arial"/>
                <w:sz w:val="11"/>
                <w:szCs w:val="11"/>
                <w:b w:val="1"/>
                <w:bCs w:val="1"/>
                <w:color w:val="auto"/>
              </w:rPr>
              <w:t>Deficit</w:t>
            </w:r>
          </w:p>
        </w:tc>
        <w:tc>
          <w:tcPr>
            <w:tcW w:w="180" w:type="dxa"/>
            <w:vAlign w:val="bottom"/>
          </w:tcPr>
          <w:p>
            <w:pPr>
              <w:spacing w:after="0"/>
              <w:rPr>
                <w:sz w:val="12"/>
                <w:szCs w:val="12"/>
                <w:color w:val="auto"/>
              </w:rPr>
            </w:pPr>
          </w:p>
        </w:tc>
        <w:tc>
          <w:tcPr>
            <w:tcW w:w="1020" w:type="dxa"/>
            <w:vAlign w:val="bottom"/>
          </w:tcPr>
          <w:p>
            <w:pPr>
              <w:jc w:val="center"/>
              <w:ind w:right="119"/>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2"/>
        </w:trPr>
        <w:tc>
          <w:tcPr>
            <w:tcW w:w="4200" w:type="dxa"/>
            <w:vAlign w:val="bottom"/>
            <w:tcBorders>
              <w:bottom w:val="single" w:sz="8" w:color="CFF0FC"/>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2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December 31, 2018</w:t>
            </w:r>
          </w:p>
        </w:tc>
        <w:tc>
          <w:tcPr>
            <w:tcW w:w="800" w:type="dxa"/>
            <w:vAlign w:val="bottom"/>
            <w:shd w:val="clear" w:color="auto" w:fill="CFF0FC"/>
          </w:tcPr>
          <w:p>
            <w:pPr>
              <w:jc w:val="right"/>
              <w:ind w:right="78"/>
              <w:spacing w:after="0"/>
              <w:rPr>
                <w:sz w:val="20"/>
                <w:szCs w:val="20"/>
                <w:color w:val="auto"/>
              </w:rPr>
            </w:pPr>
            <w:r>
              <w:rPr>
                <w:rFonts w:ascii="Arial" w:cs="Arial" w:eastAsia="Arial" w:hAnsi="Arial"/>
                <w:sz w:val="13"/>
                <w:szCs w:val="13"/>
                <w:color w:val="auto"/>
              </w:rPr>
              <w:t>26,922</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FF0FC"/>
          </w:tcPr>
          <w:p>
            <w:pPr>
              <w:jc w:val="right"/>
              <w:ind w:right="78"/>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FF0FC"/>
          </w:tcPr>
          <w:p>
            <w:pPr>
              <w:jc w:val="right"/>
              <w:ind w:right="79"/>
              <w:spacing w:after="0"/>
              <w:rPr>
                <w:sz w:val="20"/>
                <w:szCs w:val="20"/>
                <w:color w:val="auto"/>
              </w:rPr>
            </w:pPr>
            <w:r>
              <w:rPr>
                <w:rFonts w:ascii="Arial" w:cs="Arial" w:eastAsia="Arial" w:hAnsi="Arial"/>
                <w:sz w:val="13"/>
                <w:szCs w:val="13"/>
                <w:color w:val="auto"/>
              </w:rPr>
              <w:t>633,251</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3"/>
                <w:szCs w:val="13"/>
                <w:color w:val="auto"/>
              </w:rPr>
              <w:t>(223)</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FF0FC"/>
          </w:tcPr>
          <w:p>
            <w:pPr>
              <w:jc w:val="right"/>
              <w:ind w:right="58"/>
              <w:spacing w:after="0"/>
              <w:rPr>
                <w:sz w:val="20"/>
                <w:szCs w:val="20"/>
                <w:color w:val="auto"/>
              </w:rPr>
            </w:pPr>
            <w:r>
              <w:rPr>
                <w:rFonts w:ascii="Arial" w:cs="Arial" w:eastAsia="Arial" w:hAnsi="Arial"/>
                <w:sz w:val="13"/>
                <w:szCs w:val="13"/>
                <w:color w:val="auto"/>
              </w:rPr>
              <w:t>(146,690)</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3"/>
                <w:szCs w:val="13"/>
                <w:color w:val="auto"/>
              </w:rPr>
              <w:t>486,365</w:t>
            </w:r>
          </w:p>
        </w:tc>
        <w:tc>
          <w:tcPr>
            <w:tcW w:w="0" w:type="dxa"/>
            <w:vAlign w:val="bottom"/>
          </w:tcPr>
          <w:p>
            <w:pPr>
              <w:spacing w:after="0"/>
              <w:rPr>
                <w:sz w:val="1"/>
                <w:szCs w:val="1"/>
                <w:color w:val="auto"/>
              </w:rPr>
            </w:pPr>
          </w:p>
        </w:tc>
      </w:tr>
      <w:tr>
        <w:trPr>
          <w:trHeight w:val="181"/>
        </w:trPr>
        <w:tc>
          <w:tcPr>
            <w:tcW w:w="4200" w:type="dxa"/>
            <w:vAlign w:val="bottom"/>
          </w:tcPr>
          <w:p>
            <w:pPr>
              <w:ind w:left="20"/>
              <w:spacing w:after="0"/>
              <w:rPr>
                <w:sz w:val="20"/>
                <w:szCs w:val="20"/>
                <w:color w:val="auto"/>
              </w:rPr>
            </w:pPr>
            <w:r>
              <w:rPr>
                <w:rFonts w:ascii="Arial" w:cs="Arial" w:eastAsia="Arial" w:hAnsi="Arial"/>
                <w:sz w:val="13"/>
                <w:szCs w:val="13"/>
                <w:color w:val="auto"/>
              </w:rPr>
              <w:t>Shares issued under employee stock plans</w:t>
            </w: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84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80" w:type="dxa"/>
            <w:vAlign w:val="bottom"/>
          </w:tcPr>
          <w:p>
            <w:pPr>
              <w:jc w:val="right"/>
              <w:ind w:right="79"/>
              <w:spacing w:after="0"/>
              <w:rPr>
                <w:sz w:val="20"/>
                <w:szCs w:val="20"/>
                <w:color w:val="auto"/>
              </w:rPr>
            </w:pPr>
            <w:r>
              <w:rPr>
                <w:rFonts w:ascii="Arial" w:cs="Arial" w:eastAsia="Arial" w:hAnsi="Arial"/>
                <w:sz w:val="13"/>
                <w:szCs w:val="13"/>
                <w:color w:val="auto"/>
              </w:rPr>
              <w:t>574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0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20" w:type="dxa"/>
            <w:vAlign w:val="bottom"/>
          </w:tcPr>
          <w:p>
            <w:pPr>
              <w:jc w:val="right"/>
              <w:ind w:right="79"/>
              <w:spacing w:after="0"/>
              <w:rPr>
                <w:sz w:val="20"/>
                <w:szCs w:val="20"/>
                <w:color w:val="auto"/>
              </w:rPr>
            </w:pPr>
            <w:r>
              <w:rPr>
                <w:rFonts w:ascii="Arial" w:cs="Arial" w:eastAsia="Arial" w:hAnsi="Arial"/>
                <w:sz w:val="13"/>
                <w:szCs w:val="13"/>
                <w:color w:val="auto"/>
              </w:rPr>
              <w:t>574</w:t>
            </w:r>
          </w:p>
        </w:tc>
        <w:tc>
          <w:tcPr>
            <w:tcW w:w="0" w:type="dxa"/>
            <w:vAlign w:val="bottom"/>
          </w:tcPr>
          <w:p>
            <w:pPr>
              <w:spacing w:after="0"/>
              <w:rPr>
                <w:sz w:val="1"/>
                <w:szCs w:val="1"/>
                <w:color w:val="auto"/>
              </w:rPr>
            </w:pPr>
          </w:p>
        </w:tc>
      </w:tr>
      <w:tr>
        <w:trPr>
          <w:trHeight w:val="197"/>
        </w:trPr>
        <w:tc>
          <w:tcPr>
            <w:tcW w:w="4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79"/>
              <w:spacing w:after="0"/>
              <w:rPr>
                <w:sz w:val="20"/>
                <w:szCs w:val="20"/>
                <w:color w:val="auto"/>
              </w:rPr>
            </w:pPr>
            <w:r>
              <w:rPr>
                <w:rFonts w:ascii="Arial" w:cs="Arial" w:eastAsia="Arial" w:hAnsi="Arial"/>
                <w:sz w:val="13"/>
                <w:szCs w:val="13"/>
                <w:color w:val="auto"/>
              </w:rPr>
              <w:t>2,867</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ind w:left="7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3"/>
                <w:szCs w:val="13"/>
                <w:color w:val="auto"/>
              </w:rPr>
              <w:t>2,867</w:t>
            </w:r>
          </w:p>
        </w:tc>
        <w:tc>
          <w:tcPr>
            <w:tcW w:w="0" w:type="dxa"/>
            <w:vAlign w:val="bottom"/>
          </w:tcPr>
          <w:p>
            <w:pPr>
              <w:spacing w:after="0"/>
              <w:rPr>
                <w:sz w:val="1"/>
                <w:szCs w:val="1"/>
                <w:color w:val="auto"/>
              </w:rPr>
            </w:pPr>
          </w:p>
        </w:tc>
      </w:tr>
      <w:tr>
        <w:trPr>
          <w:trHeight w:val="181"/>
        </w:trPr>
        <w:tc>
          <w:tcPr>
            <w:tcW w:w="4200" w:type="dxa"/>
            <w:vAlign w:val="bottom"/>
          </w:tcPr>
          <w:p>
            <w:pPr>
              <w:ind w:left="20"/>
              <w:spacing w:after="0"/>
              <w:rPr>
                <w:sz w:val="20"/>
                <w:szCs w:val="20"/>
                <w:color w:val="auto"/>
              </w:rPr>
            </w:pPr>
            <w:r>
              <w:rPr>
                <w:rFonts w:ascii="Arial" w:cs="Arial" w:eastAsia="Arial" w:hAnsi="Arial"/>
                <w:sz w:val="13"/>
                <w:szCs w:val="13"/>
                <w:color w:val="auto"/>
              </w:rPr>
              <w:t>Comprehensive income, net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100" w:type="dxa"/>
            <w:vAlign w:val="bottom"/>
          </w:tcPr>
          <w:p>
            <w:pPr>
              <w:jc w:val="right"/>
              <w:ind w:right="79"/>
              <w:spacing w:after="0"/>
              <w:rPr>
                <w:sz w:val="20"/>
                <w:szCs w:val="20"/>
                <w:color w:val="auto"/>
              </w:rPr>
            </w:pPr>
            <w:r>
              <w:rPr>
                <w:rFonts w:ascii="Arial" w:cs="Arial" w:eastAsia="Arial" w:hAnsi="Arial"/>
                <w:sz w:val="13"/>
                <w:szCs w:val="13"/>
                <w:color w:val="auto"/>
              </w:rPr>
              <w:t>427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20" w:type="dxa"/>
            <w:vAlign w:val="bottom"/>
          </w:tcPr>
          <w:p>
            <w:pPr>
              <w:jc w:val="right"/>
              <w:ind w:right="79"/>
              <w:spacing w:after="0"/>
              <w:rPr>
                <w:sz w:val="20"/>
                <w:szCs w:val="20"/>
                <w:color w:val="auto"/>
              </w:rPr>
            </w:pPr>
            <w:r>
              <w:rPr>
                <w:rFonts w:ascii="Arial" w:cs="Arial" w:eastAsia="Arial" w:hAnsi="Arial"/>
                <w:sz w:val="13"/>
                <w:szCs w:val="13"/>
                <w:color w:val="auto"/>
              </w:rPr>
              <w:t>427</w:t>
            </w:r>
          </w:p>
        </w:tc>
        <w:tc>
          <w:tcPr>
            <w:tcW w:w="0" w:type="dxa"/>
            <w:vAlign w:val="bottom"/>
          </w:tcPr>
          <w:p>
            <w:pPr>
              <w:spacing w:after="0"/>
              <w:rPr>
                <w:sz w:val="1"/>
                <w:szCs w:val="1"/>
                <w:color w:val="auto"/>
              </w:rPr>
            </w:pPr>
          </w:p>
        </w:tc>
      </w:tr>
      <w:tr>
        <w:trPr>
          <w:trHeight w:val="197"/>
        </w:trPr>
        <w:tc>
          <w:tcPr>
            <w:tcW w:w="4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58"/>
              <w:spacing w:after="0"/>
              <w:rPr>
                <w:sz w:val="20"/>
                <w:szCs w:val="20"/>
                <w:color w:val="auto"/>
              </w:rPr>
            </w:pPr>
            <w:r>
              <w:rPr>
                <w:rFonts w:ascii="Arial" w:cs="Arial" w:eastAsia="Arial" w:hAnsi="Arial"/>
                <w:sz w:val="13"/>
                <w:szCs w:val="13"/>
                <w:color w:val="auto"/>
              </w:rPr>
              <w:t>(22,078)</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3"/>
                <w:szCs w:val="13"/>
                <w:color w:val="auto"/>
              </w:rPr>
              <w:t>(22,078)</w:t>
            </w:r>
          </w:p>
        </w:tc>
        <w:tc>
          <w:tcPr>
            <w:tcW w:w="0" w:type="dxa"/>
            <w:vAlign w:val="bottom"/>
          </w:tcPr>
          <w:p>
            <w:pPr>
              <w:spacing w:after="0"/>
              <w:rPr>
                <w:sz w:val="1"/>
                <w:szCs w:val="1"/>
                <w:color w:val="auto"/>
              </w:rPr>
            </w:pPr>
          </w:p>
        </w:tc>
      </w:tr>
      <w:tr>
        <w:trPr>
          <w:trHeight w:val="176"/>
        </w:trPr>
        <w:tc>
          <w:tcPr>
            <w:tcW w:w="4200" w:type="dxa"/>
            <w:vAlign w:val="bottom"/>
            <w:tcBorders>
              <w:bottom w:val="single" w:sz="8" w:color="CFF0FC"/>
            </w:tcBorders>
          </w:tcPr>
          <w:p>
            <w:pPr>
              <w:ind w:left="20"/>
              <w:spacing w:after="0"/>
              <w:rPr>
                <w:sz w:val="20"/>
                <w:szCs w:val="20"/>
                <w:color w:val="auto"/>
              </w:rPr>
            </w:pPr>
            <w:r>
              <w:rPr>
                <w:rFonts w:ascii="Arial" w:cs="Arial" w:eastAsia="Arial" w:hAnsi="Arial"/>
                <w:sz w:val="13"/>
                <w:szCs w:val="13"/>
                <w:b w:val="1"/>
                <w:bCs w:val="1"/>
                <w:color w:val="auto"/>
              </w:rPr>
              <w:t>Balance, March 31, 2019</w:t>
            </w:r>
          </w:p>
        </w:tc>
        <w:tc>
          <w:tcPr>
            <w:tcW w:w="80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3"/>
                <w:szCs w:val="13"/>
                <w:color w:val="auto"/>
              </w:rPr>
              <w:t>27,006</w:t>
            </w:r>
          </w:p>
        </w:tc>
        <w:tc>
          <w:tcPr>
            <w:tcW w:w="12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3"/>
                <w:szCs w:val="13"/>
                <w:color w:val="auto"/>
              </w:rPr>
              <w:t>27</w:t>
            </w:r>
          </w:p>
        </w:tc>
        <w:tc>
          <w:tcPr>
            <w:tcW w:w="12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3"/>
                <w:szCs w:val="13"/>
                <w:color w:val="auto"/>
              </w:rPr>
              <w:t>636,692</w:t>
            </w:r>
          </w:p>
        </w:tc>
        <w:tc>
          <w:tcPr>
            <w:tcW w:w="120" w:type="dxa"/>
            <w:vAlign w:val="bottom"/>
            <w:tcBorders>
              <w:bottom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3"/>
                <w:szCs w:val="13"/>
                <w:color w:val="auto"/>
              </w:rPr>
              <w:t>204</w:t>
            </w:r>
          </w:p>
        </w:tc>
        <w:tc>
          <w:tcPr>
            <w:tcW w:w="10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(168,768)</w:t>
            </w:r>
          </w:p>
        </w:tc>
        <w:tc>
          <w:tcPr>
            <w:tcW w:w="10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3"/>
                <w:szCs w:val="13"/>
                <w:color w:val="auto"/>
              </w:rPr>
              <w:t>468,155</w:t>
            </w:r>
          </w:p>
        </w:tc>
        <w:tc>
          <w:tcPr>
            <w:tcW w:w="0" w:type="dxa"/>
            <w:vAlign w:val="bottom"/>
          </w:tcPr>
          <w:p>
            <w:pPr>
              <w:spacing w:after="0"/>
              <w:rPr>
                <w:sz w:val="1"/>
                <w:szCs w:val="1"/>
                <w:color w:val="auto"/>
              </w:rPr>
            </w:pPr>
          </w:p>
        </w:tc>
      </w:tr>
      <w:tr>
        <w:trPr>
          <w:trHeight w:val="189"/>
        </w:trPr>
        <w:tc>
          <w:tcPr>
            <w:tcW w:w="4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Shares issued under employee stock plans</w:t>
            </w:r>
          </w:p>
        </w:tc>
        <w:tc>
          <w:tcPr>
            <w:tcW w:w="800" w:type="dxa"/>
            <w:vAlign w:val="bottom"/>
            <w:shd w:val="clear" w:color="auto" w:fill="CFF0FC"/>
          </w:tcPr>
          <w:p>
            <w:pPr>
              <w:jc w:val="right"/>
              <w:ind w:right="78"/>
              <w:spacing w:after="0"/>
              <w:rPr>
                <w:sz w:val="20"/>
                <w:szCs w:val="20"/>
                <w:color w:val="auto"/>
              </w:rPr>
            </w:pPr>
            <w:r>
              <w:rPr>
                <w:rFonts w:ascii="Arial" w:cs="Arial" w:eastAsia="Arial" w:hAnsi="Arial"/>
                <w:sz w:val="13"/>
                <w:szCs w:val="13"/>
                <w:color w:val="auto"/>
              </w:rPr>
              <w:t>39</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79"/>
              <w:spacing w:after="0"/>
              <w:rPr>
                <w:sz w:val="20"/>
                <w:szCs w:val="20"/>
                <w:color w:val="auto"/>
              </w:rPr>
            </w:pPr>
            <w:r>
              <w:rPr>
                <w:rFonts w:ascii="Arial" w:cs="Arial" w:eastAsia="Arial" w:hAnsi="Arial"/>
                <w:sz w:val="13"/>
                <w:szCs w:val="13"/>
                <w:color w:val="auto"/>
              </w:rPr>
              <w:t>215</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ind w:left="7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3"/>
                <w:szCs w:val="13"/>
                <w:color w:val="auto"/>
              </w:rPr>
              <w:t>215</w:t>
            </w:r>
          </w:p>
        </w:tc>
        <w:tc>
          <w:tcPr>
            <w:tcW w:w="0" w:type="dxa"/>
            <w:vAlign w:val="bottom"/>
          </w:tcPr>
          <w:p>
            <w:pPr>
              <w:spacing w:after="0"/>
              <w:rPr>
                <w:sz w:val="1"/>
                <w:szCs w:val="1"/>
                <w:color w:val="auto"/>
              </w:rPr>
            </w:pPr>
          </w:p>
        </w:tc>
      </w:tr>
      <w:tr>
        <w:trPr>
          <w:trHeight w:val="181"/>
        </w:trPr>
        <w:tc>
          <w:tcPr>
            <w:tcW w:w="420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80" w:type="dxa"/>
            <w:vAlign w:val="bottom"/>
          </w:tcPr>
          <w:p>
            <w:pPr>
              <w:jc w:val="right"/>
              <w:ind w:right="79"/>
              <w:spacing w:after="0"/>
              <w:rPr>
                <w:sz w:val="20"/>
                <w:szCs w:val="20"/>
                <w:color w:val="auto"/>
              </w:rPr>
            </w:pPr>
            <w:r>
              <w:rPr>
                <w:rFonts w:ascii="Arial" w:cs="Arial" w:eastAsia="Arial" w:hAnsi="Arial"/>
                <w:sz w:val="13"/>
                <w:szCs w:val="13"/>
                <w:color w:val="auto"/>
              </w:rPr>
              <w:t>3,643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0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20" w:type="dxa"/>
            <w:vAlign w:val="bottom"/>
          </w:tcPr>
          <w:p>
            <w:pPr>
              <w:jc w:val="right"/>
              <w:ind w:right="79"/>
              <w:spacing w:after="0"/>
              <w:rPr>
                <w:sz w:val="20"/>
                <w:szCs w:val="20"/>
                <w:color w:val="auto"/>
              </w:rPr>
            </w:pPr>
            <w:r>
              <w:rPr>
                <w:rFonts w:ascii="Arial" w:cs="Arial" w:eastAsia="Arial" w:hAnsi="Arial"/>
                <w:sz w:val="13"/>
                <w:szCs w:val="13"/>
                <w:color w:val="auto"/>
              </w:rPr>
              <w:t>3,643</w:t>
            </w:r>
          </w:p>
        </w:tc>
        <w:tc>
          <w:tcPr>
            <w:tcW w:w="0" w:type="dxa"/>
            <w:vAlign w:val="bottom"/>
          </w:tcPr>
          <w:p>
            <w:pPr>
              <w:spacing w:after="0"/>
              <w:rPr>
                <w:sz w:val="1"/>
                <w:szCs w:val="1"/>
                <w:color w:val="auto"/>
              </w:rPr>
            </w:pPr>
          </w:p>
        </w:tc>
      </w:tr>
      <w:tr>
        <w:trPr>
          <w:trHeight w:val="197"/>
        </w:trPr>
        <w:tc>
          <w:tcPr>
            <w:tcW w:w="420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Comprehensive income, net</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79"/>
              <w:spacing w:after="0"/>
              <w:rPr>
                <w:sz w:val="20"/>
                <w:szCs w:val="20"/>
                <w:color w:val="auto"/>
              </w:rPr>
            </w:pPr>
            <w:r>
              <w:rPr>
                <w:rFonts w:ascii="Arial" w:cs="Arial" w:eastAsia="Arial" w:hAnsi="Arial"/>
                <w:sz w:val="13"/>
                <w:szCs w:val="13"/>
                <w:color w:val="auto"/>
              </w:rPr>
              <w:t>370</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ind w:left="7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79"/>
              <w:spacing w:after="0"/>
              <w:rPr>
                <w:sz w:val="20"/>
                <w:szCs w:val="20"/>
                <w:color w:val="auto"/>
              </w:rPr>
            </w:pPr>
            <w:r>
              <w:rPr>
                <w:rFonts w:ascii="Arial" w:cs="Arial" w:eastAsia="Arial" w:hAnsi="Arial"/>
                <w:sz w:val="13"/>
                <w:szCs w:val="13"/>
                <w:color w:val="auto"/>
              </w:rPr>
              <w:t>370</w:t>
            </w:r>
          </w:p>
        </w:tc>
        <w:tc>
          <w:tcPr>
            <w:tcW w:w="0" w:type="dxa"/>
            <w:vAlign w:val="bottom"/>
          </w:tcPr>
          <w:p>
            <w:pPr>
              <w:spacing w:after="0"/>
              <w:rPr>
                <w:sz w:val="1"/>
                <w:szCs w:val="1"/>
                <w:color w:val="auto"/>
              </w:rPr>
            </w:pPr>
          </w:p>
        </w:tc>
      </w:tr>
      <w:tr>
        <w:trPr>
          <w:trHeight w:val="183"/>
        </w:trPr>
        <w:tc>
          <w:tcPr>
            <w:tcW w:w="4200" w:type="dxa"/>
            <w:vAlign w:val="bottom"/>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00" w:type="dxa"/>
            <w:vAlign w:val="bottom"/>
          </w:tcPr>
          <w:p>
            <w:pPr>
              <w:jc w:val="right"/>
              <w:ind w:right="58"/>
              <w:spacing w:after="0"/>
              <w:rPr>
                <w:sz w:val="20"/>
                <w:szCs w:val="20"/>
                <w:color w:val="auto"/>
              </w:rPr>
            </w:pPr>
            <w:r>
              <w:rPr>
                <w:rFonts w:ascii="Arial" w:cs="Arial" w:eastAsia="Arial" w:hAnsi="Arial"/>
                <w:sz w:val="13"/>
                <w:szCs w:val="13"/>
                <w:color w:val="auto"/>
              </w:rPr>
              <w:t>(23,962)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59"/>
              <w:spacing w:after="0"/>
              <w:rPr>
                <w:sz w:val="20"/>
                <w:szCs w:val="20"/>
                <w:color w:val="auto"/>
              </w:rPr>
            </w:pPr>
            <w:r>
              <w:rPr>
                <w:rFonts w:ascii="Arial" w:cs="Arial" w:eastAsia="Arial" w:hAnsi="Arial"/>
                <w:sz w:val="13"/>
                <w:szCs w:val="13"/>
                <w:color w:val="auto"/>
              </w:rPr>
              <w:t>(23,962)</w:t>
            </w:r>
          </w:p>
        </w:tc>
        <w:tc>
          <w:tcPr>
            <w:tcW w:w="0" w:type="dxa"/>
            <w:vAlign w:val="bottom"/>
          </w:tcPr>
          <w:p>
            <w:pPr>
              <w:spacing w:after="0"/>
              <w:rPr>
                <w:sz w:val="1"/>
                <w:szCs w:val="1"/>
                <w:color w:val="auto"/>
              </w:rPr>
            </w:pPr>
          </w:p>
        </w:tc>
      </w:tr>
      <w:tr>
        <w:trPr>
          <w:trHeight w:val="208"/>
        </w:trPr>
        <w:tc>
          <w:tcPr>
            <w:tcW w:w="42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June 30, 2019</w:t>
            </w:r>
          </w:p>
        </w:tc>
        <w:tc>
          <w:tcPr>
            <w:tcW w:w="800" w:type="dxa"/>
            <w:vAlign w:val="bottom"/>
            <w:tcBorders>
              <w:top w:val="single" w:sz="8" w:color="auto"/>
              <w:bottom w:val="single" w:sz="8" w:color="auto"/>
            </w:tcBorders>
            <w:shd w:val="clear" w:color="auto" w:fill="CFF0FC"/>
          </w:tcPr>
          <w:p>
            <w:pPr>
              <w:jc w:val="right"/>
              <w:ind w:right="78"/>
              <w:spacing w:after="0"/>
              <w:rPr>
                <w:sz w:val="20"/>
                <w:szCs w:val="20"/>
                <w:color w:val="auto"/>
              </w:rPr>
            </w:pPr>
            <w:r>
              <w:rPr>
                <w:rFonts w:ascii="Arial" w:cs="Arial" w:eastAsia="Arial" w:hAnsi="Arial"/>
                <w:sz w:val="13"/>
                <w:szCs w:val="13"/>
                <w:color w:val="auto"/>
              </w:rPr>
              <w:t>27,045</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FF0FC"/>
          </w:tcPr>
          <w:p>
            <w:pPr>
              <w:jc w:val="right"/>
              <w:ind w:right="78"/>
              <w:spacing w:after="0"/>
              <w:rPr>
                <w:sz w:val="20"/>
                <w:szCs w:val="20"/>
                <w:color w:val="auto"/>
              </w:rPr>
            </w:pPr>
            <w:r>
              <w:rPr>
                <w:rFonts w:ascii="Arial" w:cs="Arial" w:eastAsia="Arial" w:hAnsi="Arial"/>
                <w:sz w:val="13"/>
                <w:szCs w:val="13"/>
                <w:color w:val="auto"/>
              </w:rPr>
              <w:t>27</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13"/>
                <w:szCs w:val="13"/>
                <w:color w:val="auto"/>
              </w:rPr>
              <w:t>640,550</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13"/>
                <w:szCs w:val="13"/>
                <w:color w:val="auto"/>
              </w:rPr>
              <w:t>574</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FF0FC"/>
          </w:tcPr>
          <w:p>
            <w:pPr>
              <w:jc w:val="right"/>
              <w:ind w:right="58"/>
              <w:spacing w:after="0"/>
              <w:rPr>
                <w:sz w:val="20"/>
                <w:szCs w:val="20"/>
                <w:color w:val="auto"/>
              </w:rPr>
            </w:pPr>
            <w:r>
              <w:rPr>
                <w:rFonts w:ascii="Arial" w:cs="Arial" w:eastAsia="Arial" w:hAnsi="Arial"/>
                <w:sz w:val="13"/>
                <w:szCs w:val="13"/>
                <w:color w:val="auto"/>
              </w:rPr>
              <w:t>(192,730)</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13"/>
                <w:szCs w:val="13"/>
                <w:color w:val="auto"/>
              </w:rPr>
              <w:t>448,421</w:t>
            </w: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6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999" w:right="4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13335</wp:posOffset>
            </wp:positionV>
            <wp:extent cx="21774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Borders>
              <w:bottom w:val="single" w:sz="8" w:color="CFF0FC"/>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2019</w:t>
            </w:r>
          </w:p>
        </w:tc>
      </w:tr>
      <w:tr>
        <w:trPr>
          <w:trHeight w:val="223"/>
        </w:trPr>
        <w:tc>
          <w:tcPr>
            <w:tcW w:w="7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8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r>
      <w:tr>
        <w:trPr>
          <w:trHeight w:val="224"/>
        </w:trPr>
        <w:tc>
          <w:tcPr>
            <w:tcW w:w="7820" w:type="dxa"/>
            <w:vAlign w:val="bottom"/>
          </w:tcPr>
          <w:p>
            <w:pPr>
              <w:ind w:left="20"/>
              <w:spacing w:after="0"/>
              <w:rPr>
                <w:sz w:val="20"/>
                <w:szCs w:val="20"/>
                <w:color w:val="auto"/>
              </w:rPr>
            </w:pPr>
            <w:r>
              <w:rPr>
                <w:rFonts w:ascii="Arial" w:cs="Arial" w:eastAsia="Arial" w:hAnsi="Arial"/>
                <w:sz w:val="16"/>
                <w:szCs w:val="16"/>
                <w:color w:val="auto"/>
              </w:rPr>
              <w:t>Net loss</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0"/>
              </w:rPr>
              <w:t>(29,810)</w:t>
            </w:r>
          </w:p>
        </w:tc>
        <w:tc>
          <w:tcPr>
            <w:tcW w:w="1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(46,040)</w:t>
            </w:r>
          </w:p>
        </w:tc>
      </w:tr>
      <w:tr>
        <w:trPr>
          <w:trHeight w:val="33"/>
        </w:trPr>
        <w:tc>
          <w:tcPr>
            <w:tcW w:w="7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7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r>
      <w:tr>
        <w:trPr>
          <w:trHeight w:val="224"/>
        </w:trPr>
        <w:tc>
          <w:tcPr>
            <w:tcW w:w="782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980" w:type="dxa"/>
            <w:vAlign w:val="bottom"/>
          </w:tcPr>
          <w:p>
            <w:pPr>
              <w:spacing w:after="0"/>
              <w:rPr>
                <w:sz w:val="19"/>
                <w:szCs w:val="19"/>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239</w:t>
            </w:r>
          </w:p>
        </w:tc>
      </w:tr>
      <w:tr>
        <w:trPr>
          <w:trHeight w:val="33"/>
        </w:trPr>
        <w:tc>
          <w:tcPr>
            <w:tcW w:w="7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8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Stock-based compensation</w:t>
            </w:r>
          </w:p>
        </w:tc>
        <w:tc>
          <w:tcPr>
            <w:tcW w:w="98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5,716</w:t>
            </w:r>
          </w:p>
        </w:tc>
        <w:tc>
          <w:tcPr>
            <w:tcW w:w="1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6,510</w:t>
            </w:r>
          </w:p>
        </w:tc>
      </w:tr>
      <w:tr>
        <w:trPr>
          <w:trHeight w:val="224"/>
        </w:trPr>
        <w:tc>
          <w:tcPr>
            <w:tcW w:w="7820" w:type="dxa"/>
            <w:vAlign w:val="bottom"/>
          </w:tcPr>
          <w:p>
            <w:pPr>
              <w:ind w:left="260"/>
              <w:spacing w:after="0"/>
              <w:rPr>
                <w:sz w:val="20"/>
                <w:szCs w:val="20"/>
                <w:color w:val="auto"/>
              </w:rPr>
            </w:pPr>
            <w:r>
              <w:rPr>
                <w:rFonts w:ascii="Arial" w:cs="Arial" w:eastAsia="Arial" w:hAnsi="Arial"/>
                <w:sz w:val="16"/>
                <w:szCs w:val="16"/>
                <w:color w:val="auto"/>
              </w:rPr>
              <w:t>Accretion/amortization of investments, net</w:t>
            </w:r>
          </w:p>
        </w:tc>
        <w:tc>
          <w:tcPr>
            <w:tcW w:w="980" w:type="dxa"/>
            <w:vAlign w:val="bottom"/>
          </w:tcPr>
          <w:p>
            <w:pPr>
              <w:spacing w:after="0"/>
              <w:rPr>
                <w:sz w:val="19"/>
                <w:szCs w:val="19"/>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(1,926)</w:t>
            </w:r>
          </w:p>
        </w:tc>
      </w:tr>
      <w:tr>
        <w:trPr>
          <w:trHeight w:val="33"/>
        </w:trPr>
        <w:tc>
          <w:tcPr>
            <w:tcW w:w="7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8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Non-cash interest expense</w:t>
            </w:r>
          </w:p>
        </w:tc>
        <w:tc>
          <w:tcPr>
            <w:tcW w:w="98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332</w:t>
            </w:r>
          </w:p>
        </w:tc>
      </w:tr>
      <w:tr>
        <w:trPr>
          <w:trHeight w:val="223"/>
        </w:trPr>
        <w:tc>
          <w:tcPr>
            <w:tcW w:w="7820" w:type="dxa"/>
            <w:vAlign w:val="bottom"/>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7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8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Receivable from collaborative partners</w:t>
            </w:r>
          </w:p>
        </w:tc>
        <w:tc>
          <w:tcPr>
            <w:tcW w:w="98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(5,000)</w:t>
            </w:r>
          </w:p>
        </w:tc>
      </w:tr>
      <w:tr>
        <w:trPr>
          <w:trHeight w:val="224"/>
        </w:trPr>
        <w:tc>
          <w:tcPr>
            <w:tcW w:w="7820" w:type="dxa"/>
            <w:vAlign w:val="bottom"/>
          </w:tcPr>
          <w:p>
            <w:pPr>
              <w:ind w:left="500"/>
              <w:spacing w:after="0"/>
              <w:rPr>
                <w:sz w:val="20"/>
                <w:szCs w:val="20"/>
                <w:color w:val="auto"/>
              </w:rPr>
            </w:pPr>
            <w:r>
              <w:rPr>
                <w:rFonts w:ascii="Arial" w:cs="Arial" w:eastAsia="Arial" w:hAnsi="Arial"/>
                <w:sz w:val="16"/>
                <w:szCs w:val="16"/>
                <w:color w:val="auto"/>
              </w:rPr>
              <w:t>Prepaid expenses and other assets</w:t>
            </w:r>
          </w:p>
        </w:tc>
        <w:tc>
          <w:tcPr>
            <w:tcW w:w="980" w:type="dxa"/>
            <w:vAlign w:val="bottom"/>
          </w:tcPr>
          <w:p>
            <w:pPr>
              <w:spacing w:after="0"/>
              <w:rPr>
                <w:sz w:val="19"/>
                <w:szCs w:val="19"/>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(2,478)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1,609</w:t>
            </w:r>
          </w:p>
        </w:tc>
      </w:tr>
      <w:tr>
        <w:trPr>
          <w:trHeight w:val="33"/>
        </w:trPr>
        <w:tc>
          <w:tcPr>
            <w:tcW w:w="7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78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Accounts payable and other liabilities</w:t>
            </w:r>
          </w:p>
        </w:tc>
        <w:tc>
          <w:tcPr>
            <w:tcW w:w="98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(8,488)</w:t>
            </w:r>
          </w:p>
        </w:tc>
        <w:tc>
          <w:tcPr>
            <w:tcW w:w="1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12,660</w:t>
            </w:r>
          </w:p>
        </w:tc>
      </w:tr>
      <w:tr>
        <w:trPr>
          <w:trHeight w:val="217"/>
        </w:trPr>
        <w:tc>
          <w:tcPr>
            <w:tcW w:w="7820" w:type="dxa"/>
            <w:vAlign w:val="bottom"/>
          </w:tcPr>
          <w:p>
            <w:pPr>
              <w:ind w:left="740"/>
              <w:spacing w:after="0"/>
              <w:rPr>
                <w:sz w:val="20"/>
                <w:szCs w:val="20"/>
                <w:color w:val="auto"/>
              </w:rPr>
            </w:pPr>
            <w:r>
              <w:rPr>
                <w:rFonts w:ascii="Arial" w:cs="Arial" w:eastAsia="Arial" w:hAnsi="Arial"/>
                <w:sz w:val="16"/>
                <w:szCs w:val="16"/>
                <w:color w:val="auto"/>
              </w:rPr>
              <w:t>Net cash used in operating activities</w:t>
            </w:r>
          </w:p>
        </w:tc>
        <w:tc>
          <w:tcPr>
            <w:tcW w:w="9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0"/>
              </w:rPr>
              <w:t>(34,722)</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(31,616)</w:t>
            </w:r>
          </w:p>
        </w:tc>
      </w:tr>
      <w:tr>
        <w:trPr>
          <w:trHeight w:val="33"/>
        </w:trPr>
        <w:tc>
          <w:tcPr>
            <w:tcW w:w="782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6"/>
        </w:trPr>
        <w:tc>
          <w:tcPr>
            <w:tcW w:w="7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8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spacing w:after="0"/>
              <w:rPr>
                <w:sz w:val="18"/>
                <w:szCs w:val="18"/>
                <w:color w:val="auto"/>
              </w:rPr>
            </w:pPr>
          </w:p>
        </w:tc>
      </w:tr>
      <w:tr>
        <w:trPr>
          <w:trHeight w:val="224"/>
        </w:trPr>
        <w:tc>
          <w:tcPr>
            <w:tcW w:w="7820" w:type="dxa"/>
            <w:vAlign w:val="bottom"/>
          </w:tcPr>
          <w:p>
            <w:pPr>
              <w:ind w:left="20"/>
              <w:spacing w:after="0"/>
              <w:rPr>
                <w:sz w:val="20"/>
                <w:szCs w:val="20"/>
                <w:color w:val="auto"/>
              </w:rPr>
            </w:pPr>
            <w:r>
              <w:rPr>
                <w:rFonts w:ascii="Arial" w:cs="Arial" w:eastAsia="Arial" w:hAnsi="Arial"/>
                <w:sz w:val="16"/>
                <w:szCs w:val="16"/>
                <w:color w:val="auto"/>
              </w:rPr>
              <w:t>Acquisition of investments</w:t>
            </w:r>
          </w:p>
        </w:tc>
        <w:tc>
          <w:tcPr>
            <w:tcW w:w="980" w:type="dxa"/>
            <w:vAlign w:val="bottom"/>
          </w:tcPr>
          <w:p>
            <w:pPr>
              <w:spacing w:after="0"/>
              <w:rPr>
                <w:sz w:val="19"/>
                <w:szCs w:val="19"/>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0"/>
              </w:rPr>
              <w:t>(86,947)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(132,313)</w:t>
            </w:r>
          </w:p>
        </w:tc>
      </w:tr>
      <w:tr>
        <w:trPr>
          <w:trHeight w:val="33"/>
        </w:trPr>
        <w:tc>
          <w:tcPr>
            <w:tcW w:w="7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Sales and maturities of investments</w:t>
            </w:r>
          </w:p>
        </w:tc>
        <w:tc>
          <w:tcPr>
            <w:tcW w:w="98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w w:val="86"/>
              </w:rPr>
              <w:t>173,262</w:t>
            </w:r>
          </w:p>
        </w:tc>
        <w:tc>
          <w:tcPr>
            <w:tcW w:w="1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200,267</w:t>
            </w:r>
          </w:p>
        </w:tc>
      </w:tr>
      <w:tr>
        <w:trPr>
          <w:trHeight w:val="224"/>
        </w:trPr>
        <w:tc>
          <w:tcPr>
            <w:tcW w:w="782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980" w:type="dxa"/>
            <w:vAlign w:val="bottom"/>
          </w:tcPr>
          <w:p>
            <w:pPr>
              <w:spacing w:after="0"/>
              <w:rPr>
                <w:sz w:val="19"/>
                <w:szCs w:val="19"/>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(421)</w:t>
            </w:r>
          </w:p>
        </w:tc>
      </w:tr>
      <w:tr>
        <w:trPr>
          <w:trHeight w:val="33"/>
        </w:trPr>
        <w:tc>
          <w:tcPr>
            <w:tcW w:w="782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78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Net cash provided by investing activities</w:t>
            </w:r>
          </w:p>
        </w:tc>
        <w:tc>
          <w:tcPr>
            <w:tcW w:w="98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86,145</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67,533</w:t>
            </w:r>
          </w:p>
        </w:tc>
      </w:tr>
      <w:tr>
        <w:trPr>
          <w:trHeight w:val="204"/>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33"/>
        </w:trPr>
        <w:tc>
          <w:tcPr>
            <w:tcW w:w="7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7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Proceeds from issuance of common stock, upon the exercise of stock options</w:t>
            </w:r>
          </w:p>
        </w:tc>
        <w:tc>
          <w:tcPr>
            <w:tcW w:w="98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789</w:t>
            </w:r>
          </w:p>
        </w:tc>
      </w:tr>
      <w:tr>
        <w:trPr>
          <w:trHeight w:val="224"/>
        </w:trPr>
        <w:tc>
          <w:tcPr>
            <w:tcW w:w="7820" w:type="dxa"/>
            <w:vAlign w:val="bottom"/>
          </w:tcPr>
          <w:p>
            <w:pPr>
              <w:ind w:left="20"/>
              <w:spacing w:after="0"/>
              <w:rPr>
                <w:sz w:val="20"/>
                <w:szCs w:val="20"/>
                <w:color w:val="auto"/>
              </w:rPr>
            </w:pPr>
            <w:r>
              <w:rPr>
                <w:rFonts w:ascii="Arial" w:cs="Arial" w:eastAsia="Arial" w:hAnsi="Arial"/>
                <w:sz w:val="16"/>
                <w:szCs w:val="16"/>
                <w:color w:val="auto"/>
              </w:rPr>
              <w:t>Payments on notes payable</w:t>
            </w:r>
          </w:p>
        </w:tc>
        <w:tc>
          <w:tcPr>
            <w:tcW w:w="980" w:type="dxa"/>
            <w:vAlign w:val="bottom"/>
          </w:tcPr>
          <w:p>
            <w:pPr>
              <w:spacing w:after="0"/>
              <w:rPr>
                <w:sz w:val="19"/>
                <w:szCs w:val="19"/>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(1,375)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(3,750)</w:t>
            </w:r>
          </w:p>
        </w:tc>
      </w:tr>
      <w:tr>
        <w:trPr>
          <w:trHeight w:val="33"/>
        </w:trPr>
        <w:tc>
          <w:tcPr>
            <w:tcW w:w="782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78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Net cash used in financing activities</w:t>
            </w:r>
          </w:p>
        </w:tc>
        <w:tc>
          <w:tcPr>
            <w:tcW w:w="98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(1,268)</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(2,961)</w:t>
            </w:r>
          </w:p>
        </w:tc>
      </w:tr>
      <w:tr>
        <w:trPr>
          <w:trHeight w:val="217"/>
        </w:trPr>
        <w:tc>
          <w:tcPr>
            <w:tcW w:w="7820" w:type="dxa"/>
            <w:vAlign w:val="bottom"/>
          </w:tcPr>
          <w:p>
            <w:pPr>
              <w:ind w:left="980"/>
              <w:spacing w:after="0"/>
              <w:rPr>
                <w:sz w:val="20"/>
                <w:szCs w:val="20"/>
                <w:color w:val="auto"/>
              </w:rPr>
            </w:pPr>
            <w:r>
              <w:rPr>
                <w:rFonts w:ascii="Arial" w:cs="Arial" w:eastAsia="Arial" w:hAnsi="Arial"/>
                <w:sz w:val="16"/>
                <w:szCs w:val="16"/>
                <w:color w:val="auto"/>
              </w:rPr>
              <w:t>Net increase in cash, cash equivalents, and restricted cash</w:t>
            </w:r>
          </w:p>
        </w:tc>
        <w:tc>
          <w:tcPr>
            <w:tcW w:w="9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50,155</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32,956</w:t>
            </w:r>
          </w:p>
        </w:tc>
      </w:tr>
      <w:tr>
        <w:trPr>
          <w:trHeight w:val="33"/>
        </w:trPr>
        <w:tc>
          <w:tcPr>
            <w:tcW w:w="7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6"/>
        </w:trPr>
        <w:tc>
          <w:tcPr>
            <w:tcW w:w="7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98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w w:val="86"/>
              </w:rPr>
              <w:t>171,077</w:t>
            </w:r>
          </w:p>
        </w:tc>
        <w:tc>
          <w:tcPr>
            <w:tcW w:w="1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rPr>
              <w:t>113,656</w:t>
            </w:r>
          </w:p>
        </w:tc>
      </w:tr>
      <w:tr>
        <w:trPr>
          <w:trHeight w:val="217"/>
        </w:trPr>
        <w:tc>
          <w:tcPr>
            <w:tcW w:w="78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6"/>
              </w:rPr>
              <w:t>221,232</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146,612</w:t>
            </w:r>
          </w:p>
        </w:tc>
      </w:tr>
      <w:tr>
        <w:trPr>
          <w:trHeight w:val="33"/>
        </w:trPr>
        <w:tc>
          <w:tcPr>
            <w:tcW w:w="78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7820" w:type="dxa"/>
            <w:vAlign w:val="bottom"/>
            <w:tcBorders>
              <w:bottom w:val="single" w:sz="8" w:color="CFF0FC"/>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78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9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r>
      <w:tr>
        <w:trPr>
          <w:trHeight w:val="223"/>
        </w:trPr>
        <w:tc>
          <w:tcPr>
            <w:tcW w:w="782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301</w:t>
            </w:r>
          </w:p>
        </w:tc>
      </w:tr>
      <w:tr>
        <w:trPr>
          <w:trHeight w:val="33"/>
        </w:trPr>
        <w:tc>
          <w:tcPr>
            <w:tcW w:w="7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7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98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spacing w:after="0"/>
              <w:rPr>
                <w:sz w:val="20"/>
                <w:szCs w:val="20"/>
                <w:color w:val="auto"/>
              </w:rPr>
            </w:pPr>
          </w:p>
        </w:tc>
      </w:tr>
      <w:tr>
        <w:trPr>
          <w:trHeight w:val="223"/>
        </w:trPr>
        <w:tc>
          <w:tcPr>
            <w:tcW w:w="7820" w:type="dxa"/>
            <w:vAlign w:val="bottom"/>
          </w:tcPr>
          <w:p>
            <w:pPr>
              <w:ind w:left="260"/>
              <w:spacing w:after="0"/>
              <w:rPr>
                <w:sz w:val="20"/>
                <w:szCs w:val="20"/>
                <w:color w:val="auto"/>
              </w:rPr>
            </w:pPr>
            <w:r>
              <w:rPr>
                <w:rFonts w:ascii="Arial" w:cs="Arial" w:eastAsia="Arial" w:hAnsi="Arial"/>
                <w:sz w:val="16"/>
                <w:szCs w:val="16"/>
                <w:color w:val="auto"/>
              </w:rPr>
              <w:t>Amounts accrued for property and equipment</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14</w:t>
            </w:r>
          </w:p>
        </w:tc>
      </w:tr>
    </w:tbl>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21" w:lineRule="exact"/>
        <w:rPr>
          <w:sz w:val="20"/>
          <w:szCs w:val="20"/>
          <w:color w:val="auto"/>
        </w:rPr>
      </w:pPr>
    </w:p>
    <w:p>
      <w:pPr>
        <w:ind w:right="240" w:firstLine="567"/>
        <w:spacing w:after="0" w:line="255" w:lineRule="auto"/>
        <w:rPr>
          <w:sz w:val="20"/>
          <w:szCs w:val="20"/>
          <w:color w:val="auto"/>
        </w:rPr>
      </w:pPr>
      <w:r>
        <w:rPr>
          <w:rFonts w:ascii="Arial" w:cs="Arial" w:eastAsia="Arial" w:hAnsi="Arial"/>
          <w:sz w:val="18"/>
          <w:szCs w:val="18"/>
          <w:color w:val="auto"/>
        </w:rPr>
        <w:t xml:space="preserve">AnaptysBio, Inc. (“we,” “us,” “our,” or the “Company”) was incorporated in the state of Delaware in November 2005. We are a clinical stage biotechnology company developing first-in-class immunology therapeutic product candidates to patients. We are focused on emerging immune control mechanisms applicable to inflammation and immuno-oncology indications. We develop our product candidates using our proprietary antibody discovery technology platform, which is based upon a breakthrough understanding of the natural process of antibody generation, known as somatic hypermutation, (“SHM”), and replicates this natural process of antibody generation </w:t>
      </w:r>
      <w:r>
        <w:rPr>
          <w:rFonts w:ascii="Arial" w:cs="Arial" w:eastAsia="Arial" w:hAnsi="Arial"/>
          <w:sz w:val="18"/>
          <w:szCs w:val="18"/>
          <w:i w:val="1"/>
          <w:iCs w:val="1"/>
          <w:color w:val="auto"/>
        </w:rPr>
        <w:t>in vitro</w:t>
      </w:r>
      <w:r>
        <w:rPr>
          <w:rFonts w:ascii="Arial" w:cs="Arial" w:eastAsia="Arial" w:hAnsi="Arial"/>
          <w:sz w:val="18"/>
          <w:szCs w:val="18"/>
          <w:color w:val="auto"/>
        </w:rPr>
        <w:t>. We currently generate revenue from milestones achieved under our collaborative research and development arrangements.</w:t>
      </w:r>
    </w:p>
    <w:p>
      <w:pPr>
        <w:spacing w:after="0" w:line="84"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Since our inception, we have devoted our primary effort to research and development activities. Our financial support has been provided primarily from the sale of our common and preferred stock, as well as through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Management believes its currently available resources will provide sufficient funds to enable the Company to meet its operating plans for at least the next twelve months. The accompanying consolidated financial statements do not include any adjustments that might be necessary if we are unable to continue as a going concern.</w:t>
      </w:r>
    </w:p>
    <w:p>
      <w:pPr>
        <w:spacing w:after="0" w:line="282" w:lineRule="exact"/>
        <w:rPr>
          <w:sz w:val="20"/>
          <w:szCs w:val="20"/>
          <w:color w:val="auto"/>
        </w:rPr>
      </w:pPr>
    </w:p>
    <w:p>
      <w:pPr>
        <w:ind w:left="260" w:right="7680" w:hanging="252"/>
        <w:spacing w:after="0" w:line="378" w:lineRule="auto"/>
        <w:tabs>
          <w:tab w:leader="none" w:pos="19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right="60" w:firstLine="445"/>
        <w:spacing w:after="0" w:line="285" w:lineRule="auto"/>
        <w:rPr>
          <w:sz w:val="20"/>
          <w:szCs w:val="20"/>
          <w:color w:val="auto"/>
        </w:rPr>
      </w:pPr>
      <w:r>
        <w:rPr>
          <w:rFonts w:ascii="Arial" w:cs="Arial" w:eastAsia="Arial" w:hAnsi="Arial"/>
          <w:sz w:val="16"/>
          <w:szCs w:val="16"/>
          <w:color w:val="auto"/>
        </w:rPr>
        <w:t>The accompanying unaudited consolidated financial statements have been prepared pursuant to the rules and regulations of the Securities and Exchange Commission, (the “SEC”). Certain information and note disclosures normally included in annual financial statements prepared in accordance with U.S. generally accepted accounting principles, (“U.S. GAAP”), have been omitted. The accompanying unaudited consolidated financial statements include all known adjustments necessary for a fair presentation of the results of interim periods as required by U.S. GAAP. These adjustments consist primarily of normal recurring accruals and estimates that impact the carrying value of assets and liabilities. Also, certain reclassifications have been made to 2019 financial information to conform to the current year presentation of prepaid expenses and other assets on the Consolidated Statements of Cash Flows. Operating results for the six months ended June 30, 2020 are not necessarily indicative of the results that may be expected for the year ending December 31, 2020. Interim results are not necessarily indicative of results for a full year, particularly in light of the novel coronavirus pandemic (“COVID-19”), and its impact on domestic and global economies. To limit the spread of COVID-19, governments have taken various actions including the issuance of stay-at-home orders and social distancing guidelines, causing some businesses to suspend operations and or experience a reduction in demand for many products from direct or ultimate customers. Accordingly, businesses have adjusted, reduced or suspended operating activities. The effects of the stay-at-home orders and our work-from-home policies may negatively impact productivity, disrupt our business and delay our development programs, regulatory and commercialization timelines, the magnitude of which will depend, in part, on the length and severity of the restrictions and other limitations on our ability to conduct our business in the ordinary course. Our future research and development expenses and general and administrative expenses may vary significantly if we experience an increased impact from COVID-19 on the costs and timing associated with the conduct of our clinical trials and other related business activities. The financial statements should be read in conjunction with our audited financial statements for the year ended December 31, 2019, included in our Annual Form 10-K.</w:t>
      </w:r>
    </w:p>
    <w:p>
      <w:pPr>
        <w:spacing w:after="0" w:line="200" w:lineRule="exact"/>
        <w:rPr>
          <w:sz w:val="20"/>
          <w:szCs w:val="20"/>
          <w:color w:val="auto"/>
        </w:rPr>
      </w:pP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ind w:right="440" w:firstLine="445"/>
        <w:spacing w:after="0" w:line="342" w:lineRule="auto"/>
        <w:rPr>
          <w:sz w:val="20"/>
          <w:szCs w:val="20"/>
          <w:color w:val="auto"/>
        </w:rPr>
      </w:pPr>
      <w:r>
        <w:rPr>
          <w:rFonts w:ascii="Arial" w:cs="Arial" w:eastAsia="Arial" w:hAnsi="Arial"/>
          <w:sz w:val="16"/>
          <w:szCs w:val="16"/>
          <w:color w:val="auto"/>
        </w:rPr>
        <w:t>The accompanying consolidated financial statements include us and our wholly-owned Australian subsidiary. All intercompany accounts and transactions have been eliminated in consolidation. We operate in one reportable segment and our functional and reporting currency is the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The preparation of the accompanying consolidated financial statements in conformity with U.S. GAAP requires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 We base our estimates and assumptions on historical experience when available and on various factors that we believe to be reasonable under the circumstances. We evaluate our estimates and assumptions on an ongoing basis. The full extent to which the COVID-19 pandemic will directly or indirectly impact our business, results of operations and financial condition, including expenses, reserves and allowances, manufacturing, clinical trials, research and development costs and employee-related amounts, will depend on future developments that are highly uncertain, including as a result of new information that may emerge concerning COVID-19 and the actions taken to contain it or treat COVID-19, as well as the economic impact on local, regional, national and international markets. Our actual results could differ from these estimates under different assumptions or conditions.</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1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as well as any dilutive effect from outstanding stock options and warrants using the treasury stock method. For each period presented, there is no difference in the number of shares used to calculate basic and diluted net loss per share.</w:t>
      </w:r>
    </w:p>
    <w:p>
      <w:pPr>
        <w:spacing w:after="0" w:line="187" w:lineRule="exact"/>
        <w:rPr>
          <w:sz w:val="20"/>
          <w:szCs w:val="20"/>
          <w:color w:val="auto"/>
        </w:rPr>
      </w:pPr>
    </w:p>
    <w:p>
      <w:pPr>
        <w:ind w:right="260" w:firstLine="445"/>
        <w:spacing w:after="0" w:line="261" w:lineRule="auto"/>
        <w:rPr>
          <w:sz w:val="20"/>
          <w:szCs w:val="20"/>
          <w:color w:val="auto"/>
        </w:rPr>
      </w:pPr>
      <w:r>
        <w:rPr>
          <w:rFonts w:ascii="Arial" w:cs="Arial" w:eastAsia="Arial" w:hAnsi="Arial"/>
          <w:sz w:val="18"/>
          <w:szCs w:val="18"/>
          <w:color w:val="auto"/>
        </w:rPr>
        <w:t>The following table sets forth the weighted average outstanding potentially dilutive securities that have been excluded in the calculation of diluted net loss per share because to do so would be anti-dilutive (in common stock equivalent shares):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7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c>
          <w:tcPr>
            <w:tcW w:w="2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5840" w:type="dxa"/>
            <w:vAlign w:val="bottom"/>
          </w:tcPr>
          <w:p>
            <w:pPr>
              <w:spacing w:after="0"/>
              <w:rPr>
                <w:sz w:val="16"/>
                <w:szCs w:val="16"/>
                <w:color w:val="auto"/>
              </w:rPr>
            </w:pPr>
          </w:p>
        </w:tc>
        <w:tc>
          <w:tcPr>
            <w:tcW w:w="1720" w:type="dxa"/>
            <w:vAlign w:val="bottom"/>
            <w:tcBorders>
              <w:bottom w:val="single" w:sz="8" w:color="auto"/>
            </w:tcBorders>
            <w:gridSpan w:val="3"/>
          </w:tcPr>
          <w:p>
            <w:pPr>
              <w:jc w:val="center"/>
              <w:ind w:left="844"/>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Borders>
              <w:bottom w:val="single" w:sz="8" w:color="auto"/>
            </w:tcBorders>
            <w:gridSpan w:val="3"/>
          </w:tcPr>
          <w:p>
            <w:pPr>
              <w:jc w:val="center"/>
              <w:ind w:left="844"/>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r>
      <w:tr>
        <w:trPr>
          <w:trHeight w:val="197"/>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r>
      <w:tr>
        <w:trPr>
          <w:trHeight w:val="24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26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2,838</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2,525</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2,930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2,443</w:t>
            </w:r>
          </w:p>
        </w:tc>
      </w:tr>
      <w:tr>
        <w:trPr>
          <w:trHeight w:val="27"/>
        </w:trPr>
        <w:tc>
          <w:tcPr>
            <w:tcW w:w="58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117" w:lineRule="exact"/>
        <w:rPr>
          <w:sz w:val="20"/>
          <w:szCs w:val="20"/>
          <w:color w:val="auto"/>
        </w:rPr>
      </w:pPr>
    </w:p>
    <w:p>
      <w:pPr>
        <w:ind w:right="40" w:firstLine="567"/>
        <w:spacing w:after="0" w:line="285" w:lineRule="auto"/>
        <w:rPr>
          <w:sz w:val="20"/>
          <w:szCs w:val="20"/>
          <w:color w:val="auto"/>
        </w:rPr>
      </w:pPr>
      <w:r>
        <w:rPr>
          <w:rFonts w:ascii="Arial" w:cs="Arial" w:eastAsia="Arial" w:hAnsi="Arial"/>
          <w:sz w:val="16"/>
          <w:szCs w:val="16"/>
          <w:color w:val="auto"/>
        </w:rPr>
        <w:t xml:space="preserve">In December 2019, the Financial Accounting Standards Board “FASB” issued ASU 2019-12, </w:t>
      </w:r>
      <w:r>
        <w:rPr>
          <w:rFonts w:ascii="Arial" w:cs="Arial" w:eastAsia="Arial" w:hAnsi="Arial"/>
          <w:sz w:val="16"/>
          <w:szCs w:val="16"/>
          <w:i w:val="1"/>
          <w:iCs w:val="1"/>
          <w:color w:val="auto"/>
        </w:rPr>
        <w:t>Income Taxes (Topic 740)</w:t>
      </w:r>
      <w:r>
        <w:rPr>
          <w:rFonts w:ascii="Arial" w:cs="Arial" w:eastAsia="Arial" w:hAnsi="Arial"/>
          <w:sz w:val="16"/>
          <w:szCs w:val="16"/>
          <w:color w:val="auto"/>
        </w:rPr>
        <w:t xml:space="preserve"> intended to simplify the accounting for income taxes. The guidance removes the following exceptions: 1) exception to the incremental approach for intraperiod tax allocation when there is a loss from continuing operations and income or a gain from other items, 2) exception to the requirement to recognize a deferred tax liability for equity method investments when a foreign subsidiary becomes an equity method investment, 3) exception to the ability not to recognize a deferred tax liability for a foreign subsidiary when a foreign equity method investment becomes a subsidiary and 4) exception to the general methodology for calculating income taxes in an interim period when a year-to-date loss exceeds the anticipated loss for the year. Additionally, the guidance simplifies the accounting for income taxes by: 1) requiring that an entity recognize a franchise tax (or similar tax) that is partially based on income as an income-based tax and account for any incremental amount incurred as a non-income-based tax, 2) requiring that an entity evaluate when a step up in the tax basis of goodwill should be considered part of the business combination in which the book goodwill was originally recognized and when it should be considered a separate transaction, 3) specifying that an entity is not required to allocate the consolidated amount of current and deferred tax expense to a legal entity that is not subject to tax in its separate financial statements (although the entity may elect to do so (on an entity-by-entity basis) for a legal entity that is both not subject to tax and disregarded by the taxing authority), 4) requiring that an entity reflect the effect of an enacted change in tax laws or rates in the annual effective tax rate computation in the interim period that includes the enactment date and 5) making minor improvements for income tax accounting related to employee stock ownership plans and investments in qualified affordable housing projects accounted for using the equity method. The guidance will be effective for fiscal years and interim periods beginning after December 15, 2020. Different components of the guidance require retrospective, modified retrospective or prospective adoption, and early adoption is permitted. We early adopted this standard on January 1, 2020 and the adoption of the standard did not have a material impact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Measurement of Credit Losses on Financial</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Instruments (Topic 326)</w:t>
      </w:r>
      <w:r>
        <w:rPr>
          <w:rFonts w:ascii="Arial" w:cs="Arial" w:eastAsia="Arial" w:hAnsi="Arial"/>
          <w:sz w:val="17"/>
          <w:szCs w:val="17"/>
          <w:color w:val="auto"/>
        </w:rPr>
        <w:t>, which changes the accounting treatment for recognizing the impairment of financial assets. Under the new guidance, credit losses</w:t>
      </w:r>
      <w:r>
        <w:rPr>
          <w:rFonts w:ascii="Arial" w:cs="Arial" w:eastAsia="Arial" w:hAnsi="Arial"/>
          <w:sz w:val="17"/>
          <w:szCs w:val="17"/>
          <w:i w:val="1"/>
          <w:iCs w:val="1"/>
          <w:color w:val="auto"/>
        </w:rPr>
        <w:t xml:space="preserve"> </w:t>
      </w:r>
      <w:r>
        <w:rPr>
          <w:rFonts w:ascii="Arial" w:cs="Arial" w:eastAsia="Arial" w:hAnsi="Arial"/>
          <w:sz w:val="17"/>
          <w:szCs w:val="17"/>
          <w:color w:val="auto"/>
        </w:rPr>
        <w:t>for certain types of financial instruments will be estimated based on expected losses. The new guidance also eliminates the other-than-temporary impairment model for available-for-sale (AFS) debt securities. Entities will begin to recognize credit losses on AFS debt securities as allowances rather than as reductions in the carrying value of the securities. Impairment that is not credit-related impairment will continue to be recognized in other comprehensive income and entities will no longer consider the length of time a security has been in an unrealized loss position when determining whether a credit loss exists. ASU 2016-13 becomes effective for annual and interim periods beginning after December 15, 2019. We adopted this standard prospectively on January 1, 2020 and the adoption of the standard did not have a material impact to our consolidated financial statements as credit losses are not expected to be significant based on historical trends, the financial condition of our investments and external market factors. We will continue to actively monitor the impact of the recent coronavirus (COVID-19) pandemic on expected credit losses.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Balance Sheet Accounts and Supplemental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250"/>
        </w:trPr>
        <w:tc>
          <w:tcPr>
            <w:tcW w:w="79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Laboratory equipment</w:t>
            </w:r>
          </w:p>
        </w:tc>
        <w:tc>
          <w:tcPr>
            <w:tcW w:w="240" w:type="dxa"/>
            <w:vAlign w:val="bottom"/>
            <w:tcBorders>
              <w:top w:val="single" w:sz="8" w:color="auto"/>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FF0FC"/>
            </w:tcBorders>
            <w:shd w:val="clear" w:color="auto" w:fill="CFF0FC"/>
          </w:tcPr>
          <w:p>
            <w:pPr>
              <w:jc w:val="right"/>
              <w:ind w:right="73"/>
              <w:spacing w:after="0"/>
              <w:rPr>
                <w:sz w:val="20"/>
                <w:szCs w:val="20"/>
                <w:color w:val="auto"/>
              </w:rPr>
            </w:pPr>
            <w:r>
              <w:rPr>
                <w:rFonts w:ascii="Arial" w:cs="Arial" w:eastAsia="Arial" w:hAnsi="Arial"/>
                <w:sz w:val="18"/>
                <w:szCs w:val="18"/>
                <w:color w:val="auto"/>
              </w:rPr>
              <w:t>5,037</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FF0FC"/>
            </w:tcBorders>
            <w:shd w:val="clear" w:color="auto" w:fill="CFF0FC"/>
          </w:tcPr>
          <w:p>
            <w:pPr>
              <w:jc w:val="right"/>
              <w:ind w:right="73"/>
              <w:spacing w:after="0"/>
              <w:rPr>
                <w:sz w:val="20"/>
                <w:szCs w:val="20"/>
                <w:color w:val="auto"/>
              </w:rPr>
            </w:pPr>
            <w:r>
              <w:rPr>
                <w:rFonts w:ascii="Arial" w:cs="Arial" w:eastAsia="Arial" w:hAnsi="Arial"/>
                <w:sz w:val="18"/>
                <w:szCs w:val="18"/>
                <w:color w:val="auto"/>
              </w:rPr>
              <w:t>4,911</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Office furniture and equipment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340" w:type="dxa"/>
            <w:vAlign w:val="bottom"/>
            <w:tcBorders>
              <w:bottom w:val="single" w:sz="8" w:color="CFF0FC"/>
            </w:tcBorders>
            <w:shd w:val="clear" w:color="auto" w:fill="CFF0FC"/>
          </w:tcPr>
          <w:p>
            <w:pPr>
              <w:jc w:val="right"/>
              <w:ind w:right="73"/>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right"/>
              <w:ind w:right="73"/>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37"/>
        </w:trPr>
        <w:tc>
          <w:tcPr>
            <w:tcW w:w="7980" w:type="dxa"/>
            <w:vAlign w:val="bottom"/>
          </w:tcPr>
          <w:p>
            <w:pPr>
              <w:ind w:left="220"/>
              <w:spacing w:after="0"/>
              <w:rPr>
                <w:sz w:val="20"/>
                <w:szCs w:val="20"/>
                <w:color w:val="auto"/>
              </w:rPr>
            </w:pPr>
            <w:r>
              <w:rPr>
                <w:rFonts w:ascii="Arial" w:cs="Arial" w:eastAsia="Arial" w:hAnsi="Arial"/>
                <w:sz w:val="18"/>
                <w:szCs w:val="18"/>
                <w:color w:val="auto"/>
              </w:rPr>
              <w:t>Property and equipment, gross</w:t>
            </w: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6,435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6,297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34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(4,940)</w:t>
            </w: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(4,679)</w:t>
            </w:r>
          </w:p>
        </w:tc>
        <w:tc>
          <w:tcPr>
            <w:tcW w:w="0" w:type="dxa"/>
            <w:vAlign w:val="bottom"/>
          </w:tcPr>
          <w:p>
            <w:pPr>
              <w:spacing w:after="0"/>
              <w:rPr>
                <w:sz w:val="1"/>
                <w:szCs w:val="1"/>
                <w:color w:val="auto"/>
              </w:rPr>
            </w:pPr>
          </w:p>
        </w:tc>
      </w:tr>
      <w:tr>
        <w:trPr>
          <w:trHeight w:val="237"/>
        </w:trPr>
        <w:tc>
          <w:tcPr>
            <w:tcW w:w="7980" w:type="dxa"/>
            <w:vAlign w:val="bottom"/>
          </w:tcPr>
          <w:p>
            <w:pPr>
              <w:ind w:left="220"/>
              <w:spacing w:after="0"/>
              <w:rPr>
                <w:sz w:val="20"/>
                <w:szCs w:val="20"/>
                <w:color w:val="auto"/>
              </w:rPr>
            </w:pPr>
            <w:r>
              <w:rPr>
                <w:rFonts w:ascii="Arial" w:cs="Arial" w:eastAsia="Arial" w:hAnsi="Arial"/>
                <w:sz w:val="18"/>
                <w:szCs w:val="18"/>
                <w:color w:val="auto"/>
              </w:rPr>
              <w:t>Total property and equipment, net</w:t>
            </w:r>
          </w:p>
        </w:tc>
        <w:tc>
          <w:tcPr>
            <w:tcW w:w="2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7"/>
        </w:trPr>
        <w:tc>
          <w:tcPr>
            <w:tcW w:w="7980" w:type="dxa"/>
            <w:vAlign w:val="bottom"/>
            <w:vMerge w:val="restart"/>
          </w:tcPr>
          <w:p>
            <w:pPr>
              <w:ind w:left="260"/>
              <w:spacing w:after="0"/>
              <w:rPr>
                <w:sz w:val="20"/>
                <w:szCs w:val="20"/>
                <w:color w:val="auto"/>
              </w:rPr>
            </w:pPr>
            <w:r>
              <w:rPr>
                <w:rFonts w:ascii="Arial" w:cs="Arial" w:eastAsia="Arial" w:hAnsi="Arial"/>
                <w:sz w:val="18"/>
                <w:szCs w:val="18"/>
                <w:b w:val="1"/>
                <w:bCs w:val="1"/>
                <w:i w:val="1"/>
                <w:iCs w:val="1"/>
                <w:color w:val="auto"/>
              </w:rPr>
              <w:t>Accrued Expenses</w:t>
            </w: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80" w:type="dxa"/>
            <w:vAlign w:val="bottom"/>
            <w:vMerge w:val="continue"/>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79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80" w:type="dxa"/>
            <w:vAlign w:val="bottom"/>
          </w:tcPr>
          <w:p>
            <w:pPr>
              <w:ind w:left="500"/>
              <w:spacing w:after="0"/>
              <w:rPr>
                <w:sz w:val="20"/>
                <w:szCs w:val="20"/>
                <w:color w:val="auto"/>
              </w:rPr>
            </w:pPr>
            <w:r>
              <w:rPr>
                <w:rFonts w:ascii="Arial" w:cs="Arial" w:eastAsia="Arial" w:hAnsi="Arial"/>
                <w:sz w:val="18"/>
                <w:szCs w:val="18"/>
                <w:color w:val="auto"/>
              </w:rPr>
              <w:t>Accrued expenses consist of the following:</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798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compensation and related expenses</w:t>
            </w:r>
          </w:p>
        </w:tc>
        <w:tc>
          <w:tcPr>
            <w:tcW w:w="2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FF0FC"/>
            </w:tcBorders>
            <w:shd w:val="clear" w:color="auto" w:fill="CFF0FC"/>
          </w:tcPr>
          <w:p>
            <w:pPr>
              <w:jc w:val="right"/>
              <w:ind w:right="73"/>
              <w:spacing w:after="0"/>
              <w:rPr>
                <w:sz w:val="20"/>
                <w:szCs w:val="20"/>
                <w:color w:val="auto"/>
              </w:rPr>
            </w:pPr>
            <w:r>
              <w:rPr>
                <w:rFonts w:ascii="Arial" w:cs="Arial" w:eastAsia="Arial" w:hAnsi="Arial"/>
                <w:sz w:val="18"/>
                <w:szCs w:val="18"/>
                <w:color w:val="auto"/>
              </w:rPr>
              <w:t>2,036</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FF0FC"/>
            </w:tcBorders>
            <w:shd w:val="clear" w:color="auto" w:fill="CFF0FC"/>
          </w:tcPr>
          <w:p>
            <w:pPr>
              <w:jc w:val="right"/>
              <w:ind w:right="73"/>
              <w:spacing w:after="0"/>
              <w:rPr>
                <w:sz w:val="20"/>
                <w:szCs w:val="20"/>
                <w:color w:val="auto"/>
              </w:rPr>
            </w:pPr>
            <w:r>
              <w:rPr>
                <w:rFonts w:ascii="Arial" w:cs="Arial" w:eastAsia="Arial" w:hAnsi="Arial"/>
                <w:sz w:val="18"/>
                <w:szCs w:val="18"/>
                <w:color w:val="auto"/>
              </w:rPr>
              <w:t>2,152</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research, development and manufacturing expenses</w:t>
            </w: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ind w:right="73"/>
              <w:spacing w:after="0"/>
              <w:rPr>
                <w:sz w:val="20"/>
                <w:szCs w:val="20"/>
                <w:color w:val="auto"/>
              </w:rPr>
            </w:pPr>
            <w:r>
              <w:rPr>
                <w:rFonts w:ascii="Arial" w:cs="Arial" w:eastAsia="Arial" w:hAnsi="Arial"/>
                <w:sz w:val="18"/>
                <w:szCs w:val="18"/>
                <w:color w:val="auto"/>
              </w:rPr>
              <w:t>10,126</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73"/>
              <w:spacing w:after="0"/>
              <w:rPr>
                <w:sz w:val="20"/>
                <w:szCs w:val="20"/>
                <w:color w:val="auto"/>
              </w:rPr>
            </w:pPr>
            <w:r>
              <w:rPr>
                <w:rFonts w:ascii="Arial" w:cs="Arial" w:eastAsia="Arial" w:hAnsi="Arial"/>
                <w:sz w:val="18"/>
                <w:szCs w:val="18"/>
                <w:color w:val="auto"/>
              </w:rPr>
              <w:t>8,196</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9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accrued expenses</w:t>
            </w:r>
          </w:p>
        </w:tc>
        <w:tc>
          <w:tcPr>
            <w:tcW w:w="2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FF0FC"/>
            </w:tcBorders>
            <w:shd w:val="clear" w:color="auto" w:fill="CFF0FC"/>
          </w:tcPr>
          <w:p>
            <w:pPr>
              <w:jc w:val="right"/>
              <w:ind w:right="73"/>
              <w:spacing w:after="0"/>
              <w:rPr>
                <w:sz w:val="20"/>
                <w:szCs w:val="20"/>
                <w:color w:val="auto"/>
              </w:rPr>
            </w:pPr>
            <w:r>
              <w:rPr>
                <w:rFonts w:ascii="Arial" w:cs="Arial" w:eastAsia="Arial" w:hAnsi="Arial"/>
                <w:sz w:val="18"/>
                <w:szCs w:val="18"/>
                <w:color w:val="auto"/>
              </w:rPr>
              <w:t>12,916</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FF0FC"/>
            </w:tcBorders>
            <w:shd w:val="clear" w:color="auto" w:fill="CFF0FC"/>
          </w:tcPr>
          <w:p>
            <w:pPr>
              <w:jc w:val="right"/>
              <w:ind w:right="73"/>
              <w:spacing w:after="0"/>
              <w:rPr>
                <w:sz w:val="20"/>
                <w:szCs w:val="20"/>
                <w:color w:val="auto"/>
              </w:rPr>
            </w:pPr>
            <w:r>
              <w:rPr>
                <w:rFonts w:ascii="Arial" w:cs="Arial" w:eastAsia="Arial" w:hAnsi="Arial"/>
                <w:sz w:val="18"/>
                <w:szCs w:val="18"/>
                <w:color w:val="auto"/>
              </w:rPr>
              <w:t>11,052</w:t>
            </w:r>
          </w:p>
        </w:tc>
        <w:tc>
          <w:tcPr>
            <w:tcW w:w="0" w:type="dxa"/>
            <w:vAlign w:val="bottom"/>
          </w:tcPr>
          <w:p>
            <w:pPr>
              <w:spacing w:after="0"/>
              <w:rPr>
                <w:sz w:val="1"/>
                <w:szCs w:val="1"/>
                <w:color w:val="auto"/>
              </w:rPr>
            </w:pPr>
          </w:p>
        </w:tc>
      </w:tr>
      <w:tr>
        <w:trPr>
          <w:trHeight w:val="20"/>
        </w:trPr>
        <w:tc>
          <w:tcPr>
            <w:tcW w:w="79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260" w:right="6900" w:hanging="252"/>
        <w:spacing w:after="0" w:line="378" w:lineRule="auto"/>
        <w:tabs>
          <w:tab w:leader="none" w:pos="197"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Collaborative Research and Development Agreements </w:t>
      </w:r>
      <w:r>
        <w:rPr>
          <w:rFonts w:ascii="Arial" w:cs="Arial" w:eastAsia="Arial" w:hAnsi="Arial"/>
          <w:sz w:val="18"/>
          <w:szCs w:val="18"/>
          <w:b w:val="1"/>
          <w:bCs w:val="1"/>
          <w:i w:val="1"/>
          <w:iCs w:val="1"/>
          <w:color w:val="auto"/>
        </w:rPr>
        <w:t>GlaxoSmithKline Collaboration</w:t>
      </w:r>
    </w:p>
    <w:p>
      <w:pPr>
        <w:ind w:right="40" w:firstLine="445"/>
        <w:spacing w:after="0" w:line="254" w:lineRule="auto"/>
        <w:rPr>
          <w:sz w:val="20"/>
          <w:szCs w:val="20"/>
          <w:color w:val="auto"/>
        </w:rPr>
      </w:pPr>
      <w:r>
        <w:rPr>
          <w:rFonts w:ascii="Arial" w:cs="Arial" w:eastAsia="Arial" w:hAnsi="Arial"/>
          <w:sz w:val="18"/>
          <w:szCs w:val="18"/>
          <w:color w:val="auto"/>
        </w:rPr>
        <w:t>In March 2014, we entered into a Collaboration and Exclusive License Agreement (the “GSK Agreement”) with TESARO, Inc. an oncology-focused biopharmaceutical company now a part of GlaxoSmithKline (“GSK”). Under the terms of the agreement, we agreed to perform certain discovery and early preclinical development of therapeutic antibodies with the goal of generating immunotherapy antibodies for subsequent preclinical, clinical, regulatory and commercial development to be performed by GSK. Under the terms of the agreement, GSK paid an upfront license fee of $17.0 million in March 2014 and agreed to provide funding to us for research and development services related to antibody discovery programs for three specific targets. In November 2014, we and TESARO, Inc. entered into Amendment No. 1 to the GSK Agreement to add an antibody discovery program against an undisclosed fourth target for an upfront license fee of $2.0 million.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0" w:name="page11"/>
    <w:bookmarkEnd w:id="10"/>
    <w:p>
      <w:pPr>
        <w:spacing w:after="0" w:line="198" w:lineRule="exact"/>
        <w:rPr>
          <w:sz w:val="20"/>
          <w:szCs w:val="20"/>
          <w:color w:val="auto"/>
        </w:rPr>
      </w:pPr>
    </w:p>
    <w:p>
      <w:pPr>
        <w:ind w:firstLine="445"/>
        <w:spacing w:after="0" w:line="288" w:lineRule="auto"/>
        <w:rPr>
          <w:sz w:val="20"/>
          <w:szCs w:val="20"/>
          <w:color w:val="auto"/>
        </w:rPr>
      </w:pPr>
      <w:r>
        <w:rPr>
          <w:rFonts w:ascii="Arial" w:cs="Arial" w:eastAsia="Arial" w:hAnsi="Arial"/>
          <w:sz w:val="16"/>
          <w:szCs w:val="16"/>
          <w:color w:val="auto"/>
        </w:rPr>
        <w:t xml:space="preserve">For each development program, we are eligible to receive milestone payments of up to $18.0 million if certain preclinical and clinical trial events are achieved by GSK, up to an additional $90.0 million if certain U.S. and European regulatory submissions and approvals in multiple indications are achieved, and up to an additional $165.0 million upon the achievement of specified levels of annual worldwide net sales. We will also be eligible to receive tiered single-digit royalties related to worldwide net sales of products developed under the collaboration. Unless earlier terminated by either party upon specified circumstances, the agreement will terminate, with respect to each specific developed product, upon the latter of the 12th anniversary of the first commercial sale of the product or the expiration of the last to expire of any patent. Prior to the adoption of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we determined that the upfront license fees and research funding under the agreement, as amended, should be accounted for as a single unit of accounting and that the upfront license fees should be deferred and recognized as revenue over the same period that the research and development services are performed. In December 2015, we determined that the research and development services would be extended through December 31, 2016. As a result, the period over which the unrecognized license fees and milestones were recognized was extended through December 31, 2016, and have since been recognized in full.</w:t>
      </w:r>
    </w:p>
    <w:p>
      <w:pPr>
        <w:spacing w:after="0" w:line="60"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We assessed this arrangement in accordance with ASC 606 and concluded that the contract counterparty, GSK, is a customer. We identified the following material promises under the GSK Agreement: (1) the licenses under certain patent rights relating to six discovery programs (four targets) and transfer of certain development and regulatory information, (2) R&amp;D services and (3) Joint Steering Committee meetings. We considered the research and discovery capabilities of GSK for these specific programs, GSK’s inability to sub-license, and the fact that the discovery and optimization of these antibodies is proprietary and could not, at the time of the contract inception, be provided by other vendors, to conclude that the license does not have stand-alone functionality and is therefore not distinct. Additionally, we determined that the steering committee participation would not have been provided without the R&amp;D services and license agreement. Based on these assessments, we identified all services to be interrelated, and therefore concluded that the promises should be combined into a single performance obligation at the inception of the arrangement.</w:t>
      </w:r>
    </w:p>
    <w:p>
      <w:pPr>
        <w:spacing w:after="0" w:line="70"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As of June 30, 2020, the transaction price includes the upfront payment, research reimbursement revenue, and milestones earned to date, which are allocated in their entirety to the single performance obligation. We earned and recognized two clinical milestones for $15.0 million during the six months ended June 30, 2020. No other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 outcome that is difficult to predict, and the licensees’ efforts. Any consideration related to sales-based milestones, including royalties, will be recognized when the related sales occur as they were determined to relate predominantly to the IP license granted to GSK and therefore have also been excluded from the transaction price. We will re-evaluate the variable transaction price in each reporting period and as uncertain events are resolved or other changes in circumstances occur.</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Milestones recognized through June 30, 2020 under the GSK Agreement are as follows:</w:t>
      </w:r>
    </w:p>
    <w:p>
      <w:pPr>
        <w:spacing w:after="0" w:line="35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Anti-PD-1</w:t>
            </w:r>
          </w:p>
        </w:tc>
        <w:tc>
          <w:tcPr>
            <w:tcW w:w="23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Anti-TIM-3</w:t>
            </w:r>
          </w:p>
        </w:tc>
        <w:tc>
          <w:tcPr>
            <w:tcW w:w="22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Anti-LAG-3</w:t>
            </w:r>
          </w:p>
        </w:tc>
        <w:tc>
          <w:tcPr>
            <w:tcW w:w="0" w:type="dxa"/>
            <w:vAlign w:val="bottom"/>
          </w:tcPr>
          <w:p>
            <w:pPr>
              <w:spacing w:after="0"/>
              <w:rPr>
                <w:sz w:val="1"/>
                <w:szCs w:val="1"/>
                <w:color w:val="auto"/>
              </w:rPr>
            </w:pPr>
          </w:p>
        </w:tc>
      </w:tr>
      <w:tr>
        <w:trPr>
          <w:trHeight w:val="186"/>
        </w:trPr>
        <w:tc>
          <w:tcPr>
            <w:tcW w:w="4340" w:type="dxa"/>
            <w:vAlign w:val="bottom"/>
          </w:tcPr>
          <w:p>
            <w:pPr>
              <w:spacing w:after="0"/>
              <w:rPr>
                <w:sz w:val="16"/>
                <w:szCs w:val="16"/>
                <w:color w:val="auto"/>
              </w:rPr>
            </w:pPr>
          </w:p>
        </w:tc>
        <w:tc>
          <w:tcPr>
            <w:tcW w:w="2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(GSK4057190A/Dostarlimab)</w:t>
            </w:r>
          </w:p>
        </w:tc>
        <w:tc>
          <w:tcPr>
            <w:tcW w:w="23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(GSK4069889A/Cobolimab)</w:t>
            </w:r>
          </w:p>
        </w:tc>
        <w:tc>
          <w:tcPr>
            <w:tcW w:w="2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(GSK40974386/Encelimab)</w:t>
            </w:r>
          </w:p>
        </w:tc>
        <w:tc>
          <w:tcPr>
            <w:tcW w:w="0" w:type="dxa"/>
            <w:vAlign w:val="bottom"/>
          </w:tcPr>
          <w:p>
            <w:pPr>
              <w:spacing w:after="0"/>
              <w:rPr>
                <w:sz w:val="1"/>
                <w:szCs w:val="1"/>
                <w:color w:val="auto"/>
              </w:rPr>
            </w:pPr>
          </w:p>
        </w:tc>
      </w:tr>
      <w:tr>
        <w:trPr>
          <w:trHeight w:val="25"/>
        </w:trPr>
        <w:tc>
          <w:tcPr>
            <w:tcW w:w="43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34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Milestone Event</w:t>
            </w:r>
          </w:p>
        </w:tc>
        <w:tc>
          <w:tcPr>
            <w:tcW w:w="10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Amount</w:t>
            </w:r>
          </w:p>
        </w:tc>
        <w:tc>
          <w:tcPr>
            <w:tcW w:w="128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8"/>
              </w:rPr>
              <w:t>Quarter</w:t>
            </w:r>
          </w:p>
        </w:tc>
        <w:tc>
          <w:tcPr>
            <w:tcW w:w="10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Amount</w:t>
            </w:r>
          </w:p>
        </w:tc>
        <w:tc>
          <w:tcPr>
            <w:tcW w:w="128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8"/>
              </w:rPr>
              <w:t>Quarter</w:t>
            </w:r>
          </w:p>
        </w:tc>
        <w:tc>
          <w:tcPr>
            <w:tcW w:w="10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Amount</w:t>
            </w:r>
          </w:p>
        </w:tc>
        <w:tc>
          <w:tcPr>
            <w:tcW w:w="11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92"/>
        </w:trPr>
        <w:tc>
          <w:tcPr>
            <w:tcW w:w="434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Recognized</w:t>
            </w:r>
          </w:p>
        </w:tc>
        <w:tc>
          <w:tcPr>
            <w:tcW w:w="1040" w:type="dxa"/>
            <w:vAlign w:val="bottom"/>
            <w:vMerge w:val="continue"/>
          </w:tcPr>
          <w:p>
            <w:pPr>
              <w:spacing w:after="0"/>
              <w:rPr>
                <w:sz w:val="16"/>
                <w:szCs w:val="16"/>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Recognized</w:t>
            </w:r>
          </w:p>
        </w:tc>
        <w:tc>
          <w:tcPr>
            <w:tcW w:w="1040" w:type="dxa"/>
            <w:vAlign w:val="bottom"/>
            <w:vMerge w:val="continue"/>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Recognized</w:t>
            </w:r>
          </w:p>
        </w:tc>
        <w:tc>
          <w:tcPr>
            <w:tcW w:w="0" w:type="dxa"/>
            <w:vAlign w:val="bottom"/>
          </w:tcPr>
          <w:p>
            <w:pPr>
              <w:spacing w:after="0"/>
              <w:rPr>
                <w:sz w:val="1"/>
                <w:szCs w:val="1"/>
                <w:color w:val="auto"/>
              </w:rPr>
            </w:pPr>
          </w:p>
        </w:tc>
      </w:tr>
      <w:tr>
        <w:trPr>
          <w:trHeight w:val="411"/>
        </w:trPr>
        <w:tc>
          <w:tcPr>
            <w:tcW w:w="4340" w:type="dxa"/>
            <w:vAlign w:val="bottom"/>
            <w:shd w:val="clear" w:color="auto" w:fill="CFF0FC"/>
          </w:tcPr>
          <w:p>
            <w:pPr>
              <w:ind w:left="20"/>
              <w:spacing w:after="0"/>
              <w:rPr>
                <w:sz w:val="20"/>
                <w:szCs w:val="20"/>
                <w:color w:val="auto"/>
              </w:rPr>
            </w:pPr>
            <w:r>
              <w:rPr>
                <w:rFonts w:ascii="Arial" w:cs="Arial" w:eastAsia="Arial" w:hAnsi="Arial"/>
                <w:sz w:val="14"/>
                <w:szCs w:val="14"/>
                <w:color w:val="auto"/>
                <w:w w:val="94"/>
              </w:rPr>
              <w:t xml:space="preserve">Initiated </w:t>
            </w:r>
            <w:r>
              <w:rPr>
                <w:rFonts w:ascii="Arial" w:cs="Arial" w:eastAsia="Arial" w:hAnsi="Arial"/>
                <w:sz w:val="14"/>
                <w:szCs w:val="14"/>
                <w:i w:val="1"/>
                <w:iCs w:val="1"/>
                <w:color w:val="auto"/>
                <w:w w:val="94"/>
              </w:rPr>
              <w:t>in vivo</w:t>
            </w:r>
            <w:r>
              <w:rPr>
                <w:rFonts w:ascii="Arial" w:cs="Arial" w:eastAsia="Arial" w:hAnsi="Arial"/>
                <w:sz w:val="14"/>
                <w:szCs w:val="14"/>
                <w:color w:val="auto"/>
                <w:w w:val="94"/>
              </w:rPr>
              <w:t xml:space="preserve"> toxicology studies using good laboratory practices (GLPs)</w:t>
            </w:r>
          </w:p>
        </w:tc>
        <w:tc>
          <w:tcPr>
            <w:tcW w:w="1060" w:type="dxa"/>
            <w:vAlign w:val="bottom"/>
            <w:shd w:val="clear" w:color="auto" w:fill="CFF0FC"/>
          </w:tcPr>
          <w:p>
            <w:pPr>
              <w:jc w:val="center"/>
              <w:ind w:left="8"/>
              <w:spacing w:after="0"/>
              <w:rPr>
                <w:sz w:val="20"/>
                <w:szCs w:val="20"/>
                <w:color w:val="auto"/>
              </w:rPr>
            </w:pPr>
            <w:r>
              <w:rPr>
                <w:rFonts w:ascii="Arial" w:cs="Arial" w:eastAsia="Arial" w:hAnsi="Arial"/>
                <w:sz w:val="14"/>
                <w:szCs w:val="14"/>
                <w:color w:val="auto"/>
                <w:w w:val="97"/>
              </w:rPr>
              <w:t>$1.0M</w:t>
            </w:r>
          </w:p>
        </w:tc>
        <w:tc>
          <w:tcPr>
            <w:tcW w:w="1280" w:type="dxa"/>
            <w:vAlign w:val="bottom"/>
            <w:gridSpan w:val="2"/>
            <w:shd w:val="clear" w:color="auto" w:fill="CFF0FC"/>
          </w:tcPr>
          <w:p>
            <w:pPr>
              <w:jc w:val="center"/>
              <w:ind w:right="60"/>
              <w:spacing w:after="0"/>
              <w:rPr>
                <w:sz w:val="20"/>
                <w:szCs w:val="20"/>
                <w:color w:val="auto"/>
              </w:rPr>
            </w:pPr>
            <w:r>
              <w:rPr>
                <w:rFonts w:ascii="Arial" w:cs="Arial" w:eastAsia="Arial" w:hAnsi="Arial"/>
                <w:sz w:val="14"/>
                <w:szCs w:val="14"/>
                <w:color w:val="auto"/>
                <w:w w:val="91"/>
              </w:rPr>
              <w:t>Q2'15</w:t>
            </w: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$1.0M</w:t>
            </w:r>
          </w:p>
        </w:tc>
        <w:tc>
          <w:tcPr>
            <w:tcW w:w="1280" w:type="dxa"/>
            <w:vAlign w:val="bottom"/>
            <w:gridSpan w:val="2"/>
            <w:shd w:val="clear" w:color="auto" w:fill="CFF0FC"/>
          </w:tcPr>
          <w:p>
            <w:pPr>
              <w:jc w:val="center"/>
              <w:ind w:right="60"/>
              <w:spacing w:after="0"/>
              <w:rPr>
                <w:sz w:val="20"/>
                <w:szCs w:val="20"/>
                <w:color w:val="auto"/>
              </w:rPr>
            </w:pPr>
            <w:r>
              <w:rPr>
                <w:rFonts w:ascii="Arial" w:cs="Arial" w:eastAsia="Arial" w:hAnsi="Arial"/>
                <w:sz w:val="14"/>
                <w:szCs w:val="14"/>
                <w:color w:val="auto"/>
                <w:w w:val="91"/>
              </w:rPr>
              <w:t>Q4'15</w:t>
            </w: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$1.0M</w:t>
            </w:r>
          </w:p>
        </w:tc>
        <w:tc>
          <w:tcPr>
            <w:tcW w:w="11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Q3'16</w:t>
            </w:r>
          </w:p>
        </w:tc>
        <w:tc>
          <w:tcPr>
            <w:tcW w:w="0" w:type="dxa"/>
            <w:vAlign w:val="bottom"/>
          </w:tcPr>
          <w:p>
            <w:pPr>
              <w:spacing w:after="0"/>
              <w:rPr>
                <w:sz w:val="1"/>
                <w:szCs w:val="1"/>
                <w:color w:val="auto"/>
              </w:rPr>
            </w:pPr>
          </w:p>
        </w:tc>
      </w:tr>
      <w:tr>
        <w:trPr>
          <w:trHeight w:val="197"/>
        </w:trPr>
        <w:tc>
          <w:tcPr>
            <w:tcW w:w="4340" w:type="dxa"/>
            <w:vAlign w:val="bottom"/>
          </w:tcPr>
          <w:p>
            <w:pPr>
              <w:ind w:left="20"/>
              <w:spacing w:after="0"/>
              <w:rPr>
                <w:sz w:val="20"/>
                <w:szCs w:val="20"/>
                <w:color w:val="auto"/>
              </w:rPr>
            </w:pPr>
            <w:r>
              <w:rPr>
                <w:rFonts w:ascii="Arial" w:cs="Arial" w:eastAsia="Arial" w:hAnsi="Arial"/>
                <w:sz w:val="14"/>
                <w:szCs w:val="14"/>
                <w:color w:val="auto"/>
              </w:rPr>
              <w:t>IND clearance from the FDA</w:t>
            </w:r>
          </w:p>
        </w:tc>
        <w:tc>
          <w:tcPr>
            <w:tcW w:w="1060" w:type="dxa"/>
            <w:vAlign w:val="bottom"/>
          </w:tcPr>
          <w:p>
            <w:pPr>
              <w:jc w:val="center"/>
              <w:ind w:left="8"/>
              <w:spacing w:after="0"/>
              <w:rPr>
                <w:sz w:val="20"/>
                <w:szCs w:val="20"/>
                <w:color w:val="auto"/>
              </w:rPr>
            </w:pPr>
            <w:r>
              <w:rPr>
                <w:rFonts w:ascii="Arial" w:cs="Arial" w:eastAsia="Arial" w:hAnsi="Arial"/>
                <w:sz w:val="14"/>
                <w:szCs w:val="14"/>
                <w:color w:val="auto"/>
                <w:w w:val="97"/>
              </w:rPr>
              <w:t>$4.0M</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Q1'16</w:t>
            </w:r>
          </w:p>
        </w:tc>
        <w:tc>
          <w:tcPr>
            <w:tcW w:w="1040" w:type="dxa"/>
            <w:vAlign w:val="bottom"/>
          </w:tcPr>
          <w:p>
            <w:pPr>
              <w:jc w:val="center"/>
              <w:spacing w:after="0"/>
              <w:rPr>
                <w:sz w:val="20"/>
                <w:szCs w:val="20"/>
                <w:color w:val="auto"/>
              </w:rPr>
            </w:pPr>
            <w:r>
              <w:rPr>
                <w:rFonts w:ascii="Arial" w:cs="Arial" w:eastAsia="Arial" w:hAnsi="Arial"/>
                <w:sz w:val="14"/>
                <w:szCs w:val="14"/>
                <w:color w:val="auto"/>
                <w:w w:val="97"/>
              </w:rPr>
              <w:t>$4.0M</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Q2'16</w:t>
            </w:r>
          </w:p>
        </w:tc>
        <w:tc>
          <w:tcPr>
            <w:tcW w:w="1040" w:type="dxa"/>
            <w:vAlign w:val="bottom"/>
          </w:tcPr>
          <w:p>
            <w:pPr>
              <w:jc w:val="center"/>
              <w:spacing w:after="0"/>
              <w:rPr>
                <w:sz w:val="20"/>
                <w:szCs w:val="20"/>
                <w:color w:val="auto"/>
              </w:rPr>
            </w:pPr>
            <w:r>
              <w:rPr>
                <w:rFonts w:ascii="Arial" w:cs="Arial" w:eastAsia="Arial" w:hAnsi="Arial"/>
                <w:sz w:val="14"/>
                <w:szCs w:val="14"/>
                <w:color w:val="auto"/>
                <w:w w:val="97"/>
              </w:rPr>
              <w:t>$4.0M</w:t>
            </w:r>
          </w:p>
        </w:tc>
        <w:tc>
          <w:tcPr>
            <w:tcW w:w="1160" w:type="dxa"/>
            <w:vAlign w:val="bottom"/>
          </w:tcPr>
          <w:p>
            <w:pPr>
              <w:jc w:val="center"/>
              <w:spacing w:after="0"/>
              <w:rPr>
                <w:sz w:val="20"/>
                <w:szCs w:val="20"/>
                <w:color w:val="auto"/>
              </w:rPr>
            </w:pPr>
            <w:r>
              <w:rPr>
                <w:rFonts w:ascii="Arial" w:cs="Arial" w:eastAsia="Arial" w:hAnsi="Arial"/>
                <w:sz w:val="14"/>
                <w:szCs w:val="14"/>
                <w:color w:val="auto"/>
                <w:w w:val="91"/>
              </w:rPr>
              <w:t>Q2'17</w:t>
            </w:r>
          </w:p>
        </w:tc>
        <w:tc>
          <w:tcPr>
            <w:tcW w:w="0" w:type="dxa"/>
            <w:vAlign w:val="bottom"/>
          </w:tcPr>
          <w:p>
            <w:pPr>
              <w:spacing w:after="0"/>
              <w:rPr>
                <w:sz w:val="1"/>
                <w:szCs w:val="1"/>
                <w:color w:val="auto"/>
              </w:rPr>
            </w:pPr>
          </w:p>
        </w:tc>
      </w:tr>
      <w:tr>
        <w:trPr>
          <w:trHeight w:val="208"/>
        </w:trPr>
        <w:tc>
          <w:tcPr>
            <w:tcW w:w="4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Phase 2 clinical trial initiation</w:t>
            </w:r>
          </w:p>
        </w:tc>
        <w:tc>
          <w:tcPr>
            <w:tcW w:w="1060" w:type="dxa"/>
            <w:vAlign w:val="bottom"/>
            <w:shd w:val="clear" w:color="auto" w:fill="CFF0FC"/>
          </w:tcPr>
          <w:p>
            <w:pPr>
              <w:jc w:val="center"/>
              <w:ind w:left="8"/>
              <w:spacing w:after="0"/>
              <w:rPr>
                <w:sz w:val="20"/>
                <w:szCs w:val="20"/>
                <w:color w:val="auto"/>
              </w:rPr>
            </w:pPr>
            <w:r>
              <w:rPr>
                <w:rFonts w:ascii="Arial" w:cs="Arial" w:eastAsia="Arial" w:hAnsi="Arial"/>
                <w:sz w:val="14"/>
                <w:szCs w:val="14"/>
                <w:color w:val="auto"/>
                <w:w w:val="97"/>
              </w:rPr>
              <w:t>$3.0M</w:t>
            </w:r>
          </w:p>
        </w:tc>
        <w:tc>
          <w:tcPr>
            <w:tcW w:w="1280" w:type="dxa"/>
            <w:vAlign w:val="bottom"/>
            <w:gridSpan w:val="2"/>
            <w:shd w:val="clear" w:color="auto" w:fill="CFF0FC"/>
          </w:tcPr>
          <w:p>
            <w:pPr>
              <w:jc w:val="center"/>
              <w:ind w:right="60"/>
              <w:spacing w:after="0"/>
              <w:rPr>
                <w:sz w:val="20"/>
                <w:szCs w:val="20"/>
                <w:color w:val="auto"/>
              </w:rPr>
            </w:pPr>
            <w:r>
              <w:rPr>
                <w:rFonts w:ascii="Arial" w:cs="Arial" w:eastAsia="Arial" w:hAnsi="Arial"/>
                <w:sz w:val="14"/>
                <w:szCs w:val="14"/>
                <w:color w:val="auto"/>
                <w:w w:val="91"/>
              </w:rPr>
              <w:t>Q2'17</w:t>
            </w: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$3.0M</w:t>
            </w:r>
          </w:p>
        </w:tc>
        <w:tc>
          <w:tcPr>
            <w:tcW w:w="1280" w:type="dxa"/>
            <w:vAlign w:val="bottom"/>
            <w:gridSpan w:val="2"/>
            <w:shd w:val="clear" w:color="auto" w:fill="CFF0FC"/>
          </w:tcPr>
          <w:p>
            <w:pPr>
              <w:jc w:val="center"/>
              <w:ind w:right="60"/>
              <w:spacing w:after="0"/>
              <w:rPr>
                <w:sz w:val="20"/>
                <w:szCs w:val="20"/>
                <w:color w:val="auto"/>
              </w:rPr>
            </w:pPr>
            <w:r>
              <w:rPr>
                <w:rFonts w:ascii="Arial" w:cs="Arial" w:eastAsia="Arial" w:hAnsi="Arial"/>
                <w:sz w:val="14"/>
                <w:szCs w:val="14"/>
                <w:color w:val="auto"/>
                <w:w w:val="91"/>
              </w:rPr>
              <w:t>Q4'17</w:t>
            </w: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$3.0M</w:t>
            </w:r>
          </w:p>
        </w:tc>
        <w:tc>
          <w:tcPr>
            <w:tcW w:w="11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Q4'19</w:t>
            </w:r>
          </w:p>
        </w:tc>
        <w:tc>
          <w:tcPr>
            <w:tcW w:w="0" w:type="dxa"/>
            <w:vAlign w:val="bottom"/>
          </w:tcPr>
          <w:p>
            <w:pPr>
              <w:spacing w:after="0"/>
              <w:rPr>
                <w:sz w:val="1"/>
                <w:szCs w:val="1"/>
                <w:color w:val="auto"/>
              </w:rPr>
            </w:pPr>
          </w:p>
        </w:tc>
      </w:tr>
      <w:tr>
        <w:trPr>
          <w:trHeight w:val="197"/>
        </w:trPr>
        <w:tc>
          <w:tcPr>
            <w:tcW w:w="4340" w:type="dxa"/>
            <w:vAlign w:val="bottom"/>
          </w:tcPr>
          <w:p>
            <w:pPr>
              <w:ind w:left="20"/>
              <w:spacing w:after="0"/>
              <w:rPr>
                <w:sz w:val="20"/>
                <w:szCs w:val="20"/>
                <w:color w:val="auto"/>
              </w:rPr>
            </w:pPr>
            <w:r>
              <w:rPr>
                <w:rFonts w:ascii="Arial" w:cs="Arial" w:eastAsia="Arial" w:hAnsi="Arial"/>
                <w:sz w:val="14"/>
                <w:szCs w:val="14"/>
                <w:color w:val="auto"/>
              </w:rPr>
              <w:t>Phase 3 clinical trial initiation - first indication</w:t>
            </w:r>
          </w:p>
        </w:tc>
        <w:tc>
          <w:tcPr>
            <w:tcW w:w="1060" w:type="dxa"/>
            <w:vAlign w:val="bottom"/>
          </w:tcPr>
          <w:p>
            <w:pPr>
              <w:jc w:val="center"/>
              <w:ind w:left="8"/>
              <w:spacing w:after="0"/>
              <w:rPr>
                <w:sz w:val="20"/>
                <w:szCs w:val="20"/>
                <w:color w:val="auto"/>
              </w:rPr>
            </w:pPr>
            <w:r>
              <w:rPr>
                <w:rFonts w:ascii="Arial" w:cs="Arial" w:eastAsia="Arial" w:hAnsi="Arial"/>
                <w:sz w:val="14"/>
                <w:szCs w:val="14"/>
                <w:color w:val="auto"/>
                <w:w w:val="97"/>
              </w:rPr>
              <w:t>$5.0M</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Q3'18</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8"/>
        </w:trPr>
        <w:tc>
          <w:tcPr>
            <w:tcW w:w="4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Phase 3 clinical trial initiation - second indication</w:t>
            </w:r>
          </w:p>
        </w:tc>
        <w:tc>
          <w:tcPr>
            <w:tcW w:w="1060" w:type="dxa"/>
            <w:vAlign w:val="bottom"/>
            <w:shd w:val="clear" w:color="auto" w:fill="CFF0FC"/>
          </w:tcPr>
          <w:p>
            <w:pPr>
              <w:jc w:val="center"/>
              <w:ind w:left="8"/>
              <w:spacing w:after="0"/>
              <w:rPr>
                <w:sz w:val="20"/>
                <w:szCs w:val="20"/>
                <w:color w:val="auto"/>
              </w:rPr>
            </w:pPr>
            <w:r>
              <w:rPr>
                <w:rFonts w:ascii="Arial" w:cs="Arial" w:eastAsia="Arial" w:hAnsi="Arial"/>
                <w:sz w:val="14"/>
                <w:szCs w:val="14"/>
                <w:color w:val="auto"/>
                <w:w w:val="97"/>
              </w:rPr>
              <w:t>$5.0M</w:t>
            </w:r>
          </w:p>
        </w:tc>
        <w:tc>
          <w:tcPr>
            <w:tcW w:w="1280" w:type="dxa"/>
            <w:vAlign w:val="bottom"/>
            <w:gridSpan w:val="2"/>
            <w:shd w:val="clear" w:color="auto" w:fill="CFF0FC"/>
          </w:tcPr>
          <w:p>
            <w:pPr>
              <w:jc w:val="center"/>
              <w:ind w:right="60"/>
              <w:spacing w:after="0"/>
              <w:rPr>
                <w:sz w:val="20"/>
                <w:szCs w:val="20"/>
                <w:color w:val="auto"/>
              </w:rPr>
            </w:pPr>
            <w:r>
              <w:rPr>
                <w:rFonts w:ascii="Arial" w:cs="Arial" w:eastAsia="Arial" w:hAnsi="Arial"/>
                <w:sz w:val="14"/>
                <w:szCs w:val="14"/>
                <w:color w:val="auto"/>
                <w:w w:val="91"/>
              </w:rPr>
              <w:t>Q2'19</w:t>
            </w: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gridSpan w:val="2"/>
            <w:shd w:val="clear" w:color="auto" w:fill="CFF0FC"/>
          </w:tcPr>
          <w:p>
            <w:pPr>
              <w:jc w:val="center"/>
              <w:ind w:right="60"/>
              <w:spacing w:after="0"/>
              <w:rPr>
                <w:sz w:val="20"/>
                <w:szCs w:val="20"/>
                <w:color w:val="auto"/>
              </w:rPr>
            </w:pPr>
            <w:r>
              <w:rPr>
                <w:rFonts w:ascii="Arial" w:cs="Arial" w:eastAsia="Arial" w:hAnsi="Arial"/>
                <w:sz w:val="14"/>
                <w:szCs w:val="14"/>
                <w:color w:val="auto"/>
                <w:w w:val="99"/>
              </w:rPr>
              <w:t>—</w:t>
            </w: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w:t>
            </w:r>
          </w:p>
        </w:tc>
        <w:tc>
          <w:tcPr>
            <w:tcW w:w="11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7"/>
        </w:trPr>
        <w:tc>
          <w:tcPr>
            <w:tcW w:w="4340" w:type="dxa"/>
            <w:vAlign w:val="bottom"/>
          </w:tcPr>
          <w:p>
            <w:pPr>
              <w:ind w:left="20"/>
              <w:spacing w:after="0"/>
              <w:rPr>
                <w:sz w:val="20"/>
                <w:szCs w:val="20"/>
                <w:color w:val="auto"/>
              </w:rPr>
            </w:pPr>
            <w:r>
              <w:rPr>
                <w:rFonts w:ascii="Arial" w:cs="Arial" w:eastAsia="Arial" w:hAnsi="Arial"/>
                <w:sz w:val="14"/>
                <w:szCs w:val="14"/>
                <w:color w:val="auto"/>
              </w:rPr>
              <w:t>Filing of the first NDA - first indication</w:t>
            </w: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$10.0M</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Q1'20</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8"/>
        </w:trPr>
        <w:tc>
          <w:tcPr>
            <w:tcW w:w="4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Filing of the first MAA - first indication</w:t>
            </w:r>
          </w:p>
        </w:tc>
        <w:tc>
          <w:tcPr>
            <w:tcW w:w="1060" w:type="dxa"/>
            <w:vAlign w:val="bottom"/>
            <w:shd w:val="clear" w:color="auto" w:fill="CFF0FC"/>
          </w:tcPr>
          <w:p>
            <w:pPr>
              <w:jc w:val="center"/>
              <w:ind w:left="8"/>
              <w:spacing w:after="0"/>
              <w:rPr>
                <w:sz w:val="20"/>
                <w:szCs w:val="20"/>
                <w:color w:val="auto"/>
              </w:rPr>
            </w:pPr>
            <w:r>
              <w:rPr>
                <w:rFonts w:ascii="Arial" w:cs="Arial" w:eastAsia="Arial" w:hAnsi="Arial"/>
                <w:sz w:val="14"/>
                <w:szCs w:val="14"/>
                <w:color w:val="auto"/>
                <w:w w:val="97"/>
              </w:rPr>
              <w:t>$5.0M</w:t>
            </w:r>
          </w:p>
        </w:tc>
        <w:tc>
          <w:tcPr>
            <w:tcW w:w="1280" w:type="dxa"/>
            <w:vAlign w:val="bottom"/>
            <w:gridSpan w:val="2"/>
            <w:shd w:val="clear" w:color="auto" w:fill="CFF0FC"/>
          </w:tcPr>
          <w:p>
            <w:pPr>
              <w:jc w:val="center"/>
              <w:ind w:right="60"/>
              <w:spacing w:after="0"/>
              <w:rPr>
                <w:sz w:val="20"/>
                <w:szCs w:val="20"/>
                <w:color w:val="auto"/>
              </w:rPr>
            </w:pPr>
            <w:r>
              <w:rPr>
                <w:rFonts w:ascii="Arial" w:cs="Arial" w:eastAsia="Arial" w:hAnsi="Arial"/>
                <w:sz w:val="14"/>
                <w:szCs w:val="14"/>
                <w:color w:val="auto"/>
                <w:w w:val="91"/>
              </w:rPr>
              <w:t>Q1'20</w:t>
            </w: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gridSpan w:val="2"/>
            <w:shd w:val="clear" w:color="auto" w:fill="CFF0FC"/>
          </w:tcPr>
          <w:p>
            <w:pPr>
              <w:jc w:val="center"/>
              <w:ind w:right="60"/>
              <w:spacing w:after="0"/>
              <w:rPr>
                <w:sz w:val="20"/>
                <w:szCs w:val="20"/>
                <w:color w:val="auto"/>
              </w:rPr>
            </w:pPr>
            <w:r>
              <w:rPr>
                <w:rFonts w:ascii="Arial" w:cs="Arial" w:eastAsia="Arial" w:hAnsi="Arial"/>
                <w:sz w:val="14"/>
                <w:szCs w:val="14"/>
                <w:color w:val="auto"/>
                <w:w w:val="99"/>
              </w:rPr>
              <w:t>—</w:t>
            </w: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w:t>
            </w:r>
          </w:p>
        </w:tc>
        <w:tc>
          <w:tcPr>
            <w:tcW w:w="11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p>
    <w:p>
      <w:pPr>
        <w:spacing w:after="0" w:line="214" w:lineRule="exact"/>
        <w:rPr>
          <w:sz w:val="20"/>
          <w:szCs w:val="20"/>
          <w:color w:val="auto"/>
        </w:rPr>
      </w:pPr>
    </w:p>
    <w:p>
      <w:pPr>
        <w:ind w:right="360" w:firstLine="567"/>
        <w:spacing w:after="0" w:line="286" w:lineRule="auto"/>
        <w:rPr>
          <w:sz w:val="20"/>
          <w:szCs w:val="20"/>
          <w:color w:val="auto"/>
        </w:rPr>
      </w:pPr>
      <w:r>
        <w:rPr>
          <w:rFonts w:ascii="Arial" w:cs="Arial" w:eastAsia="Arial" w:hAnsi="Arial"/>
          <w:sz w:val="17"/>
          <w:szCs w:val="17"/>
          <w:color w:val="auto"/>
        </w:rPr>
        <w:t>Milestones achieved during the discovery period were recognized as revenue pro-rata through December 31, 2016. Milestones achieved during fiscal 2017 were recognized as revenue in the period earned, while milestones after December 31, 2017 are recognized upon determination that a significant reversal of revenue would not be probable. Cash is generally received within 30 days of milestone achievement.</w:t>
      </w:r>
    </w:p>
    <w:p>
      <w:pPr>
        <w:spacing w:after="0" w:line="57"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We recognized $0 and $15.0 million in revenue under this agreement during the three and six months ended June 30, 2020, respectively, and $0 and $5.0 million during the three and six months ended 2019, respectively.</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Antibody Generation Agreement with Bristol-Myers Squibb</w:t>
      </w:r>
    </w:p>
    <w:p>
      <w:pPr>
        <w:spacing w:after="0" w:line="117" w:lineRule="exact"/>
        <w:rPr>
          <w:sz w:val="20"/>
          <w:szCs w:val="20"/>
          <w:color w:val="auto"/>
        </w:rPr>
      </w:pPr>
    </w:p>
    <w:p>
      <w:pPr>
        <w:ind w:right="20" w:firstLine="445"/>
        <w:spacing w:after="0" w:line="243" w:lineRule="auto"/>
        <w:rPr>
          <w:sz w:val="20"/>
          <w:szCs w:val="20"/>
          <w:color w:val="auto"/>
        </w:rPr>
      </w:pPr>
      <w:r>
        <w:rPr>
          <w:rFonts w:ascii="Arial" w:cs="Arial" w:eastAsia="Arial" w:hAnsi="Arial"/>
          <w:sz w:val="18"/>
          <w:szCs w:val="18"/>
          <w:color w:val="auto"/>
        </w:rPr>
        <w:t>In December 2011, we entered into a license and collaboration agreement (the “BMS Agreement”) with Celgene, now a part of Bristol-Myers Squibb (“BMS”), to develop therapeutic antibodies against multiple targets. We granted BMS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80"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The agreement provided for an upfront payment of $6.0 million from BMS, which we received in 2011 and recognized through 2014, milestone payments of up to $53.0 million per target, low single-digit royalties on net sales of antibodies against each target, and reimbursement of specified research and development costs.</w:t>
      </w:r>
    </w:p>
    <w:p>
      <w:pPr>
        <w:spacing w:after="0" w:line="76" w:lineRule="exact"/>
        <w:rPr>
          <w:sz w:val="20"/>
          <w:szCs w:val="20"/>
          <w:color w:val="auto"/>
        </w:rPr>
      </w:pPr>
    </w:p>
    <w:p>
      <w:pPr>
        <w:ind w:right="20" w:firstLine="445"/>
        <w:spacing w:after="0" w:line="290" w:lineRule="auto"/>
        <w:rPr>
          <w:sz w:val="20"/>
          <w:szCs w:val="20"/>
          <w:color w:val="auto"/>
        </w:rPr>
      </w:pPr>
      <w:r>
        <w:rPr>
          <w:rFonts w:ascii="Arial" w:cs="Arial" w:eastAsia="Arial" w:hAnsi="Arial"/>
          <w:sz w:val="16"/>
          <w:szCs w:val="16"/>
          <w:color w:val="auto"/>
        </w:rPr>
        <w:t>We assessed this arrangement in accordance with ASC Topic 606 and concluded that the contract counterparty, BMS, is a customer. We identified the following material promises under the BMS Agreement: (1) the licenses under certain patent rights relating to four targets and transfer of certain development and regulatory information, (2) R&amp;D services, (3) a written report documenting findings and (4) Steering Committee meetings. We considered the research and discovery capabilities of BMS, BMS’s inability to sub-license the four targets, and the fact that the discovery and optimization of these antibodies is proprietary and could not, at the time of the contract inception, be provided by other vendors, to conclude that the license does not have stand-alone functionality and is therefore not distinct. Additionally, we determined that the report of findings and steering committee participation would not have been provided without the R&amp;D services and license agreement. Based on these assessments, we identified all services to be interrelated, and therefore concluded that the promises should be combined into a single performance obligation at the inception the arrangement.</w:t>
      </w:r>
    </w:p>
    <w:p>
      <w:pPr>
        <w:spacing w:after="0" w:line="57"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color w:val="auto"/>
        </w:rPr>
        <w:t>As of June 30, 2020, the transaction price includes the upfront payment, success fees, expense reimbursement, and milestones earned to date, which are allocated in their entirety to the single performance obligation. None of the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and the licensees’ efforts. Any consideration related to sales-based milestones, including royalties, will be recognized when the related sales occur as they were determined to relate predominantly to the IP license granted to BMS and therefore have also been excluded from the transaction price. We will re-evaluate the transaction price in each reporting period and as uncertain events are resolved or other changes in circumstances occur.</w:t>
      </w:r>
    </w:p>
    <w:p>
      <w:pPr>
        <w:spacing w:after="0" w:line="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Milestones achieved through June 30, 2020 under the BMS Agreement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4880" w:type="dxa"/>
            <w:vAlign w:val="bottom"/>
            <w:gridSpan w:val="2"/>
          </w:tcPr>
          <w:p>
            <w:pPr>
              <w:jc w:val="center"/>
              <w:ind w:left="2548"/>
              <w:spacing w:after="0"/>
              <w:rPr>
                <w:sz w:val="20"/>
                <w:szCs w:val="20"/>
                <w:color w:val="auto"/>
              </w:rPr>
            </w:pPr>
            <w:r>
              <w:rPr>
                <w:rFonts w:ascii="Arial" w:cs="Arial" w:eastAsia="Arial" w:hAnsi="Arial"/>
                <w:sz w:val="14"/>
                <w:szCs w:val="14"/>
                <w:b w:val="1"/>
                <w:bCs w:val="1"/>
                <w:color w:val="auto"/>
                <w:w w:val="97"/>
              </w:rPr>
              <w:t>Anti-PD-1</w:t>
            </w:r>
          </w:p>
        </w:tc>
        <w:tc>
          <w:tcPr>
            <w:tcW w:w="0" w:type="dxa"/>
            <w:vAlign w:val="bottom"/>
          </w:tcPr>
          <w:p>
            <w:pPr>
              <w:spacing w:after="0"/>
              <w:rPr>
                <w:sz w:val="1"/>
                <w:szCs w:val="1"/>
                <w:color w:val="auto"/>
              </w:rPr>
            </w:pPr>
          </w:p>
        </w:tc>
      </w:tr>
      <w:tr>
        <w:trPr>
          <w:trHeight w:val="192"/>
        </w:trPr>
        <w:tc>
          <w:tcPr>
            <w:tcW w:w="636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gridSpan w:val="2"/>
          </w:tcPr>
          <w:p>
            <w:pPr>
              <w:jc w:val="center"/>
              <w:ind w:left="2588"/>
              <w:spacing w:after="0"/>
              <w:rPr>
                <w:sz w:val="20"/>
                <w:szCs w:val="20"/>
                <w:color w:val="auto"/>
              </w:rPr>
            </w:pPr>
            <w:r>
              <w:rPr>
                <w:rFonts w:ascii="Arial" w:cs="Arial" w:eastAsia="Arial" w:hAnsi="Arial"/>
                <w:sz w:val="14"/>
                <w:szCs w:val="14"/>
                <w:b w:val="1"/>
                <w:bCs w:val="1"/>
                <w:color w:val="auto"/>
                <w:w w:val="95"/>
              </w:rPr>
              <w:t>(CC-90006)</w:t>
            </w:r>
          </w:p>
        </w:tc>
        <w:tc>
          <w:tcPr>
            <w:tcW w:w="0" w:type="dxa"/>
            <w:vAlign w:val="bottom"/>
          </w:tcPr>
          <w:p>
            <w:pPr>
              <w:spacing w:after="0"/>
              <w:rPr>
                <w:sz w:val="1"/>
                <w:szCs w:val="1"/>
                <w:color w:val="auto"/>
              </w:rPr>
            </w:pPr>
          </w:p>
        </w:tc>
      </w:tr>
      <w:tr>
        <w:trPr>
          <w:trHeight w:val="152"/>
        </w:trPr>
        <w:tc>
          <w:tcPr>
            <w:tcW w:w="6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Milestone Event</w:t>
            </w:r>
          </w:p>
        </w:tc>
        <w:tc>
          <w:tcPr>
            <w:tcW w:w="3760" w:type="dxa"/>
            <w:vAlign w:val="bottom"/>
            <w:vMerge w:val="restart"/>
          </w:tcPr>
          <w:p>
            <w:pPr>
              <w:jc w:val="center"/>
              <w:ind w:left="2668"/>
              <w:spacing w:after="0"/>
              <w:rPr>
                <w:sz w:val="20"/>
                <w:szCs w:val="20"/>
                <w:color w:val="auto"/>
              </w:rPr>
            </w:pPr>
            <w:r>
              <w:rPr>
                <w:rFonts w:ascii="Arial" w:cs="Arial" w:eastAsia="Arial" w:hAnsi="Arial"/>
                <w:sz w:val="14"/>
                <w:szCs w:val="14"/>
                <w:b w:val="1"/>
                <w:bCs w:val="1"/>
                <w:color w:val="auto"/>
                <w:w w:val="94"/>
              </w:rPr>
              <w:t>Amount</w:t>
            </w:r>
          </w:p>
        </w:tc>
        <w:tc>
          <w:tcPr>
            <w:tcW w:w="1120" w:type="dxa"/>
            <w:vAlign w:val="bottom"/>
          </w:tcPr>
          <w:p>
            <w:pPr>
              <w:jc w:val="center"/>
              <w:ind w:left="8"/>
              <w:spacing w:after="0" w:line="153" w:lineRule="exact"/>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192"/>
        </w:trPr>
        <w:tc>
          <w:tcPr>
            <w:tcW w:w="6360" w:type="dxa"/>
            <w:vAlign w:val="bottom"/>
            <w:vMerge w:val="continue"/>
          </w:tcPr>
          <w:p>
            <w:pPr>
              <w:spacing w:after="0"/>
              <w:rPr>
                <w:sz w:val="16"/>
                <w:szCs w:val="16"/>
                <w:color w:val="auto"/>
              </w:rPr>
            </w:pPr>
          </w:p>
        </w:tc>
        <w:tc>
          <w:tcPr>
            <w:tcW w:w="3760" w:type="dxa"/>
            <w:vAlign w:val="bottom"/>
            <w:vMerge w:val="continue"/>
          </w:tcPr>
          <w:p>
            <w:pPr>
              <w:spacing w:after="0"/>
              <w:rPr>
                <w:sz w:val="16"/>
                <w:szCs w:val="16"/>
                <w:color w:val="auto"/>
              </w:rPr>
            </w:pPr>
          </w:p>
        </w:tc>
        <w:tc>
          <w:tcPr>
            <w:tcW w:w="1120" w:type="dxa"/>
            <w:vAlign w:val="bottom"/>
          </w:tcPr>
          <w:p>
            <w:pPr>
              <w:jc w:val="center"/>
              <w:ind w:left="8"/>
              <w:spacing w:after="0"/>
              <w:rPr>
                <w:sz w:val="20"/>
                <w:szCs w:val="20"/>
                <w:color w:val="auto"/>
              </w:rPr>
            </w:pPr>
            <w:r>
              <w:rPr>
                <w:rFonts w:ascii="Arial" w:cs="Arial" w:eastAsia="Arial" w:hAnsi="Arial"/>
                <w:sz w:val="14"/>
                <w:szCs w:val="14"/>
                <w:b w:val="1"/>
                <w:bCs w:val="1"/>
                <w:color w:val="auto"/>
                <w:w w:val="91"/>
              </w:rPr>
              <w:t>Recognized</w:t>
            </w:r>
          </w:p>
        </w:tc>
        <w:tc>
          <w:tcPr>
            <w:tcW w:w="0" w:type="dxa"/>
            <w:vAlign w:val="bottom"/>
          </w:tcPr>
          <w:p>
            <w:pPr>
              <w:spacing w:after="0"/>
              <w:rPr>
                <w:sz w:val="1"/>
                <w:szCs w:val="1"/>
                <w:color w:val="auto"/>
              </w:rPr>
            </w:pPr>
          </w:p>
        </w:tc>
      </w:tr>
      <w:tr>
        <w:trPr>
          <w:trHeight w:val="411"/>
        </w:trPr>
        <w:tc>
          <w:tcPr>
            <w:tcW w:w="6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 xml:space="preserve">Completion of first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toxicology studies using GLPs</w:t>
            </w:r>
          </w:p>
        </w:tc>
        <w:tc>
          <w:tcPr>
            <w:tcW w:w="3760" w:type="dxa"/>
            <w:vAlign w:val="bottom"/>
            <w:shd w:val="clear" w:color="auto" w:fill="CFF0FC"/>
          </w:tcPr>
          <w:p>
            <w:pPr>
              <w:jc w:val="center"/>
              <w:ind w:left="2668"/>
              <w:spacing w:after="0"/>
              <w:rPr>
                <w:sz w:val="20"/>
                <w:szCs w:val="20"/>
                <w:color w:val="auto"/>
              </w:rPr>
            </w:pPr>
            <w:r>
              <w:rPr>
                <w:rFonts w:ascii="Arial" w:cs="Arial" w:eastAsia="Arial" w:hAnsi="Arial"/>
                <w:sz w:val="14"/>
                <w:szCs w:val="14"/>
                <w:color w:val="auto"/>
                <w:w w:val="97"/>
              </w:rPr>
              <w:t>$0.5M</w:t>
            </w:r>
          </w:p>
        </w:tc>
        <w:tc>
          <w:tcPr>
            <w:tcW w:w="1120" w:type="dxa"/>
            <w:vAlign w:val="bottom"/>
            <w:shd w:val="clear" w:color="auto" w:fill="CFF0FC"/>
          </w:tcPr>
          <w:p>
            <w:pPr>
              <w:jc w:val="center"/>
              <w:ind w:left="8"/>
              <w:spacing w:after="0"/>
              <w:rPr>
                <w:sz w:val="20"/>
                <w:szCs w:val="20"/>
                <w:color w:val="auto"/>
              </w:rPr>
            </w:pPr>
            <w:r>
              <w:rPr>
                <w:rFonts w:ascii="Arial" w:cs="Arial" w:eastAsia="Arial" w:hAnsi="Arial"/>
                <w:sz w:val="14"/>
                <w:szCs w:val="14"/>
                <w:color w:val="auto"/>
                <w:w w:val="97"/>
              </w:rPr>
              <w:t>Q2'16</w:t>
            </w:r>
          </w:p>
        </w:tc>
        <w:tc>
          <w:tcPr>
            <w:tcW w:w="0" w:type="dxa"/>
            <w:vAlign w:val="bottom"/>
          </w:tcPr>
          <w:p>
            <w:pPr>
              <w:spacing w:after="0"/>
              <w:rPr>
                <w:sz w:val="1"/>
                <w:szCs w:val="1"/>
                <w:color w:val="auto"/>
              </w:rPr>
            </w:pPr>
          </w:p>
        </w:tc>
      </w:tr>
      <w:tr>
        <w:trPr>
          <w:trHeight w:val="190"/>
        </w:trPr>
        <w:tc>
          <w:tcPr>
            <w:tcW w:w="6360" w:type="dxa"/>
            <w:vAlign w:val="bottom"/>
          </w:tcPr>
          <w:p>
            <w:pPr>
              <w:ind w:left="20"/>
              <w:spacing w:after="0"/>
              <w:rPr>
                <w:sz w:val="20"/>
                <w:szCs w:val="20"/>
                <w:color w:val="auto"/>
              </w:rPr>
            </w:pPr>
            <w:r>
              <w:rPr>
                <w:rFonts w:ascii="Arial" w:cs="Arial" w:eastAsia="Arial" w:hAnsi="Arial"/>
                <w:sz w:val="14"/>
                <w:szCs w:val="14"/>
                <w:color w:val="auto"/>
              </w:rPr>
              <w:t>Phase 1 clinical trial initiation</w:t>
            </w:r>
          </w:p>
        </w:tc>
        <w:tc>
          <w:tcPr>
            <w:tcW w:w="3760" w:type="dxa"/>
            <w:vAlign w:val="bottom"/>
          </w:tcPr>
          <w:p>
            <w:pPr>
              <w:jc w:val="center"/>
              <w:ind w:left="2668"/>
              <w:spacing w:after="0"/>
              <w:rPr>
                <w:sz w:val="20"/>
                <w:szCs w:val="20"/>
                <w:color w:val="auto"/>
              </w:rPr>
            </w:pPr>
            <w:r>
              <w:rPr>
                <w:rFonts w:ascii="Arial" w:cs="Arial" w:eastAsia="Arial" w:hAnsi="Arial"/>
                <w:sz w:val="14"/>
                <w:szCs w:val="14"/>
                <w:color w:val="auto"/>
                <w:w w:val="97"/>
              </w:rPr>
              <w:t>$1.0M</w:t>
            </w:r>
          </w:p>
        </w:tc>
        <w:tc>
          <w:tcPr>
            <w:tcW w:w="1120" w:type="dxa"/>
            <w:vAlign w:val="bottom"/>
          </w:tcPr>
          <w:p>
            <w:pPr>
              <w:jc w:val="center"/>
              <w:ind w:left="8"/>
              <w:spacing w:after="0"/>
              <w:rPr>
                <w:sz w:val="20"/>
                <w:szCs w:val="20"/>
                <w:color w:val="auto"/>
              </w:rPr>
            </w:pPr>
            <w:r>
              <w:rPr>
                <w:rFonts w:ascii="Arial" w:cs="Arial" w:eastAsia="Arial" w:hAnsi="Arial"/>
                <w:sz w:val="14"/>
                <w:szCs w:val="14"/>
                <w:color w:val="auto"/>
                <w:w w:val="97"/>
              </w:rPr>
              <w:t>Q4'16</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420" w:firstLine="567"/>
        <w:spacing w:after="0" w:line="277" w:lineRule="auto"/>
        <w:rPr>
          <w:sz w:val="20"/>
          <w:szCs w:val="20"/>
          <w:color w:val="auto"/>
        </w:rPr>
      </w:pPr>
      <w:r>
        <w:rPr>
          <w:rFonts w:ascii="Arial" w:cs="Arial" w:eastAsia="Arial" w:hAnsi="Arial"/>
          <w:sz w:val="18"/>
          <w:szCs w:val="18"/>
          <w:color w:val="auto"/>
        </w:rPr>
        <w:t>Revenue from future contingent milestone payments will be recognized when it is more likely than not that the revenue will not be reversed in future periods. Cash is generally received within 30 days of milestone achievement.</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was no revenue recognized under this agreement during the three and six months ended June 30,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Notes Payable</w:t>
      </w:r>
    </w:p>
    <w:p>
      <w:pPr>
        <w:spacing w:after="0" w:line="121"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On December 24, 2014, we entered into a Loan and Security Agreement, as amended from time to time, the Loan Agreement, with a bank and a financial institution whereby we may borrow up to $15.0 million in three separate draws of $5.0 million each. The Term A Loans, for an aggregate of $5.0 million, were drawn on December 24, 2014 with a fixed interest rate of 6.97%.</w:t>
      </w:r>
    </w:p>
    <w:p>
      <w:pPr>
        <w:spacing w:after="0" w:line="76" w:lineRule="exact"/>
        <w:rPr>
          <w:sz w:val="20"/>
          <w:szCs w:val="20"/>
          <w:color w:val="auto"/>
        </w:rPr>
      </w:pPr>
    </w:p>
    <w:p>
      <w:pPr>
        <w:ind w:right="80" w:firstLine="445"/>
        <w:spacing w:after="0" w:line="286" w:lineRule="auto"/>
        <w:rPr>
          <w:sz w:val="20"/>
          <w:szCs w:val="20"/>
          <w:color w:val="auto"/>
        </w:rPr>
      </w:pPr>
      <w:r>
        <w:rPr>
          <w:rFonts w:ascii="Arial" w:cs="Arial" w:eastAsia="Arial" w:hAnsi="Arial"/>
          <w:sz w:val="16"/>
          <w:szCs w:val="16"/>
          <w:color w:val="auto"/>
        </w:rPr>
        <w:t>In January 2016, the Loan Agreement was amended to combine Term B Loans and Term C Loans for a total of $10.0 million available for draw through December 31, 2016 and delay the beginning of our Term A Loans’ principal repayments from February 1, 2016 until February 1, 2017. The Term B Loans and Term C Loans became available for draw on July 1, 2016. In December 2016, we further amended the Loan Agreement to (i) allow for the Term B Loans and Term C Loans to be drawn on December 30, 2016, (ii) delay principal repayments of all Term Loans until February 1, 2018 and</w:t>
      </w:r>
    </w:p>
    <w:p>
      <w:pPr>
        <w:spacing w:after="0" w:line="1" w:lineRule="exact"/>
        <w:rPr>
          <w:sz w:val="20"/>
          <w:szCs w:val="20"/>
          <w:color w:val="auto"/>
        </w:rPr>
      </w:pPr>
    </w:p>
    <w:p>
      <w:pPr>
        <w:ind w:firstLine="8"/>
        <w:spacing w:after="0" w:line="255"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amend the interest rate for each Term Loan. The Term B Loans and the Term C Loans were drawn on December 30, 2016, and Term A, B and C Loans are now collectively referred to as the Term Loans. Principal repayments began in February 2018, and were paid in full, without penalty or premium on January 1, 2020.</w:t>
      </w:r>
    </w:p>
    <w:p>
      <w:pPr>
        <w:spacing w:after="0" w:line="82"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The costs incurred to issue the Term Loans were deferred and were included in the discount to the carrying value of the Term Loans in the accompanying balance sheet. The Term Loans also included a final payment fee of $0.8 million due at the earlier of prepayment or the maturity date of the Term Loans. The deferred costs and the final payment fee were amortized to interest expense over the expected term of the Term A Loans using the effective interest method.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 and Available for Sale Investments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color w:val="auto"/>
        </w:rPr>
        <w:t>Our financial instruments consist principally of cash, cash equivalents, restricted cash, short-term and long-term investments, receivables, accounts payable, and notes payable. Certain of our financial assets and liabilities have been recorded at fair value in the consolidated balance sheet in accordance with the accounting standards for fair value measurements.</w:t>
      </w:r>
    </w:p>
    <w:p>
      <w:pPr>
        <w:spacing w:after="0" w:line="76"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1 - Observable inputs that reflect quoted prices (unadjusted) for identical assets or liabilities in active markets.</w:t>
      </w:r>
    </w:p>
    <w:p>
      <w:pPr>
        <w:spacing w:after="0" w:line="117"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Level 3 - Unobservable inputs that are supported by little or no market activities, therefore requiring an entity to develop its own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3" w:name="page14"/>
    <w:bookmarkEnd w:id="13"/>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The following table summarizes our assets and liabilities that require fair value measurements on a recurring basis and their respective input levels based on the fair value hierarchy:</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7"/>
              </w:rPr>
              <w:t>Fair Value Measurements at End of Period Using:</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Quoted Market</w:t>
            </w:r>
          </w:p>
        </w:tc>
        <w:tc>
          <w:tcPr>
            <w:tcW w:w="160" w:type="dxa"/>
            <w:vAlign w:val="bottom"/>
          </w:tcPr>
          <w:p>
            <w:pPr>
              <w:spacing w:after="0"/>
              <w:rPr>
                <w:sz w:val="13"/>
                <w:szCs w:val="13"/>
                <w:color w:val="auto"/>
              </w:rPr>
            </w:pPr>
          </w:p>
        </w:tc>
        <w:tc>
          <w:tcPr>
            <w:tcW w:w="14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3"/>
                <w:szCs w:val="13"/>
                <w:color w:val="auto"/>
              </w:rPr>
            </w:pPr>
          </w:p>
        </w:tc>
        <w:tc>
          <w:tcPr>
            <w:tcW w:w="128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Prices for</w:t>
            </w: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Other Observable</w:t>
            </w:r>
          </w:p>
        </w:tc>
        <w:tc>
          <w:tcPr>
            <w:tcW w:w="220" w:type="dxa"/>
            <w:vAlign w:val="bottom"/>
          </w:tcPr>
          <w:p>
            <w:pPr>
              <w:spacing w:after="0"/>
              <w:rPr>
                <w:sz w:val="14"/>
                <w:szCs w:val="14"/>
                <w:color w:val="auto"/>
              </w:rPr>
            </w:pPr>
          </w:p>
        </w:tc>
        <w:tc>
          <w:tcPr>
            <w:tcW w:w="1280" w:type="dxa"/>
            <w:vAlign w:val="bottom"/>
          </w:tcPr>
          <w:p>
            <w:pPr>
              <w:jc w:val="center"/>
              <w:ind w:right="135"/>
              <w:spacing w:after="0"/>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280" w:type="dxa"/>
            <w:vAlign w:val="bottom"/>
          </w:tcPr>
          <w:p>
            <w:pPr>
              <w:jc w:val="center"/>
              <w:ind w:right="115"/>
              <w:spacing w:after="0" w:line="14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84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7"/>
                <w:szCs w:val="17"/>
                <w:color w:val="auto"/>
              </w:rPr>
            </w:pPr>
          </w:p>
        </w:tc>
        <w:tc>
          <w:tcPr>
            <w:tcW w:w="1280" w:type="dxa"/>
            <w:vAlign w:val="bottom"/>
          </w:tcPr>
          <w:p>
            <w:pPr>
              <w:jc w:val="center"/>
              <w:ind w:right="135"/>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88"/>
        </w:trPr>
        <w:tc>
          <w:tcPr>
            <w:tcW w:w="20" w:type="dxa"/>
            <w:vAlign w:val="bottom"/>
            <w:tcBorders>
              <w:top w:val="single" w:sz="8" w:color="CFF0FC"/>
            </w:tcBorders>
            <w:shd w:val="clear" w:color="auto" w:fill="CFF0FC"/>
          </w:tcPr>
          <w:p>
            <w:pPr>
              <w:spacing w:after="0"/>
              <w:rPr>
                <w:sz w:val="16"/>
                <w:szCs w:val="16"/>
                <w:color w:val="auto"/>
              </w:rPr>
            </w:pPr>
          </w:p>
        </w:tc>
        <w:tc>
          <w:tcPr>
            <w:tcW w:w="4840" w:type="dxa"/>
            <w:vAlign w:val="bottom"/>
            <w:tcBorders>
              <w:top w:val="single" w:sz="8" w:color="CFF0FC"/>
            </w:tcBorders>
            <w:gridSpan w:val="3"/>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At June 30, 2020</w:t>
            </w:r>
          </w:p>
        </w:tc>
        <w:tc>
          <w:tcPr>
            <w:tcW w:w="34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3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3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28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FF0FC"/>
            </w:tcBorders>
            <w:shd w:val="clear" w:color="auto" w:fill="CFF0FC"/>
          </w:tcPr>
          <w:p>
            <w:pPr>
              <w:spacing w:after="0"/>
              <w:rPr>
                <w:sz w:val="4"/>
                <w:szCs w:val="4"/>
                <w:color w:val="auto"/>
              </w:rPr>
            </w:pPr>
          </w:p>
        </w:tc>
        <w:tc>
          <w:tcPr>
            <w:tcW w:w="1280" w:type="dxa"/>
            <w:vAlign w:val="bottom"/>
            <w:tcBorders>
              <w:top w:val="single" w:sz="8" w:color="auto"/>
            </w:tcBorders>
            <w:shd w:val="clear" w:color="auto" w:fill="CFF0FC"/>
          </w:tcPr>
          <w:p>
            <w:pPr>
              <w:spacing w:after="0"/>
              <w:rPr>
                <w:sz w:val="4"/>
                <w:szCs w:val="4"/>
                <w:color w:val="auto"/>
              </w:rPr>
            </w:pPr>
          </w:p>
        </w:tc>
        <w:tc>
          <w:tcPr>
            <w:tcW w:w="420" w:type="dxa"/>
            <w:vAlign w:val="bottom"/>
            <w:tcBorders>
              <w:top w:val="single" w:sz="8" w:color="CFF0FC"/>
            </w:tcBorders>
            <w:shd w:val="clear" w:color="auto" w:fill="CFF0FC"/>
          </w:tcPr>
          <w:p>
            <w:pPr>
              <w:spacing w:after="0"/>
              <w:rPr>
                <w:sz w:val="4"/>
                <w:szCs w:val="4"/>
                <w:color w:val="auto"/>
              </w:rPr>
            </w:pPr>
          </w:p>
        </w:tc>
        <w:tc>
          <w:tcPr>
            <w:tcW w:w="314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116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CFF0FC"/>
            </w:tcBorders>
            <w:shd w:val="clear" w:color="auto" w:fill="CFF0FC"/>
          </w:tcPr>
          <w:p>
            <w:pPr>
              <w:spacing w:after="0"/>
              <w:rPr>
                <w:sz w:val="4"/>
                <w:szCs w:val="4"/>
                <w:color w:val="auto"/>
              </w:rPr>
            </w:pPr>
          </w:p>
        </w:tc>
        <w:tc>
          <w:tcPr>
            <w:tcW w:w="13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136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1280" w:type="dxa"/>
            <w:vAlign w:val="bottom"/>
            <w:tcBorders>
              <w:top w:val="single" w:sz="8" w:color="CFF0FC"/>
            </w:tcBorders>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213,898</w:t>
            </w:r>
          </w:p>
        </w:tc>
        <w:tc>
          <w:tcPr>
            <w:tcW w:w="120" w:type="dxa"/>
            <w:vAlign w:val="bottom"/>
          </w:tcPr>
          <w:p>
            <w:pPr>
              <w:spacing w:after="0"/>
              <w:rPr>
                <w:sz w:val="23"/>
                <w:szCs w:val="23"/>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213,898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shd w:val="clear" w:color="auto" w:fill="CFF0FC"/>
          </w:tcPr>
          <w:p>
            <w:pPr>
              <w:spacing w:after="0"/>
              <w:rPr>
                <w:sz w:val="23"/>
                <w:szCs w:val="23"/>
                <w:color w:val="auto"/>
              </w:rPr>
            </w:pPr>
          </w:p>
        </w:tc>
        <w:tc>
          <w:tcPr>
            <w:tcW w:w="4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Mutual funds</w:t>
            </w:r>
            <w:r>
              <w:rPr>
                <w:rFonts w:ascii="Arial" w:cs="Arial" w:eastAsia="Arial" w:hAnsi="Arial"/>
                <w:sz w:val="23"/>
                <w:szCs w:val="23"/>
                <w:color w:val="auto"/>
                <w:vertAlign w:val="superscript"/>
              </w:rPr>
              <w:t>(1)</w:t>
            </w:r>
          </w:p>
        </w:tc>
        <w:tc>
          <w:tcPr>
            <w:tcW w:w="340" w:type="dxa"/>
            <w:vAlign w:val="bottom"/>
            <w:shd w:val="clear" w:color="auto" w:fill="CFF0FC"/>
          </w:tcPr>
          <w:p>
            <w:pPr>
              <w:spacing w:after="0"/>
              <w:rPr>
                <w:sz w:val="23"/>
                <w:szCs w:val="23"/>
                <w:color w:val="auto"/>
              </w:rPr>
            </w:pPr>
          </w:p>
        </w:tc>
        <w:tc>
          <w:tcPr>
            <w:tcW w:w="11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7,633</w:t>
            </w:r>
          </w:p>
        </w:tc>
        <w:tc>
          <w:tcPr>
            <w:tcW w:w="12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3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7,633</w:t>
            </w:r>
          </w:p>
        </w:tc>
        <w:tc>
          <w:tcPr>
            <w:tcW w:w="10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3"/>
                <w:szCs w:val="23"/>
                <w:color w:val="auto"/>
              </w:rPr>
            </w:pPr>
          </w:p>
        </w:tc>
        <w:tc>
          <w:tcPr>
            <w:tcW w:w="1280" w:type="dxa"/>
            <w:vAlign w:val="bottom"/>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U.S. Treasury securities</w:t>
            </w:r>
            <w:r>
              <w:rPr>
                <w:rFonts w:ascii="Arial" w:cs="Arial" w:eastAsia="Arial" w:hAnsi="Arial"/>
                <w:sz w:val="23"/>
                <w:szCs w:val="23"/>
                <w:color w:val="auto"/>
                <w:vertAlign w:val="superscript"/>
              </w:rPr>
              <w:t>(2)</w:t>
            </w:r>
          </w:p>
        </w:tc>
        <w:tc>
          <w:tcPr>
            <w:tcW w:w="340" w:type="dxa"/>
            <w:vAlign w:val="bottom"/>
          </w:tcPr>
          <w:p>
            <w:pPr>
              <w:spacing w:after="0"/>
              <w:rPr>
                <w:sz w:val="23"/>
                <w:szCs w:val="23"/>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103,459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103,459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8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shd w:val="clear" w:color="auto" w:fill="CFF0FC"/>
          </w:tcPr>
          <w:p>
            <w:pPr>
              <w:spacing w:after="0"/>
              <w:rPr>
                <w:sz w:val="23"/>
                <w:szCs w:val="23"/>
                <w:color w:val="auto"/>
              </w:rPr>
            </w:pPr>
          </w:p>
        </w:tc>
        <w:tc>
          <w:tcPr>
            <w:tcW w:w="4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Certificates of deposit</w:t>
            </w:r>
            <w:r>
              <w:rPr>
                <w:rFonts w:ascii="Arial" w:cs="Arial" w:eastAsia="Arial" w:hAnsi="Arial"/>
                <w:sz w:val="23"/>
                <w:szCs w:val="23"/>
                <w:color w:val="auto"/>
                <w:vertAlign w:val="superscript"/>
              </w:rPr>
              <w:t>(2)</w:t>
            </w:r>
          </w:p>
        </w:tc>
        <w:tc>
          <w:tcPr>
            <w:tcW w:w="340" w:type="dxa"/>
            <w:vAlign w:val="bottom"/>
            <w:shd w:val="clear" w:color="auto" w:fill="CFF0FC"/>
          </w:tcPr>
          <w:p>
            <w:pPr>
              <w:spacing w:after="0"/>
              <w:rPr>
                <w:sz w:val="23"/>
                <w:szCs w:val="23"/>
                <w:color w:val="auto"/>
              </w:rPr>
            </w:pPr>
          </w:p>
        </w:tc>
        <w:tc>
          <w:tcPr>
            <w:tcW w:w="11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4,724</w:t>
            </w:r>
          </w:p>
        </w:tc>
        <w:tc>
          <w:tcPr>
            <w:tcW w:w="12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3"/>
                <w:szCs w:val="23"/>
                <w:color w:val="auto"/>
              </w:rPr>
            </w:pPr>
          </w:p>
        </w:tc>
        <w:tc>
          <w:tcPr>
            <w:tcW w:w="136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4,724</w:t>
            </w:r>
          </w:p>
        </w:tc>
        <w:tc>
          <w:tcPr>
            <w:tcW w:w="10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280" w:type="dxa"/>
            <w:vAlign w:val="bottom"/>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Agency securities</w:t>
            </w:r>
            <w:r>
              <w:rPr>
                <w:rFonts w:ascii="Arial" w:cs="Arial" w:eastAsia="Arial" w:hAnsi="Arial"/>
                <w:sz w:val="23"/>
                <w:szCs w:val="23"/>
                <w:color w:val="auto"/>
                <w:vertAlign w:val="superscript"/>
              </w:rPr>
              <w:t>(2)</w:t>
            </w:r>
          </w:p>
        </w:tc>
        <w:tc>
          <w:tcPr>
            <w:tcW w:w="340" w:type="dxa"/>
            <w:vAlign w:val="bottom"/>
          </w:tcPr>
          <w:p>
            <w:pPr>
              <w:spacing w:after="0"/>
              <w:rPr>
                <w:sz w:val="23"/>
                <w:szCs w:val="23"/>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16,658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60" w:type="dxa"/>
            <w:vAlign w:val="bottom"/>
          </w:tcPr>
          <w:p>
            <w:pPr>
              <w:jc w:val="right"/>
              <w:ind w:right="75"/>
              <w:spacing w:after="0"/>
              <w:rPr>
                <w:sz w:val="20"/>
                <w:szCs w:val="20"/>
                <w:color w:val="auto"/>
              </w:rPr>
            </w:pPr>
            <w:r>
              <w:rPr>
                <w:rFonts w:ascii="Arial" w:cs="Arial" w:eastAsia="Arial" w:hAnsi="Arial"/>
                <w:sz w:val="18"/>
                <w:szCs w:val="18"/>
                <w:color w:val="auto"/>
              </w:rPr>
              <w:t>16,658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shd w:val="clear" w:color="auto" w:fill="CFF0FC"/>
          </w:tcPr>
          <w:p>
            <w:pPr>
              <w:spacing w:after="0"/>
              <w:rPr>
                <w:sz w:val="23"/>
                <w:szCs w:val="23"/>
                <w:color w:val="auto"/>
              </w:rPr>
            </w:pPr>
          </w:p>
        </w:tc>
        <w:tc>
          <w:tcPr>
            <w:tcW w:w="4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3"/>
                <w:szCs w:val="23"/>
                <w:color w:val="auto"/>
                <w:vertAlign w:val="superscript"/>
              </w:rPr>
              <w:t>(2)</w:t>
            </w:r>
          </w:p>
        </w:tc>
        <w:tc>
          <w:tcPr>
            <w:tcW w:w="340" w:type="dxa"/>
            <w:vAlign w:val="bottom"/>
            <w:shd w:val="clear" w:color="auto" w:fill="CFF0FC"/>
          </w:tcPr>
          <w:p>
            <w:pPr>
              <w:spacing w:after="0"/>
              <w:rPr>
                <w:sz w:val="23"/>
                <w:szCs w:val="23"/>
                <w:color w:val="auto"/>
              </w:rPr>
            </w:pPr>
          </w:p>
        </w:tc>
        <w:tc>
          <w:tcPr>
            <w:tcW w:w="11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46,186</w:t>
            </w:r>
          </w:p>
        </w:tc>
        <w:tc>
          <w:tcPr>
            <w:tcW w:w="12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3"/>
                <w:szCs w:val="23"/>
                <w:color w:val="auto"/>
              </w:rPr>
            </w:pPr>
          </w:p>
        </w:tc>
        <w:tc>
          <w:tcPr>
            <w:tcW w:w="136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46,186</w:t>
            </w:r>
          </w:p>
        </w:tc>
        <w:tc>
          <w:tcPr>
            <w:tcW w:w="10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280" w:type="dxa"/>
            <w:vAlign w:val="bottom"/>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At December 31, 2019</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3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FF0FC"/>
          </w:tcPr>
          <w:p>
            <w:pPr>
              <w:spacing w:after="0"/>
              <w:rPr>
                <w:sz w:val="23"/>
                <w:szCs w:val="23"/>
                <w:color w:val="auto"/>
              </w:rPr>
            </w:pPr>
          </w:p>
        </w:tc>
        <w:tc>
          <w:tcPr>
            <w:tcW w:w="4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162,928</w:t>
            </w:r>
          </w:p>
        </w:tc>
        <w:tc>
          <w:tcPr>
            <w:tcW w:w="120" w:type="dxa"/>
            <w:vAlign w:val="bottom"/>
            <w:shd w:val="clear" w:color="auto" w:fill="CFF0FC"/>
          </w:tcPr>
          <w:p>
            <w:pPr>
              <w:spacing w:after="0"/>
              <w:rPr>
                <w:sz w:val="23"/>
                <w:szCs w:val="23"/>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162,928</w:t>
            </w:r>
          </w:p>
        </w:tc>
        <w:tc>
          <w:tcPr>
            <w:tcW w:w="100" w:type="dxa"/>
            <w:vAlign w:val="bottom"/>
            <w:shd w:val="clear" w:color="auto" w:fill="CFF0FC"/>
          </w:tcPr>
          <w:p>
            <w:pPr>
              <w:spacing w:after="0"/>
              <w:rPr>
                <w:sz w:val="23"/>
                <w:szCs w:val="2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Mutual funds</w:t>
            </w:r>
            <w:r>
              <w:rPr>
                <w:rFonts w:ascii="Arial" w:cs="Arial" w:eastAsia="Arial" w:hAnsi="Arial"/>
                <w:sz w:val="23"/>
                <w:szCs w:val="23"/>
                <w:color w:val="auto"/>
                <w:vertAlign w:val="superscript"/>
              </w:rPr>
              <w:t>(1)</w:t>
            </w:r>
          </w:p>
        </w:tc>
        <w:tc>
          <w:tcPr>
            <w:tcW w:w="340" w:type="dxa"/>
            <w:vAlign w:val="bottom"/>
          </w:tcPr>
          <w:p>
            <w:pPr>
              <w:spacing w:after="0"/>
              <w:rPr>
                <w:sz w:val="23"/>
                <w:szCs w:val="23"/>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7,619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7,619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8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shd w:val="clear" w:color="auto" w:fill="CFF0FC"/>
          </w:tcPr>
          <w:p>
            <w:pPr>
              <w:spacing w:after="0"/>
              <w:rPr>
                <w:sz w:val="23"/>
                <w:szCs w:val="23"/>
                <w:color w:val="auto"/>
              </w:rPr>
            </w:pPr>
          </w:p>
        </w:tc>
        <w:tc>
          <w:tcPr>
            <w:tcW w:w="4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U.S. Treasury securities</w:t>
            </w:r>
            <w:r>
              <w:rPr>
                <w:rFonts w:ascii="Arial" w:cs="Arial" w:eastAsia="Arial" w:hAnsi="Arial"/>
                <w:sz w:val="23"/>
                <w:szCs w:val="23"/>
                <w:color w:val="auto"/>
                <w:vertAlign w:val="superscript"/>
              </w:rPr>
              <w:t>(2)</w:t>
            </w:r>
          </w:p>
        </w:tc>
        <w:tc>
          <w:tcPr>
            <w:tcW w:w="340" w:type="dxa"/>
            <w:vAlign w:val="bottom"/>
            <w:shd w:val="clear" w:color="auto" w:fill="CFF0FC"/>
          </w:tcPr>
          <w:p>
            <w:pPr>
              <w:spacing w:after="0"/>
              <w:rPr>
                <w:sz w:val="23"/>
                <w:szCs w:val="23"/>
                <w:color w:val="auto"/>
              </w:rPr>
            </w:pPr>
          </w:p>
        </w:tc>
        <w:tc>
          <w:tcPr>
            <w:tcW w:w="11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96,434</w:t>
            </w:r>
          </w:p>
        </w:tc>
        <w:tc>
          <w:tcPr>
            <w:tcW w:w="12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3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96,434</w:t>
            </w:r>
          </w:p>
        </w:tc>
        <w:tc>
          <w:tcPr>
            <w:tcW w:w="10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3"/>
                <w:szCs w:val="23"/>
                <w:color w:val="auto"/>
              </w:rPr>
            </w:pPr>
          </w:p>
        </w:tc>
        <w:tc>
          <w:tcPr>
            <w:tcW w:w="1280" w:type="dxa"/>
            <w:vAlign w:val="bottom"/>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Certificates of deposit</w:t>
            </w:r>
            <w:r>
              <w:rPr>
                <w:rFonts w:ascii="Arial" w:cs="Arial" w:eastAsia="Arial" w:hAnsi="Arial"/>
                <w:sz w:val="23"/>
                <w:szCs w:val="23"/>
                <w:color w:val="auto"/>
                <w:vertAlign w:val="superscript"/>
              </w:rPr>
              <w:t>(2)</w:t>
            </w:r>
          </w:p>
        </w:tc>
        <w:tc>
          <w:tcPr>
            <w:tcW w:w="340" w:type="dxa"/>
            <w:vAlign w:val="bottom"/>
          </w:tcPr>
          <w:p>
            <w:pPr>
              <w:spacing w:after="0"/>
              <w:rPr>
                <w:sz w:val="23"/>
                <w:szCs w:val="23"/>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5,428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60" w:type="dxa"/>
            <w:vAlign w:val="bottom"/>
          </w:tcPr>
          <w:p>
            <w:pPr>
              <w:jc w:val="right"/>
              <w:ind w:right="75"/>
              <w:spacing w:after="0"/>
              <w:rPr>
                <w:sz w:val="20"/>
                <w:szCs w:val="20"/>
                <w:color w:val="auto"/>
              </w:rPr>
            </w:pPr>
            <w:r>
              <w:rPr>
                <w:rFonts w:ascii="Arial" w:cs="Arial" w:eastAsia="Arial" w:hAnsi="Arial"/>
                <w:sz w:val="18"/>
                <w:szCs w:val="18"/>
                <w:color w:val="auto"/>
              </w:rPr>
              <w:t>5,428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shd w:val="clear" w:color="auto" w:fill="CFF0FC"/>
          </w:tcPr>
          <w:p>
            <w:pPr>
              <w:spacing w:after="0"/>
              <w:rPr>
                <w:sz w:val="23"/>
                <w:szCs w:val="23"/>
                <w:color w:val="auto"/>
              </w:rPr>
            </w:pPr>
          </w:p>
        </w:tc>
        <w:tc>
          <w:tcPr>
            <w:tcW w:w="4840" w:type="dxa"/>
            <w:vAlign w:val="bottom"/>
            <w:gridSpan w:val="3"/>
            <w:shd w:val="clear" w:color="auto" w:fill="CFF0FC"/>
          </w:tcPr>
          <w:p>
            <w:pPr>
              <w:ind w:left="40"/>
              <w:spacing w:after="0"/>
              <w:rPr>
                <w:sz w:val="20"/>
                <w:szCs w:val="20"/>
                <w:color w:val="auto"/>
              </w:rPr>
            </w:pPr>
            <w:r>
              <w:rPr>
                <w:rFonts w:ascii="Arial" w:cs="Arial" w:eastAsia="Arial" w:hAnsi="Arial"/>
                <w:sz w:val="18"/>
                <w:szCs w:val="18"/>
                <w:color w:val="auto"/>
              </w:rPr>
              <w:t>Agency securities</w:t>
            </w:r>
            <w:r>
              <w:rPr>
                <w:rFonts w:ascii="Arial" w:cs="Arial" w:eastAsia="Arial" w:hAnsi="Arial"/>
                <w:sz w:val="23"/>
                <w:szCs w:val="23"/>
                <w:color w:val="auto"/>
                <w:vertAlign w:val="superscript"/>
              </w:rPr>
              <w:t>(2)</w:t>
            </w:r>
          </w:p>
        </w:tc>
        <w:tc>
          <w:tcPr>
            <w:tcW w:w="340" w:type="dxa"/>
            <w:vAlign w:val="bottom"/>
            <w:shd w:val="clear" w:color="auto" w:fill="CFF0FC"/>
          </w:tcPr>
          <w:p>
            <w:pPr>
              <w:spacing w:after="0"/>
              <w:rPr>
                <w:sz w:val="23"/>
                <w:szCs w:val="23"/>
                <w:color w:val="auto"/>
              </w:rPr>
            </w:pPr>
          </w:p>
        </w:tc>
        <w:tc>
          <w:tcPr>
            <w:tcW w:w="11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33,623</w:t>
            </w:r>
          </w:p>
        </w:tc>
        <w:tc>
          <w:tcPr>
            <w:tcW w:w="12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3"/>
                <w:szCs w:val="23"/>
                <w:color w:val="auto"/>
              </w:rPr>
            </w:pPr>
          </w:p>
        </w:tc>
        <w:tc>
          <w:tcPr>
            <w:tcW w:w="136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33,623</w:t>
            </w:r>
          </w:p>
        </w:tc>
        <w:tc>
          <w:tcPr>
            <w:tcW w:w="10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280" w:type="dxa"/>
            <w:vAlign w:val="bottom"/>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3"/>
                <w:szCs w:val="23"/>
                <w:color w:val="auto"/>
                <w:vertAlign w:val="superscript"/>
              </w:rPr>
              <w:t>(2)</w:t>
            </w:r>
          </w:p>
        </w:tc>
        <w:tc>
          <w:tcPr>
            <w:tcW w:w="340" w:type="dxa"/>
            <w:vAlign w:val="bottom"/>
          </w:tcPr>
          <w:p>
            <w:pPr>
              <w:spacing w:after="0"/>
              <w:rPr>
                <w:sz w:val="24"/>
                <w:szCs w:val="24"/>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122,030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60" w:type="dxa"/>
            <w:vAlign w:val="bottom"/>
          </w:tcPr>
          <w:p>
            <w:pPr>
              <w:jc w:val="right"/>
              <w:ind w:right="75"/>
              <w:spacing w:after="0"/>
              <w:rPr>
                <w:sz w:val="20"/>
                <w:szCs w:val="20"/>
                <w:color w:val="auto"/>
              </w:rPr>
            </w:pPr>
            <w:r>
              <w:rPr>
                <w:rFonts w:ascii="Arial" w:cs="Arial" w:eastAsia="Arial" w:hAnsi="Arial"/>
                <w:sz w:val="18"/>
                <w:szCs w:val="18"/>
                <w:color w:val="auto"/>
              </w:rPr>
              <w:t>122,030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200" w:hanging="152"/>
        <w:spacing w:after="0"/>
        <w:tabs>
          <w:tab w:leader="none" w:pos="20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Included in cash and cash equivalents or restricted cash in the accompanying consolidated balance sheets.</w:t>
      </w:r>
    </w:p>
    <w:p>
      <w:pPr>
        <w:spacing w:after="0" w:line="52" w:lineRule="exact"/>
        <w:rPr>
          <w:rFonts w:ascii="Arial" w:cs="Arial" w:eastAsia="Arial" w:hAnsi="Arial"/>
          <w:sz w:val="18"/>
          <w:szCs w:val="18"/>
          <w:color w:val="auto"/>
          <w:vertAlign w:val="superscript"/>
        </w:rPr>
      </w:pPr>
    </w:p>
    <w:p>
      <w:pPr>
        <w:ind w:left="220" w:hanging="172"/>
        <w:spacing w:after="0" w:line="213" w:lineRule="auto"/>
        <w:tabs>
          <w:tab w:leader="none" w:pos="22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Included in short-term or long-term investments in the accompanying consolidated balance sheets depending on the respective maturity date.</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methods and assumptions were used to estimate the fair value of our financial instruments for which it is practicable to estimate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103" w:lineRule="exact"/>
        <w:rPr>
          <w:sz w:val="20"/>
          <w:szCs w:val="20"/>
          <w:color w:val="auto"/>
        </w:rPr>
      </w:pPr>
    </w:p>
    <w:p>
      <w:pPr>
        <w:jc w:val="both"/>
        <w:ind w:right="200" w:firstLine="445"/>
        <w:spacing w:after="0" w:line="263"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For fair values determined by Level 1 inputs, which utilize quoted prices in active markets for identical assets,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required to estimate fair value is relatively low. For fair values determined by Level 2 inputs, which utilize quoted prices in less active markets for similar assets, the level of judgment required to estimate fair value is also considered relatively low.</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our other financial instruments estimated as of June 30, 2020 and December 31, 2019 are presented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0"/>
              </w:rPr>
              <w:t>December 31, 2019</w:t>
            </w:r>
          </w:p>
        </w:tc>
        <w:tc>
          <w:tcPr>
            <w:tcW w:w="880" w:type="dxa"/>
            <w:vAlign w:val="bottom"/>
            <w:tcBorders>
              <w:bottom w:val="single" w:sz="8" w:color="auto"/>
            </w:tcBorders>
          </w:tcPr>
          <w:p>
            <w:pPr>
              <w:spacing w:after="0"/>
              <w:rPr>
                <w:sz w:val="16"/>
                <w:szCs w:val="16"/>
                <w:color w:val="auto"/>
              </w:rPr>
            </w:pPr>
          </w:p>
        </w:tc>
      </w:tr>
      <w:tr>
        <w:trPr>
          <w:trHeight w:val="166"/>
        </w:trPr>
        <w:tc>
          <w:tcPr>
            <w:tcW w:w="5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Carrying</w:t>
            </w:r>
          </w:p>
        </w:tc>
        <w:tc>
          <w:tcPr>
            <w:tcW w:w="420" w:type="dxa"/>
            <w:vAlign w:val="bottom"/>
          </w:tcPr>
          <w:p>
            <w:pPr>
              <w:spacing w:after="0"/>
              <w:rPr>
                <w:sz w:val="14"/>
                <w:szCs w:val="14"/>
                <w:color w:val="auto"/>
              </w:rPr>
            </w:pPr>
          </w:p>
        </w:tc>
        <w:tc>
          <w:tcPr>
            <w:tcW w:w="10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Carrying</w:t>
            </w:r>
          </w:p>
        </w:tc>
        <w:tc>
          <w:tcPr>
            <w:tcW w:w="520" w:type="dxa"/>
            <w:vAlign w:val="bottom"/>
          </w:tcPr>
          <w:p>
            <w:pPr>
              <w:spacing w:after="0"/>
              <w:rPr>
                <w:sz w:val="14"/>
                <w:szCs w:val="14"/>
                <w:color w:val="auto"/>
              </w:rPr>
            </w:pPr>
          </w:p>
        </w:tc>
        <w:tc>
          <w:tcPr>
            <w:tcW w:w="880" w:type="dxa"/>
            <w:vAlign w:val="bottom"/>
          </w:tcPr>
          <w:p>
            <w:pPr>
              <w:jc w:val="center"/>
              <w:ind w:right="422"/>
              <w:spacing w:after="0"/>
              <w:rPr>
                <w:sz w:val="20"/>
                <w:szCs w:val="20"/>
                <w:color w:val="auto"/>
              </w:rPr>
            </w:pPr>
            <w:r>
              <w:rPr>
                <w:rFonts w:ascii="Arial" w:cs="Arial" w:eastAsia="Arial" w:hAnsi="Arial"/>
                <w:sz w:val="14"/>
                <w:szCs w:val="14"/>
                <w:b w:val="1"/>
                <w:bCs w:val="1"/>
                <w:color w:val="auto"/>
              </w:rPr>
              <w:t>Fair</w:t>
            </w:r>
          </w:p>
        </w:tc>
      </w:tr>
      <w:tr>
        <w:trPr>
          <w:trHeight w:val="192"/>
        </w:trPr>
        <w:tc>
          <w:tcPr>
            <w:tcW w:w="524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FF0FC"/>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42"/>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FF0FC"/>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22"/>
              <w:spacing w:after="0"/>
              <w:rPr>
                <w:sz w:val="20"/>
                <w:szCs w:val="20"/>
                <w:color w:val="auto"/>
              </w:rPr>
            </w:pPr>
            <w:r>
              <w:rPr>
                <w:rFonts w:ascii="Arial" w:cs="Arial" w:eastAsia="Arial" w:hAnsi="Arial"/>
                <w:sz w:val="14"/>
                <w:szCs w:val="14"/>
                <w:b w:val="1"/>
                <w:bCs w:val="1"/>
                <w:color w:val="auto"/>
                <w:w w:val="90"/>
              </w:rPr>
              <w:t>Value</w:t>
            </w:r>
          </w:p>
        </w:tc>
      </w:tr>
      <w:tr>
        <w:trPr>
          <w:trHeight w:val="243"/>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payable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ind w:left="600"/>
              <w:spacing w:after="0"/>
              <w:rPr>
                <w:sz w:val="20"/>
                <w:szCs w:val="20"/>
                <w:color w:val="auto"/>
              </w:rPr>
            </w:pPr>
            <w:r>
              <w:rPr>
                <w:rFonts w:ascii="Arial" w:cs="Arial" w:eastAsia="Arial" w:hAnsi="Arial"/>
                <w:sz w:val="18"/>
                <w:szCs w:val="18"/>
                <w:color w:val="auto"/>
              </w:rPr>
              <w:t>1,375</w:t>
            </w:r>
          </w:p>
        </w:tc>
        <w:tc>
          <w:tcPr>
            <w:tcW w:w="10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ind w:right="82"/>
              <w:spacing w:after="0"/>
              <w:rPr>
                <w:sz w:val="20"/>
                <w:szCs w:val="20"/>
                <w:color w:val="auto"/>
              </w:rPr>
            </w:pPr>
            <w:r>
              <w:rPr>
                <w:rFonts w:ascii="Arial" w:cs="Arial" w:eastAsia="Arial" w:hAnsi="Arial"/>
                <w:sz w:val="18"/>
                <w:szCs w:val="18"/>
                <w:color w:val="auto"/>
              </w:rPr>
              <w:t>1,365</w:t>
            </w:r>
          </w:p>
        </w:tc>
      </w:tr>
      <w:tr>
        <w:trPr>
          <w:trHeight w:val="27"/>
        </w:trPr>
        <w:tc>
          <w:tcPr>
            <w:tcW w:w="524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1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1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2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methods and assumptions were used to estimate the fair value of our notes payable:</w:t>
      </w:r>
    </w:p>
    <w:p>
      <w:pPr>
        <w:spacing w:after="0" w:line="117" w:lineRule="exact"/>
        <w:rPr>
          <w:sz w:val="20"/>
          <w:szCs w:val="20"/>
          <w:color w:val="auto"/>
        </w:rPr>
      </w:pPr>
    </w:p>
    <w:p>
      <w:pPr>
        <w:ind w:firstLine="445"/>
        <w:spacing w:after="0" w:line="279" w:lineRule="auto"/>
        <w:rPr>
          <w:sz w:val="20"/>
          <w:szCs w:val="20"/>
          <w:color w:val="auto"/>
        </w:rPr>
      </w:pPr>
      <w:r>
        <w:rPr>
          <w:rFonts w:ascii="Arial" w:cs="Arial" w:eastAsia="Arial" w:hAnsi="Arial"/>
          <w:sz w:val="17"/>
          <w:szCs w:val="17"/>
          <w:i w:val="1"/>
          <w:iCs w:val="1"/>
          <w:color w:val="auto"/>
        </w:rPr>
        <w:t>Notes Payable</w:t>
      </w:r>
      <w:r>
        <w:rPr>
          <w:rFonts w:ascii="Arial" w:cs="Arial" w:eastAsia="Arial" w:hAnsi="Arial"/>
          <w:sz w:val="17"/>
          <w:szCs w:val="17"/>
          <w:color w:val="auto"/>
        </w:rPr>
        <w:t>—We use the income approach to value the aforementioned debt instrument. We use a present value calculation to discount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and interest payments and the final maturity payment on these liabilities using a discounted cash flow model based on observable inputs. We discount these debt instruments based on what the current market rates would offer us as of the reporting date. Based on the assumptions used to value these liabilities at fair value, these debt instruments are categorized as Level 2 in the fair value hierarchy.</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14" w:name="page15"/>
    <w:bookmarkEnd w:id="14"/>
    <w:p>
      <w:pPr>
        <w:spacing w:after="0" w:line="198" w:lineRule="exact"/>
        <w:rPr>
          <w:sz w:val="20"/>
          <w:szCs w:val="20"/>
          <w:color w:val="auto"/>
        </w:rPr>
      </w:pPr>
    </w:p>
    <w:p>
      <w:pPr>
        <w:ind w:right="720" w:firstLine="528"/>
        <w:spacing w:after="0" w:line="277" w:lineRule="auto"/>
        <w:rPr>
          <w:sz w:val="20"/>
          <w:szCs w:val="20"/>
          <w:color w:val="auto"/>
        </w:rPr>
      </w:pPr>
      <w:r>
        <w:rPr>
          <w:rFonts w:ascii="Arial" w:cs="Arial" w:eastAsia="Arial" w:hAnsi="Arial"/>
          <w:sz w:val="18"/>
          <w:szCs w:val="18"/>
          <w:color w:val="auto"/>
        </w:rPr>
        <w:t>The carrying amounts of certain of our financial instruments, including cash and cash equivalents, accounts payable, and accrued expenses approximate fair value due to their short-term nature.</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Available for Sale Investments</w:t>
      </w:r>
    </w:p>
    <w:p>
      <w:pPr>
        <w:spacing w:after="0" w:line="117" w:lineRule="exact"/>
        <w:rPr>
          <w:sz w:val="20"/>
          <w:szCs w:val="20"/>
          <w:color w:val="auto"/>
        </w:rPr>
      </w:pPr>
    </w:p>
    <w:p>
      <w:pPr>
        <w:ind w:right="300" w:firstLine="486"/>
        <w:spacing w:after="0" w:line="259" w:lineRule="auto"/>
        <w:rPr>
          <w:sz w:val="20"/>
          <w:szCs w:val="20"/>
          <w:color w:val="auto"/>
        </w:rPr>
      </w:pPr>
      <w:r>
        <w:rPr>
          <w:rFonts w:ascii="Arial" w:cs="Arial" w:eastAsia="Arial" w:hAnsi="Arial"/>
          <w:sz w:val="18"/>
          <w:szCs w:val="18"/>
          <w:color w:val="auto"/>
        </w:rPr>
        <w:t>We invest our excess cash in agency securities, debt instruments of financial institutions and corporations, commercial obligations, and U.S. Treasury securities, which we classify as available-for-sale investments. These investments are carried at fair value and are included in the tables above. The aggregate market value, cost basis, and gross unrealized gains and losses of available-for-sale investments by security type, classified in cash equivalents, short-term and long-term investments as of June 30, 2020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4"/>
                <w:szCs w:val="14"/>
                <w:color w:val="auto"/>
              </w:rPr>
            </w:pPr>
          </w:p>
        </w:tc>
        <w:tc>
          <w:tcPr>
            <w:tcW w:w="1400" w:type="dxa"/>
            <w:vAlign w:val="bottom"/>
            <w:gridSpan w:val="2"/>
          </w:tcPr>
          <w:p>
            <w:pPr>
              <w:ind w:left="400"/>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4"/>
                <w:szCs w:val="14"/>
                <w:color w:val="auto"/>
              </w:rPr>
            </w:pPr>
          </w:p>
        </w:tc>
        <w:tc>
          <w:tcPr>
            <w:tcW w:w="1180" w:type="dxa"/>
            <w:vAlign w:val="bottom"/>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Unrealized Gains</w:t>
            </w:r>
          </w:p>
        </w:tc>
        <w:tc>
          <w:tcPr>
            <w:tcW w:w="12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Losses</w:t>
            </w:r>
          </w:p>
        </w:tc>
        <w:tc>
          <w:tcPr>
            <w:tcW w:w="240" w:type="dxa"/>
            <w:vAlign w:val="bottom"/>
          </w:tcPr>
          <w:p>
            <w:pPr>
              <w:spacing w:after="0"/>
              <w:rPr>
                <w:sz w:val="16"/>
                <w:szCs w:val="16"/>
                <w:color w:val="auto"/>
              </w:rPr>
            </w:pPr>
          </w:p>
        </w:tc>
        <w:tc>
          <w:tcPr>
            <w:tcW w:w="1180" w:type="dxa"/>
            <w:vAlign w:val="bottom"/>
          </w:tcPr>
          <w:p>
            <w:pPr>
              <w:jc w:val="right"/>
              <w:ind w:right="29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70"/>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Agency securities</w:t>
            </w:r>
            <w:r>
              <w:rPr>
                <w:rFonts w:ascii="Arial" w:cs="Arial" w:eastAsia="Arial" w:hAnsi="Arial"/>
                <w:sz w:val="23"/>
                <w:szCs w:val="23"/>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16,607</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52</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16,658</w:t>
            </w:r>
          </w:p>
        </w:tc>
        <w:tc>
          <w:tcPr>
            <w:tcW w:w="0" w:type="dxa"/>
            <w:vAlign w:val="bottom"/>
          </w:tcPr>
          <w:p>
            <w:pPr>
              <w:spacing w:after="0"/>
              <w:rPr>
                <w:sz w:val="1"/>
                <w:szCs w:val="1"/>
                <w:color w:val="auto"/>
              </w:rPr>
            </w:pPr>
          </w:p>
        </w:tc>
      </w:tr>
      <w:tr>
        <w:trPr>
          <w:trHeight w:val="270"/>
        </w:trPr>
        <w:tc>
          <w:tcPr>
            <w:tcW w:w="5240" w:type="dxa"/>
            <w:vAlign w:val="bottom"/>
          </w:tcPr>
          <w:p>
            <w:pPr>
              <w:ind w:left="20"/>
              <w:spacing w:after="0"/>
              <w:rPr>
                <w:sz w:val="20"/>
                <w:szCs w:val="20"/>
                <w:color w:val="auto"/>
              </w:rPr>
            </w:pPr>
            <w:r>
              <w:rPr>
                <w:rFonts w:ascii="Arial" w:cs="Arial" w:eastAsia="Arial" w:hAnsi="Arial"/>
                <w:sz w:val="18"/>
                <w:szCs w:val="18"/>
                <w:color w:val="auto"/>
              </w:rPr>
              <w:t>Certificates of deposit</w:t>
            </w:r>
            <w:r>
              <w:rPr>
                <w:rFonts w:ascii="Arial" w:cs="Arial" w:eastAsia="Arial" w:hAnsi="Arial"/>
                <w:sz w:val="23"/>
                <w:szCs w:val="23"/>
                <w:color w:val="auto"/>
                <w:vertAlign w:val="superscript"/>
              </w:rPr>
              <w:t>(2)</w:t>
            </w:r>
          </w:p>
        </w:tc>
        <w:tc>
          <w:tcPr>
            <w:tcW w:w="260" w:type="dxa"/>
            <w:vAlign w:val="bottom"/>
          </w:tcPr>
          <w:p>
            <w:pPr>
              <w:spacing w:after="0"/>
              <w:rPr>
                <w:sz w:val="23"/>
                <w:szCs w:val="23"/>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4,683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4,724</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45,961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46,186</w:t>
            </w:r>
          </w:p>
        </w:tc>
        <w:tc>
          <w:tcPr>
            <w:tcW w:w="0" w:type="dxa"/>
            <w:vAlign w:val="bottom"/>
          </w:tcPr>
          <w:p>
            <w:pPr>
              <w:spacing w:after="0"/>
              <w:rPr>
                <w:sz w:val="1"/>
                <w:szCs w:val="1"/>
                <w:color w:val="auto"/>
              </w:rPr>
            </w:pPr>
          </w:p>
        </w:tc>
      </w:tr>
      <w:tr>
        <w:trPr>
          <w:trHeight w:val="270"/>
        </w:trPr>
        <w:tc>
          <w:tcPr>
            <w:tcW w:w="5240" w:type="dxa"/>
            <w:vAlign w:val="bottom"/>
          </w:tcPr>
          <w:p>
            <w:pPr>
              <w:ind w:left="20"/>
              <w:spacing w:after="0"/>
              <w:rPr>
                <w:sz w:val="20"/>
                <w:szCs w:val="20"/>
                <w:color w:val="auto"/>
              </w:rPr>
            </w:pPr>
            <w:r>
              <w:rPr>
                <w:rFonts w:ascii="Arial" w:cs="Arial" w:eastAsia="Arial" w:hAnsi="Arial"/>
                <w:sz w:val="18"/>
                <w:szCs w:val="18"/>
                <w:color w:val="auto"/>
              </w:rPr>
              <w:t>U.S. Treasury securities</w:t>
            </w:r>
            <w:r>
              <w:rPr>
                <w:rFonts w:ascii="Arial" w:cs="Arial" w:eastAsia="Arial" w:hAnsi="Arial"/>
                <w:sz w:val="23"/>
                <w:szCs w:val="23"/>
                <w:color w:val="auto"/>
                <w:vertAlign w:val="superscript"/>
              </w:rPr>
              <w:t>(4)</w:t>
            </w:r>
          </w:p>
        </w:tc>
        <w:tc>
          <w:tcPr>
            <w:tcW w:w="260" w:type="dxa"/>
            <w:vAlign w:val="bottom"/>
          </w:tcPr>
          <w:p>
            <w:pPr>
              <w:spacing w:after="0"/>
              <w:rPr>
                <w:sz w:val="23"/>
                <w:szCs w:val="23"/>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102,816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103,459</w:t>
            </w:r>
          </w:p>
        </w:tc>
        <w:tc>
          <w:tcPr>
            <w:tcW w:w="0" w:type="dxa"/>
            <w:vAlign w:val="bottom"/>
          </w:tcPr>
          <w:p>
            <w:pPr>
              <w:spacing w:after="0"/>
              <w:rPr>
                <w:sz w:val="1"/>
                <w:szCs w:val="1"/>
                <w:color w:val="auto"/>
              </w:rPr>
            </w:pPr>
          </w:p>
        </w:tc>
      </w:tr>
      <w:tr>
        <w:trPr>
          <w:trHeight w:val="289"/>
        </w:trPr>
        <w:tc>
          <w:tcPr>
            <w:tcW w:w="52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available-for-sale investments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170,067</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961</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171,027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-33655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-33655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42945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29450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-213995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-213995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-385445</wp:posOffset>
            </wp:positionV>
            <wp:extent cx="4294505"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94505" cy="18034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-908050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-908050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-908050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7" w:lineRule="exact"/>
        <w:rPr>
          <w:sz w:val="20"/>
          <w:szCs w:val="20"/>
          <w:color w:val="auto"/>
        </w:rPr>
      </w:pPr>
    </w:p>
    <w:p>
      <w:pPr>
        <w:ind w:left="460" w:right="280" w:hanging="412"/>
        <w:spacing w:after="0" w:line="281" w:lineRule="auto"/>
        <w:tabs>
          <w:tab w:leader="none" w:pos="216" w:val="left"/>
        </w:tabs>
        <w:numPr>
          <w:ilvl w:val="0"/>
          <w:numId w:val="7"/>
        </w:numPr>
        <w:rPr>
          <w:rFonts w:ascii="Arial" w:cs="Arial" w:eastAsia="Arial" w:hAnsi="Arial"/>
          <w:sz w:val="20"/>
          <w:szCs w:val="20"/>
          <w:color w:val="auto"/>
          <w:vertAlign w:val="superscript"/>
        </w:rPr>
      </w:pPr>
      <w:r>
        <w:rPr>
          <w:rFonts w:ascii="Arial" w:cs="Arial" w:eastAsia="Arial" w:hAnsi="Arial"/>
          <w:sz w:val="16"/>
          <w:szCs w:val="16"/>
          <w:color w:val="auto"/>
        </w:rPr>
        <w:t>Of our outstanding agency securities, $10.1 million have maturity dates of less than one year and $6.5 million have a maturity date of between one to two years as of June 30, 2020.</w:t>
      </w:r>
    </w:p>
    <w:p>
      <w:pPr>
        <w:ind w:left="220" w:hanging="172"/>
        <w:spacing w:after="0"/>
        <w:tabs>
          <w:tab w:leader="none" w:pos="22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All of our outstanding certificates of deposit have a maturity date of less than one year as of June 30, 2020.</w:t>
      </w:r>
    </w:p>
    <w:p>
      <w:pPr>
        <w:spacing w:after="0" w:line="55" w:lineRule="exact"/>
        <w:rPr>
          <w:rFonts w:ascii="Arial" w:cs="Arial" w:eastAsia="Arial" w:hAnsi="Arial"/>
          <w:sz w:val="21"/>
          <w:szCs w:val="21"/>
          <w:color w:val="auto"/>
          <w:vertAlign w:val="superscript"/>
        </w:rPr>
      </w:pPr>
    </w:p>
    <w:p>
      <w:pPr>
        <w:ind w:left="220" w:hanging="172"/>
        <w:spacing w:after="0" w:line="213" w:lineRule="auto"/>
        <w:tabs>
          <w:tab w:leader="none" w:pos="22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All of our outstanding commercial and corporate obligations have maturity dates of less than one year as of June 30, 2020.</w:t>
      </w:r>
    </w:p>
    <w:p>
      <w:pPr>
        <w:spacing w:after="0" w:line="55" w:lineRule="exact"/>
        <w:rPr>
          <w:rFonts w:ascii="Arial" w:cs="Arial" w:eastAsia="Arial" w:hAnsi="Arial"/>
          <w:sz w:val="21"/>
          <w:szCs w:val="21"/>
          <w:color w:val="auto"/>
          <w:vertAlign w:val="superscript"/>
        </w:rPr>
      </w:pPr>
    </w:p>
    <w:p>
      <w:pPr>
        <w:ind w:left="460" w:right="280" w:hanging="412"/>
        <w:spacing w:after="0" w:line="261" w:lineRule="auto"/>
        <w:tabs>
          <w:tab w:leader="none" w:pos="216" w:val="left"/>
        </w:tabs>
        <w:numPr>
          <w:ilvl w:val="0"/>
          <w:numId w:val="7"/>
        </w:numPr>
        <w:rPr>
          <w:rFonts w:ascii="Arial" w:cs="Arial" w:eastAsia="Arial" w:hAnsi="Arial"/>
          <w:sz w:val="20"/>
          <w:szCs w:val="20"/>
          <w:color w:val="auto"/>
          <w:vertAlign w:val="superscript"/>
        </w:rPr>
      </w:pPr>
      <w:r>
        <w:rPr>
          <w:rFonts w:ascii="Arial" w:cs="Arial" w:eastAsia="Arial" w:hAnsi="Arial"/>
          <w:sz w:val="16"/>
          <w:szCs w:val="16"/>
          <w:color w:val="auto"/>
        </w:rPr>
        <w:t>Of our outstanding U.S. Treasury securities, $95.7 million have maturity dates of less than one year and $7.8 million have a maturity date of between one to two years as of June 30, 2020.</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tables present gross unrealized losses and fair values for those investments that were in an unrealized loss position as of June 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2020 and December 31, 2019, aggregated by investment category and the length of time that individual securities have been in a continuous loss position:</w:t>
      </w:r>
    </w:p>
    <w:p>
      <w:pPr>
        <w:spacing w:after="0" w:line="374"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June 30, 2020</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Less than 12 Months</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12 Months or Greater</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w w:val="95"/>
              </w:rPr>
              <w:t>Total</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04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2"/>
                <w:szCs w:val="12"/>
                <w:color w:val="auto"/>
              </w:rPr>
            </w:pPr>
          </w:p>
        </w:tc>
        <w:tc>
          <w:tcPr>
            <w:tcW w:w="860" w:type="dxa"/>
            <w:vAlign w:val="bottom"/>
          </w:tcPr>
          <w:p>
            <w:pPr>
              <w:jc w:val="center"/>
              <w:ind w:left="300"/>
              <w:spacing w:after="0" w:line="148" w:lineRule="exact"/>
              <w:rPr>
                <w:sz w:val="20"/>
                <w:szCs w:val="20"/>
                <w:color w:val="auto"/>
              </w:rPr>
            </w:pPr>
            <w:r>
              <w:rPr>
                <w:rFonts w:ascii="Arial" w:cs="Arial" w:eastAsia="Arial" w:hAnsi="Arial"/>
                <w:sz w:val="14"/>
                <w:szCs w:val="14"/>
                <w:b w:val="1"/>
                <w:bCs w:val="1"/>
                <w:color w:val="auto"/>
                <w:w w:val="88"/>
              </w:rPr>
              <w:t>Gross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2"/>
                <w:szCs w:val="12"/>
                <w:color w:val="auto"/>
              </w:rPr>
            </w:pPr>
          </w:p>
        </w:tc>
        <w:tc>
          <w:tcPr>
            <w:tcW w:w="860" w:type="dxa"/>
            <w:vAlign w:val="bottom"/>
          </w:tcPr>
          <w:p>
            <w:pPr>
              <w:jc w:val="center"/>
              <w:ind w:left="300"/>
              <w:spacing w:after="0" w:line="148" w:lineRule="exact"/>
              <w:rPr>
                <w:sz w:val="20"/>
                <w:szCs w:val="20"/>
                <w:color w:val="auto"/>
              </w:rPr>
            </w:pPr>
            <w:r>
              <w:rPr>
                <w:rFonts w:ascii="Arial" w:cs="Arial" w:eastAsia="Arial" w:hAnsi="Arial"/>
                <w:sz w:val="14"/>
                <w:szCs w:val="14"/>
                <w:b w:val="1"/>
                <w:bCs w:val="1"/>
                <w:color w:val="auto"/>
                <w:w w:val="88"/>
              </w:rPr>
              <w:t>Gross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center"/>
              <w:ind w:right="216"/>
              <w:spacing w:after="0" w:line="148"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88"/>
        </w:trPr>
        <w:tc>
          <w:tcPr>
            <w:tcW w:w="29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Unrealized Losses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Unrealized Losses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Unrealized Losses</w:t>
            </w:r>
          </w:p>
        </w:tc>
        <w:tc>
          <w:tcPr>
            <w:tcW w:w="0" w:type="dxa"/>
            <w:vAlign w:val="bottom"/>
          </w:tcPr>
          <w:p>
            <w:pPr>
              <w:spacing w:after="0"/>
              <w:rPr>
                <w:sz w:val="1"/>
                <w:szCs w:val="1"/>
                <w:color w:val="auto"/>
              </w:rPr>
            </w:pPr>
          </w:p>
        </w:tc>
      </w:tr>
      <w:tr>
        <w:trPr>
          <w:trHeight w:val="245"/>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Agency securities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3,630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8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66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52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534"/>
        </w:trPr>
        <w:tc>
          <w:tcPr>
            <w:tcW w:w="29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December 31, 2019</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Less than 12 Months</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12 Months or Greater</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w w:val="95"/>
              </w:rPr>
              <w:t>Total</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1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Fair Value</w:t>
            </w:r>
          </w:p>
        </w:tc>
        <w:tc>
          <w:tcPr>
            <w:tcW w:w="860" w:type="dxa"/>
            <w:vAlign w:val="bottom"/>
          </w:tcPr>
          <w:p>
            <w:pPr>
              <w:jc w:val="center"/>
              <w:ind w:left="300"/>
              <w:spacing w:after="0" w:line="148" w:lineRule="exact"/>
              <w:rPr>
                <w:sz w:val="20"/>
                <w:szCs w:val="20"/>
                <w:color w:val="auto"/>
              </w:rPr>
            </w:pPr>
            <w:r>
              <w:rPr>
                <w:rFonts w:ascii="Arial" w:cs="Arial" w:eastAsia="Arial" w:hAnsi="Arial"/>
                <w:sz w:val="14"/>
                <w:szCs w:val="14"/>
                <w:b w:val="1"/>
                <w:bCs w:val="1"/>
                <w:color w:val="auto"/>
                <w:w w:val="88"/>
              </w:rPr>
              <w:t>Gross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860" w:type="dxa"/>
            <w:vAlign w:val="bottom"/>
          </w:tcPr>
          <w:p>
            <w:pPr>
              <w:jc w:val="center"/>
              <w:ind w:left="300"/>
              <w:spacing w:after="0" w:line="148" w:lineRule="exact"/>
              <w:rPr>
                <w:sz w:val="20"/>
                <w:szCs w:val="20"/>
                <w:color w:val="auto"/>
              </w:rPr>
            </w:pPr>
            <w:r>
              <w:rPr>
                <w:rFonts w:ascii="Arial" w:cs="Arial" w:eastAsia="Arial" w:hAnsi="Arial"/>
                <w:sz w:val="14"/>
                <w:szCs w:val="14"/>
                <w:b w:val="1"/>
                <w:bCs w:val="1"/>
                <w:color w:val="auto"/>
                <w:w w:val="88"/>
              </w:rPr>
              <w:t>Gross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center"/>
              <w:ind w:right="216"/>
              <w:spacing w:after="0" w:line="148"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88"/>
        </w:trPr>
        <w:tc>
          <w:tcPr>
            <w:tcW w:w="29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Unrealized Losses</w:t>
            </w:r>
          </w:p>
        </w:tc>
        <w:tc>
          <w:tcPr>
            <w:tcW w:w="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Unrealized Losses</w:t>
            </w: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Unrealized Losses</w:t>
            </w:r>
          </w:p>
        </w:tc>
        <w:tc>
          <w:tcPr>
            <w:tcW w:w="0" w:type="dxa"/>
            <w:vAlign w:val="bottom"/>
          </w:tcPr>
          <w:p>
            <w:pPr>
              <w:spacing w:after="0"/>
              <w:rPr>
                <w:sz w:val="1"/>
                <w:szCs w:val="1"/>
                <w:color w:val="auto"/>
              </w:rPr>
            </w:pPr>
          </w:p>
        </w:tc>
      </w:tr>
      <w:tr>
        <w:trPr>
          <w:trHeight w:val="251"/>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Commercial and corporate obligations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5,986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8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66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5,986</w:t>
            </w:r>
          </w:p>
        </w:tc>
        <w:tc>
          <w:tcPr>
            <w:tcW w:w="52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21"/>
                <w:szCs w:val="21"/>
                <w:color w:val="auto"/>
              </w:rPr>
            </w:pPr>
          </w:p>
        </w:tc>
        <w:tc>
          <w:tcPr>
            <w:tcW w:w="1040" w:type="dxa"/>
            <w:vAlign w:val="bottom"/>
          </w:tcPr>
          <w:p>
            <w:pPr>
              <w:jc w:val="right"/>
              <w:ind w:right="79"/>
              <w:spacing w:after="0"/>
              <w:rPr>
                <w:sz w:val="20"/>
                <w:szCs w:val="20"/>
                <w:color w:val="auto"/>
              </w:rPr>
            </w:pPr>
            <w:r>
              <w:rPr>
                <w:rFonts w:ascii="Arial" w:cs="Arial" w:eastAsia="Arial" w:hAnsi="Arial"/>
                <w:sz w:val="18"/>
                <w:szCs w:val="18"/>
                <w:color w:val="auto"/>
              </w:rPr>
              <w:t>17,608</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17,608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23,594</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66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23,594</w:t>
            </w:r>
          </w:p>
        </w:tc>
        <w:tc>
          <w:tcPr>
            <w:tcW w:w="52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Common Stock</w:t>
      </w:r>
    </w:p>
    <w:p>
      <w:pPr>
        <w:spacing w:after="0" w:line="23" w:lineRule="exact"/>
        <w:rPr>
          <w:sz w:val="20"/>
          <w:szCs w:val="20"/>
          <w:color w:val="auto"/>
        </w:rPr>
      </w:pPr>
    </w:p>
    <w:p>
      <w:pPr>
        <w:ind w:right="240"/>
        <w:spacing w:after="0" w:line="290" w:lineRule="auto"/>
        <w:rPr>
          <w:sz w:val="20"/>
          <w:szCs w:val="20"/>
          <w:color w:val="auto"/>
        </w:rPr>
      </w:pPr>
      <w:r>
        <w:rPr>
          <w:rFonts w:ascii="Arial" w:cs="Arial" w:eastAsia="Arial" w:hAnsi="Arial"/>
          <w:sz w:val="17"/>
          <w:szCs w:val="17"/>
          <w:color w:val="auto"/>
        </w:rPr>
        <w:t>Of the 500,000,000 shares of common stock authorized, 27,287,338 shares were issued and outstanding as of June 30, 2020. Common stock reserved for future issuance upon the exercise, issuance or conversion of the respective equity instruments at June 30, 2020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1517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Issued and Outstanding:</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40" w:type="dxa"/>
            <w:vAlign w:val="bottom"/>
          </w:tcPr>
          <w:p>
            <w:pPr>
              <w:ind w:left="260"/>
              <w:spacing w:after="0"/>
              <w:rPr>
                <w:sz w:val="20"/>
                <w:szCs w:val="20"/>
                <w:color w:val="auto"/>
              </w:rPr>
            </w:pPr>
            <w:r>
              <w:rPr>
                <w:rFonts w:ascii="Arial" w:cs="Arial" w:eastAsia="Arial" w:hAnsi="Arial"/>
                <w:sz w:val="18"/>
                <w:szCs w:val="18"/>
                <w:color w:val="auto"/>
              </w:rPr>
              <w:t>Stock options</w:t>
            </w: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2,697,996</w:t>
            </w:r>
          </w:p>
        </w:tc>
      </w:tr>
      <w:tr>
        <w:trPr>
          <w:trHeight w:val="27"/>
        </w:trPr>
        <w:tc>
          <w:tcPr>
            <w:tcW w:w="96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Reserved For:</w:t>
            </w: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9640" w:type="dxa"/>
            <w:vAlign w:val="bottom"/>
          </w:tcPr>
          <w:p>
            <w:pPr>
              <w:ind w:left="260"/>
              <w:spacing w:after="0"/>
              <w:rPr>
                <w:sz w:val="20"/>
                <w:szCs w:val="20"/>
                <w:color w:val="auto"/>
              </w:rPr>
            </w:pPr>
            <w:r>
              <w:rPr>
                <w:rFonts w:ascii="Arial" w:cs="Arial" w:eastAsia="Arial" w:hAnsi="Arial"/>
                <w:sz w:val="18"/>
                <w:szCs w:val="18"/>
                <w:color w:val="auto"/>
              </w:rPr>
              <w:t>2017 Equity Incentive Plan</w:t>
            </w: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3,277,042</w:t>
            </w:r>
          </w:p>
        </w:tc>
      </w:tr>
      <w:tr>
        <w:trPr>
          <w:trHeight w:val="27"/>
        </w:trPr>
        <w:tc>
          <w:tcPr>
            <w:tcW w:w="96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9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2017 Employee Stock Purchase Plan</w:t>
            </w: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997,682</w:t>
            </w:r>
          </w:p>
        </w:tc>
      </w:tr>
      <w:tr>
        <w:trPr>
          <w:trHeight w:val="237"/>
        </w:trPr>
        <w:tc>
          <w:tcPr>
            <w:tcW w:w="9640" w:type="dxa"/>
            <w:vAlign w:val="bottom"/>
          </w:tcPr>
          <w:p>
            <w:pPr>
              <w:ind w:left="20"/>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6,972,720</w:t>
            </w:r>
          </w:p>
        </w:tc>
      </w:tr>
      <w:tr>
        <w:trPr>
          <w:trHeight w:val="27"/>
        </w:trPr>
        <w:tc>
          <w:tcPr>
            <w:tcW w:w="96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
        </w:trPr>
        <w:tc>
          <w:tcPr>
            <w:tcW w:w="96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Incentive Plans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2017 Equity Incentive Plan</w:t>
      </w:r>
    </w:p>
    <w:p>
      <w:pPr>
        <w:spacing w:after="0" w:line="117"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color w:val="auto"/>
        </w:rPr>
        <w:t>On January 12, 2017, our board of directors and stockholders approved and adopted the 2017 Equity Incentive Plan (the “2017 Plan”). The 2017 Plan became effective upon the execution and delivery of the underwriting agreement for our initial public offering on January 26, 2017, and replaced our existing 2006 Equity Incentive Plan. Under the 2017 Plan we may grant stock options, stock appreciation rights, restricted stock, restricted stock units and other awards to individuals who are then our employees, officers, directors or consultants. In addition, the number of shares of stock available for issuance under the 2017 Plan will be automatically increased each January 1, beginning on January 1, 2018, by 4% of the aggregate number of outstanding shares of our common stock as of the immediately preceding December 31 or such lesser number as determined by our board of directors. The 2017 Plan automatically increased by 1,090,203 shares as of January 1, 2020.</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On January 12, 2017, our board of directors and stockholders approved and adopted the 2017 Employee Stock Purchase Plan or the ESPP. The ESPP became effective upon the execution and delivery of the underwriting agreement for our initial public offering on January 26, 2017.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 The ESPP automatically increased by 272,550 shares as of January 1, 2020.</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120" w:firstLine="445"/>
        <w:spacing w:after="0" w:line="286" w:lineRule="auto"/>
        <w:rPr>
          <w:sz w:val="20"/>
          <w:szCs w:val="20"/>
          <w:color w:val="auto"/>
        </w:rPr>
      </w:pPr>
      <w:r>
        <w:rPr>
          <w:rFonts w:ascii="Arial" w:cs="Arial" w:eastAsia="Arial" w:hAnsi="Arial"/>
          <w:sz w:val="17"/>
          <w:szCs w:val="17"/>
          <w:color w:val="auto"/>
        </w:rPr>
        <w:t>Stock options granted to employees and non-employees generally vest over a four-year period while stock options granted to directors vest over a one year period. Each have a maximum term of ten years from the date of grant, subject to earlier cancellation prior to vesting upon cessation of service to us. A summary of the activity related to stock option awards during the six months ended June 30, 2020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Weighted-Average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center"/>
              <w:ind w:right="182"/>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58"/>
        </w:trPr>
        <w:tc>
          <w:tcPr>
            <w:tcW w:w="4800" w:type="dxa"/>
            <w:vAlign w:val="bottom"/>
          </w:tcPr>
          <w:p>
            <w:pPr>
              <w:spacing w:after="0"/>
              <w:rPr>
                <w:sz w:val="13"/>
                <w:szCs w:val="13"/>
                <w:color w:val="auto"/>
              </w:rPr>
            </w:pP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Subject to</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3"/>
              </w:rPr>
              <w:t>Price per</w:t>
            </w:r>
          </w:p>
        </w:tc>
        <w:tc>
          <w:tcPr>
            <w:tcW w:w="1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82"/>
              <w:spacing w:after="0" w:line="158" w:lineRule="exact"/>
              <w:rPr>
                <w:sz w:val="20"/>
                <w:szCs w:val="20"/>
                <w:color w:val="auto"/>
              </w:rPr>
            </w:pPr>
            <w:r>
              <w:rPr>
                <w:rFonts w:ascii="Arial" w:cs="Arial" w:eastAsia="Arial" w:hAnsi="Arial"/>
                <w:sz w:val="14"/>
                <w:szCs w:val="14"/>
                <w:b w:val="1"/>
                <w:bCs w:val="1"/>
                <w:color w:val="auto"/>
                <w:w w:val="95"/>
              </w:rPr>
              <w:t>Value (in</w:t>
            </w:r>
          </w:p>
        </w:tc>
        <w:tc>
          <w:tcPr>
            <w:tcW w:w="0" w:type="dxa"/>
            <w:vAlign w:val="bottom"/>
          </w:tcPr>
          <w:p>
            <w:pPr>
              <w:spacing w:after="0"/>
              <w:rPr>
                <w:sz w:val="1"/>
                <w:szCs w:val="1"/>
                <w:color w:val="auto"/>
              </w:rPr>
            </w:pPr>
          </w:p>
        </w:tc>
      </w:tr>
      <w:tr>
        <w:trPr>
          <w:trHeight w:val="197"/>
        </w:trPr>
        <w:tc>
          <w:tcPr>
            <w:tcW w:w="4800" w:type="dxa"/>
            <w:vAlign w:val="bottom"/>
            <w:tcBorders>
              <w:bottom w:val="single" w:sz="8" w:color="CFF0FC"/>
            </w:tcBorders>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Share</w:t>
            </w:r>
          </w:p>
        </w:tc>
        <w:tc>
          <w:tcPr>
            <w:tcW w:w="120" w:type="dxa"/>
            <w:vAlign w:val="bottom"/>
            <w:tcBorders>
              <w:bottom w:val="single" w:sz="8" w:color="CFF0FC"/>
            </w:tcBorders>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49"/>
        </w:trPr>
        <w:tc>
          <w:tcPr>
            <w:tcW w:w="4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January 1, 2020</w:t>
            </w:r>
          </w:p>
        </w:tc>
        <w:tc>
          <w:tcPr>
            <w:tcW w:w="1520" w:type="dxa"/>
            <w:vAlign w:val="bottom"/>
            <w:tcBorders>
              <w:bottom w:val="single" w:sz="8" w:color="CFF0FC"/>
            </w:tcBorders>
            <w:shd w:val="clear" w:color="auto" w:fill="CFF0FC"/>
          </w:tcPr>
          <w:p>
            <w:pPr>
              <w:jc w:val="right"/>
              <w:ind w:right="76"/>
              <w:spacing w:after="0"/>
              <w:rPr>
                <w:sz w:val="20"/>
                <w:szCs w:val="20"/>
                <w:color w:val="auto"/>
              </w:rPr>
            </w:pPr>
            <w:r>
              <w:rPr>
                <w:rFonts w:ascii="Arial" w:cs="Arial" w:eastAsia="Arial" w:hAnsi="Arial"/>
                <w:sz w:val="18"/>
                <w:szCs w:val="18"/>
                <w:color w:val="auto"/>
              </w:rPr>
              <w:t>3,039,880</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shd w:val="clear" w:color="auto" w:fill="CFF0FC"/>
          </w:tcPr>
          <w:p>
            <w:pPr>
              <w:jc w:val="right"/>
              <w:ind w:right="57"/>
              <w:spacing w:after="0"/>
              <w:rPr>
                <w:sz w:val="20"/>
                <w:szCs w:val="20"/>
                <w:color w:val="auto"/>
              </w:rPr>
            </w:pPr>
            <w:r>
              <w:rPr>
                <w:rFonts w:ascii="Arial" w:cs="Arial" w:eastAsia="Arial" w:hAnsi="Arial"/>
                <w:sz w:val="18"/>
                <w:szCs w:val="18"/>
                <w:color w:val="auto"/>
              </w:rPr>
              <w:t>29.40</w:t>
            </w:r>
          </w:p>
        </w:tc>
        <w:tc>
          <w:tcPr>
            <w:tcW w:w="12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ind w:right="76"/>
              <w:spacing w:after="0"/>
              <w:rPr>
                <w:sz w:val="20"/>
                <w:szCs w:val="20"/>
                <w:color w:val="auto"/>
              </w:rPr>
            </w:pPr>
            <w:r>
              <w:rPr>
                <w:rFonts w:ascii="Arial" w:cs="Arial" w:eastAsia="Arial" w:hAnsi="Arial"/>
                <w:sz w:val="18"/>
                <w:szCs w:val="18"/>
                <w:color w:val="auto"/>
              </w:rPr>
              <w:t>142,650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7"/>
              <w:spacing w:after="0"/>
              <w:rPr>
                <w:sz w:val="20"/>
                <w:szCs w:val="20"/>
                <w:color w:val="auto"/>
              </w:rPr>
            </w:pPr>
            <w:r>
              <w:rPr>
                <w:rFonts w:ascii="Arial" w:cs="Arial" w:eastAsia="Arial" w:hAnsi="Arial"/>
                <w:sz w:val="18"/>
                <w:szCs w:val="18"/>
                <w:color w:val="auto"/>
              </w:rPr>
              <w:t>16.28</w:t>
            </w: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Exercises</w:t>
            </w:r>
          </w:p>
        </w:tc>
        <w:tc>
          <w:tcPr>
            <w:tcW w:w="152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(32,256)</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shd w:val="clear" w:color="auto" w:fill="CFF0FC"/>
          </w:tcPr>
          <w:p>
            <w:pPr>
              <w:jc w:val="right"/>
              <w:ind w:right="57"/>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Forfeitures and cancellations</w:t>
            </w: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(452,278)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7"/>
              <w:spacing w:after="0"/>
              <w:rPr>
                <w:sz w:val="20"/>
                <w:szCs w:val="20"/>
                <w:color w:val="auto"/>
              </w:rPr>
            </w:pPr>
            <w:r>
              <w:rPr>
                <w:rFonts w:ascii="Arial" w:cs="Arial" w:eastAsia="Arial" w:hAnsi="Arial"/>
                <w:sz w:val="18"/>
                <w:szCs w:val="18"/>
                <w:color w:val="auto"/>
              </w:rPr>
              <w:t>37.79</w:t>
            </w: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0" w:type="dxa"/>
            <w:vAlign w:val="bottom"/>
            <w:tcBorders>
              <w:bottom w:val="single" w:sz="8" w:color="CFF0FC"/>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36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50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126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June 30, 2020</w:t>
            </w:r>
          </w:p>
        </w:tc>
        <w:tc>
          <w:tcPr>
            <w:tcW w:w="1520" w:type="dxa"/>
            <w:vAlign w:val="bottom"/>
            <w:tcBorders>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rPr>
              <w:t>2,697,996</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shd w:val="clear" w:color="auto" w:fill="CFF0FC"/>
          </w:tcPr>
          <w:p>
            <w:pPr>
              <w:jc w:val="right"/>
              <w:ind w:right="57"/>
              <w:spacing w:after="0"/>
              <w:rPr>
                <w:sz w:val="20"/>
                <w:szCs w:val="20"/>
                <w:color w:val="auto"/>
              </w:rPr>
            </w:pPr>
            <w:r>
              <w:rPr>
                <w:rFonts w:ascii="Arial" w:cs="Arial" w:eastAsia="Arial" w:hAnsi="Arial"/>
                <w:sz w:val="18"/>
                <w:szCs w:val="18"/>
                <w:color w:val="auto"/>
              </w:rPr>
              <w:t>27.61</w:t>
            </w:r>
          </w:p>
        </w:tc>
        <w:tc>
          <w:tcPr>
            <w:tcW w:w="12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3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FF0FC"/>
            </w:tcBorders>
            <w:shd w:val="clear" w:color="auto" w:fill="CFF0FC"/>
          </w:tcPr>
          <w:p>
            <w:pPr>
              <w:jc w:val="right"/>
              <w:ind w:right="82"/>
              <w:spacing w:after="0"/>
              <w:rPr>
                <w:sz w:val="20"/>
                <w:szCs w:val="20"/>
                <w:color w:val="auto"/>
              </w:rPr>
            </w:pPr>
            <w:r>
              <w:rPr>
                <w:rFonts w:ascii="Arial" w:cs="Arial" w:eastAsia="Arial" w:hAnsi="Arial"/>
                <w:sz w:val="18"/>
                <w:szCs w:val="18"/>
                <w:color w:val="auto"/>
              </w:rPr>
              <w:t>19,517</w:t>
            </w:r>
          </w:p>
        </w:tc>
        <w:tc>
          <w:tcPr>
            <w:tcW w:w="0" w:type="dxa"/>
            <w:vAlign w:val="bottom"/>
          </w:tcPr>
          <w:p>
            <w:pPr>
              <w:spacing w:after="0"/>
              <w:rPr>
                <w:sz w:val="1"/>
                <w:szCs w:val="1"/>
                <w:color w:val="auto"/>
              </w:rPr>
            </w:pPr>
          </w:p>
        </w:tc>
      </w:tr>
      <w:tr>
        <w:trPr>
          <w:trHeight w:val="20"/>
        </w:trPr>
        <w:tc>
          <w:tcPr>
            <w:tcW w:w="480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8"/>
                <w:szCs w:val="18"/>
                <w:color w:val="auto"/>
              </w:rPr>
              <w:t>Exercisable at June 30, 2020</w:t>
            </w:r>
          </w:p>
        </w:tc>
        <w:tc>
          <w:tcPr>
            <w:tcW w:w="15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00" w:type="dxa"/>
            <w:vAlign w:val="bottom"/>
            <w:vMerge w:val="continue"/>
          </w:tcPr>
          <w:p>
            <w:pPr>
              <w:spacing w:after="0"/>
              <w:rPr>
                <w:sz w:val="18"/>
                <w:szCs w:val="18"/>
                <w:color w:val="auto"/>
              </w:rPr>
            </w:pPr>
          </w:p>
        </w:tc>
        <w:tc>
          <w:tcPr>
            <w:tcW w:w="1520" w:type="dxa"/>
            <w:vAlign w:val="bottom"/>
          </w:tcPr>
          <w:p>
            <w:pPr>
              <w:jc w:val="right"/>
              <w:ind w:right="76"/>
              <w:spacing w:after="0"/>
              <w:rPr>
                <w:sz w:val="20"/>
                <w:szCs w:val="20"/>
                <w:color w:val="auto"/>
              </w:rPr>
            </w:pPr>
            <w:r>
              <w:rPr>
                <w:rFonts w:ascii="Arial" w:cs="Arial" w:eastAsia="Arial" w:hAnsi="Arial"/>
                <w:sz w:val="18"/>
                <w:szCs w:val="18"/>
                <w:color w:val="auto"/>
              </w:rPr>
              <w:t>1,365,178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7"/>
              <w:spacing w:after="0"/>
              <w:rPr>
                <w:sz w:val="20"/>
                <w:szCs w:val="20"/>
                <w:color w:val="auto"/>
              </w:rPr>
            </w:pPr>
            <w:r>
              <w:rPr>
                <w:rFonts w:ascii="Arial" w:cs="Arial" w:eastAsia="Arial" w:hAnsi="Arial"/>
                <w:sz w:val="18"/>
                <w:szCs w:val="18"/>
                <w:color w:val="auto"/>
              </w:rPr>
              <w:t>25.89</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5.40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82"/>
              <w:spacing w:after="0"/>
              <w:rPr>
                <w:sz w:val="20"/>
                <w:szCs w:val="20"/>
                <w:color w:val="auto"/>
              </w:rPr>
            </w:pPr>
            <w:r>
              <w:rPr>
                <w:rFonts w:ascii="Arial" w:cs="Arial" w:eastAsia="Arial" w:hAnsi="Arial"/>
                <w:sz w:val="18"/>
                <w:szCs w:val="18"/>
                <w:color w:val="auto"/>
              </w:rPr>
              <w:t>12,530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estimated fair values of stock option awards granted to employees were determined on the date of grant using the Black-Scholes option valuation model with the following weighted average assumptions:</w:t>
      </w:r>
    </w:p>
    <w:p>
      <w:pPr>
        <w:spacing w:after="0" w:line="81"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13335</wp:posOffset>
            </wp:positionV>
            <wp:extent cx="27000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Borders>
              <w:bottom w:val="single" w:sz="8" w:color="CFF0FC"/>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6"/>
                <w:szCs w:val="16"/>
                <w:color w:val="auto"/>
              </w:rPr>
            </w:pPr>
          </w:p>
        </w:tc>
      </w:tr>
      <w:tr>
        <w:trPr>
          <w:trHeight w:val="250"/>
        </w:trPr>
        <w:tc>
          <w:tcPr>
            <w:tcW w:w="6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5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ind w:right="53"/>
              <w:spacing w:after="0"/>
              <w:rPr>
                <w:sz w:val="20"/>
                <w:szCs w:val="20"/>
                <w:color w:val="auto"/>
              </w:rPr>
            </w:pPr>
            <w:r>
              <w:rPr>
                <w:rFonts w:ascii="Arial" w:cs="Arial" w:eastAsia="Arial" w:hAnsi="Arial"/>
                <w:sz w:val="18"/>
                <w:szCs w:val="18"/>
                <w:color w:val="auto"/>
              </w:rPr>
              <w:t>2.5</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91.8</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68.5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6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Expected dividend yield</w:t>
            </w:r>
          </w:p>
        </w:tc>
        <w:tc>
          <w:tcPr>
            <w:tcW w:w="5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580" w:type="dxa"/>
            <w:vAlign w:val="bottom"/>
          </w:tcPr>
          <w:p>
            <w:pPr>
              <w:spacing w:after="0"/>
              <w:rPr>
                <w:sz w:val="21"/>
                <w:szCs w:val="21"/>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6.25</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20" w:type="dxa"/>
            <w:vAlign w:val="bottom"/>
          </w:tcPr>
          <w:p>
            <w:pPr>
              <w:jc w:val="right"/>
              <w:ind w:right="213"/>
              <w:spacing w:after="0"/>
              <w:rPr>
                <w:sz w:val="20"/>
                <w:szCs w:val="20"/>
                <w:color w:val="auto"/>
              </w:rPr>
            </w:pPr>
            <w:r>
              <w:rPr>
                <w:rFonts w:ascii="Arial" w:cs="Arial" w:eastAsia="Arial" w:hAnsi="Arial"/>
                <w:sz w:val="18"/>
                <w:szCs w:val="18"/>
                <w:color w:val="auto"/>
              </w:rPr>
              <w:t>6.25</w:t>
            </w:r>
          </w:p>
        </w:tc>
        <w:tc>
          <w:tcPr>
            <w:tcW w:w="30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43"/>
        </w:trPr>
        <w:tc>
          <w:tcPr>
            <w:tcW w:w="6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grant date fair value per share</w:t>
            </w:r>
          </w:p>
        </w:tc>
        <w:tc>
          <w:tcPr>
            <w:tcW w:w="58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w:t>
            </w:r>
          </w:p>
        </w:tc>
        <w:tc>
          <w:tcPr>
            <w:tcW w:w="100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44.02</w:t>
            </w:r>
          </w:p>
        </w:tc>
        <w:tc>
          <w:tcPr>
            <w:tcW w:w="300" w:type="dxa"/>
            <w:vAlign w:val="bottom"/>
            <w:shd w:val="clear" w:color="auto" w:fill="CFF0FC"/>
          </w:tcPr>
          <w:p>
            <w:pPr>
              <w:spacing w:after="0"/>
              <w:rPr>
                <w:sz w:val="21"/>
                <w:szCs w:val="21"/>
                <w:color w:val="auto"/>
              </w:rPr>
            </w:pPr>
          </w:p>
        </w:tc>
      </w:tr>
      <w:tr>
        <w:trPr>
          <w:trHeight w:val="27"/>
        </w:trPr>
        <w:tc>
          <w:tcPr>
            <w:tcW w:w="698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116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122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r>
    </w:tbl>
    <w:p>
      <w:pPr>
        <w:spacing w:after="0" w:line="148" w:lineRule="exact"/>
        <w:rPr>
          <w:sz w:val="20"/>
          <w:szCs w:val="20"/>
          <w:color w:val="auto"/>
        </w:rPr>
      </w:pPr>
    </w:p>
    <w:p>
      <w:pPr>
        <w:ind w:right="120" w:firstLine="445"/>
        <w:spacing w:after="0" w:line="293" w:lineRule="auto"/>
        <w:rPr>
          <w:sz w:val="20"/>
          <w:szCs w:val="20"/>
          <w:color w:val="auto"/>
        </w:rPr>
      </w:pPr>
      <w:r>
        <w:rPr>
          <w:rFonts w:ascii="Arial" w:cs="Arial" w:eastAsia="Arial" w:hAnsi="Arial"/>
          <w:sz w:val="16"/>
          <w:szCs w:val="16"/>
          <w:color w:val="auto"/>
        </w:rPr>
        <w:t>We determine the appropriate risk free interest rate, expected term for employee stock based awards, contractual term for non-employee stock based awards, and volatility assumptions. The weighted-average expected option term for employee and non-employee stock based awards reflects the application of the simplified method, which defines the life as the average of the contractual term of the options and the weighted average vesting period for all option tranches. Estimated volatility incorporates historical volatility of our stock price as well as similar entities whose share prices are publicly available. The risk free interest rate is based upon U.S. Treasury securities with remaining terms similar to the expected or contractual term of the stock based payment awards. The assumed dividend yield is based on our expectation of not paying dividends in the foreseeable future.</w:t>
      </w:r>
    </w:p>
    <w:p>
      <w:pPr>
        <w:spacing w:after="0" w:line="56" w:lineRule="exact"/>
        <w:rPr>
          <w:sz w:val="20"/>
          <w:szCs w:val="20"/>
          <w:color w:val="auto"/>
        </w:rPr>
      </w:pPr>
    </w:p>
    <w:p>
      <w:pPr>
        <w:ind w:right="740" w:firstLine="445"/>
        <w:spacing w:after="0" w:line="277" w:lineRule="auto"/>
        <w:rPr>
          <w:sz w:val="20"/>
          <w:szCs w:val="20"/>
          <w:color w:val="auto"/>
        </w:rPr>
      </w:pPr>
      <w:r>
        <w:rPr>
          <w:rFonts w:ascii="Arial" w:cs="Arial" w:eastAsia="Arial" w:hAnsi="Arial"/>
          <w:sz w:val="18"/>
          <w:szCs w:val="18"/>
          <w:color w:val="auto"/>
        </w:rPr>
        <w:t>Total non-cash stock based compensation expense for all stock awards that was recognized in the consolidated statements of operations and comprehensive loss is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8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r>
      <w:tr>
        <w:trPr>
          <w:trHeight w:val="196"/>
        </w:trPr>
        <w:tc>
          <w:tcPr>
            <w:tcW w:w="578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r>
      <w:tr>
        <w:trPr>
          <w:trHeight w:val="250"/>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8"/>
                <w:szCs w:val="18"/>
                <w:color w:val="auto"/>
              </w:rPr>
              <w:t>958</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8"/>
                <w:szCs w:val="18"/>
                <w:color w:val="auto"/>
              </w:rPr>
              <w:t>1,649</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8"/>
                <w:szCs w:val="18"/>
                <w:color w:val="auto"/>
              </w:rPr>
              <w:t>2,104</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8"/>
                <w:szCs w:val="18"/>
                <w:color w:val="auto"/>
              </w:rPr>
              <w:t>2,889</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980" w:type="dxa"/>
            <w:vAlign w:val="bottom"/>
          </w:tcPr>
          <w:p>
            <w:pPr>
              <w:jc w:val="right"/>
              <w:ind w:right="59"/>
              <w:spacing w:after="0"/>
              <w:rPr>
                <w:sz w:val="20"/>
                <w:szCs w:val="20"/>
                <w:color w:val="auto"/>
              </w:rPr>
            </w:pPr>
            <w:r>
              <w:rPr>
                <w:rFonts w:ascii="Arial" w:cs="Arial" w:eastAsia="Arial" w:hAnsi="Arial"/>
                <w:sz w:val="18"/>
                <w:szCs w:val="18"/>
                <w:color w:val="auto"/>
              </w:rPr>
              <w:t>1,783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59"/>
              <w:spacing w:after="0"/>
              <w:rPr>
                <w:sz w:val="20"/>
                <w:szCs w:val="20"/>
                <w:color w:val="auto"/>
              </w:rPr>
            </w:pPr>
            <w:r>
              <w:rPr>
                <w:rFonts w:ascii="Arial" w:cs="Arial" w:eastAsia="Arial" w:hAnsi="Arial"/>
                <w:sz w:val="18"/>
                <w:szCs w:val="18"/>
                <w:color w:val="auto"/>
              </w:rPr>
              <w:t>3,612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3,621</w:t>
            </w:r>
          </w:p>
        </w:tc>
      </w:tr>
      <w:tr>
        <w:trPr>
          <w:trHeight w:val="27"/>
        </w:trPr>
        <w:tc>
          <w:tcPr>
            <w:tcW w:w="57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5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8"/>
                <w:szCs w:val="18"/>
                <w:color w:val="auto"/>
              </w:rPr>
              <w:t>2,741</w:t>
            </w:r>
          </w:p>
        </w:tc>
        <w:tc>
          <w:tcPr>
            <w:tcW w:w="1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8"/>
                <w:szCs w:val="18"/>
                <w:color w:val="auto"/>
              </w:rPr>
              <w:t>3,643</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8"/>
                <w:szCs w:val="18"/>
                <w:color w:val="auto"/>
              </w:rPr>
              <w:t>5,716</w:t>
            </w:r>
          </w:p>
        </w:tc>
        <w:tc>
          <w:tcPr>
            <w:tcW w:w="1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8"/>
                <w:szCs w:val="18"/>
                <w:color w:val="auto"/>
              </w:rPr>
              <w:t>6,510</w:t>
            </w:r>
          </w:p>
        </w:tc>
      </w:tr>
      <w:tr>
        <w:trPr>
          <w:trHeight w:val="20"/>
        </w:trPr>
        <w:tc>
          <w:tcPr>
            <w:tcW w:w="57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At June 30, 2020, there was $24.1 million of unrecognized compensation cost related to unvested stock option awards, which is expected to be recognized over a remaining weighted average vesting period of 2.99 years.</w:t>
      </w:r>
    </w:p>
    <w:p>
      <w:pPr>
        <w:spacing w:after="0" w:line="274" w:lineRule="exact"/>
        <w:rPr>
          <w:sz w:val="20"/>
          <w:szCs w:val="20"/>
          <w:color w:val="auto"/>
        </w:rPr>
      </w:pPr>
    </w:p>
    <w:p>
      <w:pPr>
        <w:ind w:left="300" w:right="8500" w:hanging="292"/>
        <w:spacing w:after="0" w:line="425" w:lineRule="auto"/>
        <w:tabs>
          <w:tab w:leader="none" w:pos="197"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Operating Leases</w:t>
      </w:r>
    </w:p>
    <w:p>
      <w:pPr>
        <w:ind w:right="660" w:firstLine="486"/>
        <w:spacing w:after="0" w:line="277" w:lineRule="auto"/>
        <w:rPr>
          <w:sz w:val="20"/>
          <w:szCs w:val="20"/>
          <w:color w:val="auto"/>
        </w:rPr>
      </w:pPr>
      <w:r>
        <w:rPr>
          <w:rFonts w:ascii="Arial" w:cs="Arial" w:eastAsia="Arial" w:hAnsi="Arial"/>
          <w:sz w:val="18"/>
          <w:szCs w:val="18"/>
          <w:color w:val="auto"/>
        </w:rPr>
        <w:t>We have two non-cancellable office leases (the “Office Leases”), with remaining lease terms of approximately 1.25 years, each of which are classified as operating leases. Both leases expire in 2021. Only one of our leases has remaining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8"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renewal options, which includes three options to renew for one additional year. The exercise of lease renewal options is at our sole discretion, which we currently do not anticipate exercising and as such were not recognized as part of our right-of-use (“ROU”) asset and lease liabilities. Our lease payments are fixed, and we recognize lease expense for these leases on a straight-line basis over the lease term. Operating lease ROU assets and lease liabilities are recorded based on the present value of the future minimum lease payments over the lease term at commencement date. As our leases do not provide an implicit rate, we used our incremental borrowing rate based on the information available at effective date of adoption in determining the present value of future payments. The weighted-average discount rate used was 8.59%.</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balance sheet includes our ROU assets and lease liabilities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Leases</w:t>
            </w:r>
          </w:p>
        </w:tc>
        <w:tc>
          <w:tcPr>
            <w:tcW w:w="120" w:type="dxa"/>
            <w:vAlign w:val="bottom"/>
            <w:tcBorders>
              <w:bottom w:val="single" w:sz="8" w:color="CCEEFF"/>
            </w:tcBorders>
          </w:tcPr>
          <w:p>
            <w:pPr>
              <w:spacing w:after="0"/>
              <w:rPr>
                <w:sz w:val="16"/>
                <w:szCs w:val="16"/>
                <w:color w:val="auto"/>
              </w:rPr>
            </w:pPr>
          </w:p>
        </w:tc>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Classification on the Balance Sheet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6"/>
              </w:rPr>
              <w:t>June 30, 2020</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2019</w:t>
            </w:r>
          </w:p>
        </w:tc>
      </w:tr>
      <w:tr>
        <w:trPr>
          <w:trHeight w:val="250"/>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ROU assets</w:t>
            </w:r>
          </w:p>
        </w:tc>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1,020</w:t>
            </w:r>
          </w:p>
        </w:tc>
        <w:tc>
          <w:tcPr>
            <w:tcW w:w="5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1,402</w:t>
            </w:r>
          </w:p>
        </w:tc>
      </w:tr>
      <w:tr>
        <w:trPr>
          <w:trHeight w:val="243"/>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925</w:t>
            </w:r>
          </w:p>
        </w:tc>
        <w:tc>
          <w:tcPr>
            <w:tcW w:w="56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871</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180</w:t>
            </w: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654</w:t>
            </w:r>
          </w:p>
        </w:tc>
      </w:tr>
      <w:tr>
        <w:trPr>
          <w:trHeight w:val="27"/>
        </w:trPr>
        <w:tc>
          <w:tcPr>
            <w:tcW w:w="4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costs are included in our consolidated statements of cash flow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3"/>
          </w:tcPr>
          <w:p>
            <w:pPr>
              <w:jc w:val="center"/>
              <w:ind w:left="421"/>
              <w:spacing w:after="0"/>
              <w:rPr>
                <w:sz w:val="20"/>
                <w:szCs w:val="20"/>
                <w:color w:val="auto"/>
              </w:rPr>
            </w:pPr>
            <w:r>
              <w:rPr>
                <w:rFonts w:ascii="Arial" w:cs="Arial" w:eastAsia="Arial" w:hAnsi="Arial"/>
                <w:sz w:val="14"/>
                <w:szCs w:val="14"/>
                <w:b w:val="1"/>
                <w:bCs w:val="1"/>
                <w:color w:val="auto"/>
                <w:w w:val="93"/>
              </w:rPr>
              <w:t>Six Months Ended</w:t>
            </w:r>
          </w:p>
        </w:tc>
        <w:tc>
          <w:tcPr>
            <w:tcW w:w="800" w:type="dxa"/>
            <w:vAlign w:val="bottom"/>
          </w:tcPr>
          <w:p>
            <w:pPr>
              <w:spacing w:after="0"/>
              <w:rPr>
                <w:sz w:val="14"/>
                <w:szCs w:val="14"/>
                <w:color w:val="auto"/>
              </w:rPr>
            </w:pPr>
          </w:p>
        </w:tc>
      </w:tr>
      <w:tr>
        <w:trPr>
          <w:trHeight w:val="192"/>
        </w:trPr>
        <w:tc>
          <w:tcPr>
            <w:tcW w:w="4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6"/>
                <w:szCs w:val="16"/>
                <w:color w:val="auto"/>
              </w:rPr>
            </w:pPr>
          </w:p>
        </w:tc>
      </w:tr>
      <w:tr>
        <w:trPr>
          <w:trHeight w:val="196"/>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Leases</w:t>
            </w:r>
          </w:p>
        </w:tc>
        <w:tc>
          <w:tcPr>
            <w:tcW w:w="120" w:type="dxa"/>
            <w:vAlign w:val="bottom"/>
            <w:tcBorders>
              <w:bottom w:val="single" w:sz="8" w:color="CCEEFF"/>
            </w:tcBorders>
          </w:tcPr>
          <w:p>
            <w:pPr>
              <w:spacing w:after="0"/>
              <w:rPr>
                <w:sz w:val="17"/>
                <w:szCs w:val="17"/>
                <w:color w:val="auto"/>
              </w:rPr>
            </w:pPr>
          </w:p>
        </w:tc>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Classification on the Cash Flow</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w w:val="83"/>
              </w:rPr>
              <w:t>2019</w:t>
            </w:r>
          </w:p>
        </w:tc>
      </w:tr>
      <w:tr>
        <w:trPr>
          <w:trHeight w:val="250"/>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440</w:t>
            </w:r>
          </w:p>
        </w:tc>
      </w:tr>
      <w:tr>
        <w:trPr>
          <w:trHeight w:val="229"/>
        </w:trPr>
        <w:tc>
          <w:tcPr>
            <w:tcW w:w="4820" w:type="dxa"/>
            <w:vAlign w:val="bottom"/>
            <w:gridSpan w:val="2"/>
          </w:tcPr>
          <w:p>
            <w:pPr>
              <w:ind w:left="20"/>
              <w:spacing w:after="0"/>
              <w:rPr>
                <w:sz w:val="20"/>
                <w:szCs w:val="20"/>
                <w:color w:val="auto"/>
              </w:rPr>
            </w:pPr>
            <w:r>
              <w:rPr>
                <w:rFonts w:ascii="Arial" w:cs="Arial" w:eastAsia="Arial" w:hAnsi="Arial"/>
                <w:sz w:val="18"/>
                <w:szCs w:val="18"/>
                <w:color w:val="auto"/>
                <w:w w:val="98"/>
              </w:rPr>
              <w:t>Cash paid for amounts included in the measurement of lease</w:t>
            </w:r>
          </w:p>
        </w:tc>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Operating</w:t>
            </w:r>
          </w:p>
        </w:tc>
        <w:tc>
          <w:tcPr>
            <w:tcW w:w="320" w:type="dxa"/>
            <w:vAlign w:val="bottom"/>
          </w:tcPr>
          <w:p>
            <w:pPr>
              <w:spacing w:after="0"/>
              <w:rPr>
                <w:sz w:val="20"/>
                <w:szCs w:val="20"/>
                <w:color w:val="auto"/>
              </w:rPr>
            </w:pPr>
          </w:p>
        </w:tc>
        <w:tc>
          <w:tcPr>
            <w:tcW w:w="1000" w:type="dxa"/>
            <w:vAlign w:val="bottom"/>
          </w:tcPr>
          <w:p>
            <w:pPr>
              <w:jc w:val="right"/>
              <w:ind w:right="61"/>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jc w:val="right"/>
              <w:ind w:right="76"/>
              <w:spacing w:after="0"/>
              <w:rPr>
                <w:sz w:val="20"/>
                <w:szCs w:val="20"/>
                <w:color w:val="auto"/>
              </w:rPr>
            </w:pPr>
            <w:r>
              <w:rPr>
                <w:rFonts w:ascii="Arial" w:cs="Arial" w:eastAsia="Arial" w:hAnsi="Arial"/>
                <w:sz w:val="18"/>
                <w:szCs w:val="18"/>
                <w:color w:val="auto"/>
              </w:rPr>
              <w:t>463</w:t>
            </w: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June 30, 2020, the future minimum annual obligations for the Office Leases in excess of one year are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2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56"/>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490</w:t>
            </w:r>
          </w:p>
        </w:tc>
      </w:tr>
      <w:tr>
        <w:trPr>
          <w:trHeight w:val="243"/>
        </w:trPr>
        <w:tc>
          <w:tcPr>
            <w:tcW w:w="9520" w:type="dxa"/>
            <w:vAlign w:val="bottom"/>
          </w:tcPr>
          <w:p>
            <w:pPr>
              <w:ind w:left="20"/>
              <w:spacing w:after="0"/>
              <w:rPr>
                <w:sz w:val="20"/>
                <w:szCs w:val="20"/>
                <w:color w:val="auto"/>
              </w:rPr>
            </w:pPr>
            <w:r>
              <w:rPr>
                <w:rFonts w:ascii="Arial" w:cs="Arial" w:eastAsia="Arial" w:hAnsi="Arial"/>
                <w:sz w:val="18"/>
                <w:szCs w:val="18"/>
                <w:color w:val="auto"/>
              </w:rPr>
              <w:t>2021</w:t>
            </w:r>
          </w:p>
        </w:tc>
        <w:tc>
          <w:tcPr>
            <w:tcW w:w="64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676</w:t>
            </w:r>
          </w:p>
        </w:tc>
      </w:tr>
      <w:tr>
        <w:trPr>
          <w:trHeight w:val="27"/>
        </w:trPr>
        <w:tc>
          <w:tcPr>
            <w:tcW w:w="9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9520" w:type="dxa"/>
            <w:vAlign w:val="bottom"/>
          </w:tcPr>
          <w:p>
            <w:pPr>
              <w:ind w:left="20"/>
              <w:spacing w:after="0"/>
              <w:rPr>
                <w:sz w:val="20"/>
                <w:szCs w:val="20"/>
                <w:color w:val="auto"/>
              </w:rPr>
            </w:pPr>
            <w:r>
              <w:rPr>
                <w:rFonts w:ascii="Arial" w:cs="Arial" w:eastAsia="Arial" w:hAnsi="Arial"/>
                <w:sz w:val="18"/>
                <w:szCs w:val="18"/>
                <w:color w:val="auto"/>
              </w:rPr>
              <w:t>2023</w:t>
            </w:r>
          </w:p>
        </w:tc>
        <w:tc>
          <w:tcPr>
            <w:tcW w:w="64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9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95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64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95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payments required</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1,166</w:t>
            </w:r>
          </w:p>
        </w:tc>
      </w:tr>
      <w:tr>
        <w:trPr>
          <w:trHeight w:val="243"/>
        </w:trPr>
        <w:tc>
          <w:tcPr>
            <w:tcW w:w="952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95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8"/>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1,105</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firstLine="283"/>
        <w:spacing w:after="0" w:line="271" w:lineRule="auto"/>
        <w:rPr>
          <w:sz w:val="20"/>
          <w:szCs w:val="20"/>
          <w:color w:val="auto"/>
        </w:rPr>
      </w:pPr>
      <w:r>
        <w:rPr>
          <w:rFonts w:ascii="Arial" w:cs="Arial" w:eastAsia="Arial" w:hAnsi="Arial"/>
          <w:sz w:val="17"/>
          <w:szCs w:val="17"/>
          <w:color w:val="auto"/>
        </w:rPr>
        <w:t>On May 4, 2020, we entered into a lease agreement (the “Lease Agreement”) with Wateridge Property Owner, LP, with respect to facilities in the building at 10770 Wateridge Circle, San Diego, California 92121. Under the Lease Agreement, we agreed to lease approximately 45,000 square feet of space in the 10770 Wateridge Circle Building for a term of 124 months, beginning on March 1, 2021 (or on such later date as described in the Lease Agreement). The terms of the Lease Agreement provide us with an option to extend the term of the lease for an additional five years, as well as a one-time option we have to terminate the lease after seven years with the payment of a termination fee. The monthly base rent will be $4.20 per rentable square foot, and will be increased by 3% annually. We are also responsible for our pro rata share of real estate taxes, building insurance, maintenance, direct expenses and utilities under the Lease Agreement. As of June 30, 2020, we have recorded $0.2 million in prepaid rent and $0.3 million as a security deposit, in accordance with the terms of the Lease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Lawsuit</w:t>
      </w:r>
    </w:p>
    <w:p>
      <w:pPr>
        <w:spacing w:after="0" w:line="12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On March 25, 2020, a putative securities class action was filed in the United States District Court for the Southern District of California naming AnaptysBio and certain of its current or former officers as defendants. The complaint purports to assert claims under Section 10(b) of the Exchange Act, Exchange Act Rule 10b-5, and Section 20(a) of the Exchange Act, on behalf of persons and entities who acquired our common stock between October 10, 2017 and November 7, 2019 (the “Class Period”). The complaint alleges that, during the Class Period, the defendants made material misrepresentations or omissions regarding our etokimab drug that artificially inflated our stock price. The plaintiff seeks, among other things, damages in an unspecified amount, as well as costs and expenses. We believe that the plaintiff’s allegations are without merit and intend to vigorously defend against the claims. Because AnaptysBio is in the early stages of this litigation matter, we are unable to estimate a reasonably possible loss or range of loss, if any, that may result from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9" w:name="page20"/>
    <w:bookmarkEnd w:id="19"/>
    <w:p>
      <w:pPr>
        <w:spacing w:after="0" w:line="200" w:lineRule="exact"/>
        <w:rPr>
          <w:sz w:val="20"/>
          <w:szCs w:val="20"/>
          <w:color w:val="auto"/>
        </w:rPr>
      </w:pP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This Quarterly Report on Form 10-Q (Quarterly Report) contains forward-looking statements within the meaning of Section 21E of the Securities Exchange Act of 1934, as amended (Exchange Act), and section 27A of the Securities Act of 1933, as amended (Securities Act). The words “believe,” “may,” “will,” “potentially,” “estimate,” “continue,” “anticipate,” “intend,” “could,” “would,” “project,” “plan” and “expect,” and similar expressions that convey uncertainty of future events or outcomes are intended to identify forward-looking statements.</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forward-looking statements in this report include, among other things, statements about:</w:t>
      </w:r>
    </w:p>
    <w:p>
      <w:pPr>
        <w:spacing w:after="0" w:line="11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ongoing and planned clinical trials;</w:t>
      </w:r>
    </w:p>
    <w:p>
      <w:pPr>
        <w:spacing w:after="0" w:line="23" w:lineRule="exact"/>
        <w:rPr>
          <w:rFonts w:ascii="Arial" w:cs="Arial" w:eastAsia="Arial" w:hAnsi="Arial"/>
          <w:sz w:val="18"/>
          <w:szCs w:val="18"/>
          <w:color w:val="auto"/>
        </w:rPr>
      </w:pPr>
    </w:p>
    <w:p>
      <w:pPr>
        <w:ind w:left="660" w:right="180" w:hanging="328"/>
        <w:spacing w:after="0" w:line="245"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plans to develop and commercialize antibodies, including our lead product candidates: etokimab for patients with respiratory disorders and imsidolimab for patients with generalized pustular psoriasis (“GPP”) and palmoplantar pustulosis (“PPP”);</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coronavirus (“COVID-19”) pandemic on our business and the U.S. and global economies;</w:t>
      </w:r>
    </w:p>
    <w:p>
      <w:pPr>
        <w:spacing w:after="0" w:line="117" w:lineRule="exact"/>
        <w:rPr>
          <w:rFonts w:ascii="Arial" w:cs="Arial" w:eastAsia="Arial" w:hAnsi="Arial"/>
          <w:sz w:val="18"/>
          <w:szCs w:val="18"/>
          <w:color w:val="auto"/>
        </w:rPr>
      </w:pPr>
    </w:p>
    <w:p>
      <w:pPr>
        <w:ind w:left="660" w:right="26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likelihood that the clinical data generated in any study we performed, are performing or plan to perform in a non-US jurisdiction will be subsequently accepted by the </w:t>
      </w:r>
      <w:r>
        <w:rPr>
          <w:rFonts w:ascii="Arial" w:cs="Arial" w:eastAsia="Arial" w:hAnsi="Arial"/>
          <w:sz w:val="18"/>
          <w:szCs w:val="18"/>
          <w:color w:val="231F20"/>
        </w:rPr>
        <w:t>U.S. Food and Drug Administration (“FDA”)</w:t>
      </w:r>
      <w:r>
        <w:rPr>
          <w:rFonts w:ascii="Arial" w:cs="Arial" w:eastAsia="Arial" w:hAnsi="Arial"/>
          <w:sz w:val="18"/>
          <w:szCs w:val="18"/>
          <w:color w:val="auto"/>
        </w:rPr>
        <w:t xml:space="preserve"> and/or by foreign regulatory authorities outside of the jurisdiction where the study was being performed;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ability of our collaborators to develop and commercialize our partnered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benefits and advantages of our product candidates and approaches versus those of our competitors;</w:t>
      </w:r>
    </w:p>
    <w:p>
      <w:pPr>
        <w:spacing w:after="0" w:line="117" w:lineRule="exact"/>
        <w:rPr>
          <w:rFonts w:ascii="Arial" w:cs="Arial" w:eastAsia="Arial" w:hAnsi="Arial"/>
          <w:sz w:val="18"/>
          <w:szCs w:val="18"/>
          <w:color w:val="auto"/>
        </w:rPr>
      </w:pPr>
    </w:p>
    <w:p>
      <w:pPr>
        <w:ind w:left="660" w:right="300" w:hanging="328"/>
        <w:spacing w:after="0" w:line="342"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execute on our strategy, including advancing our lead product candidates, identifying emerging opportunities in key therapeutic areas, continuing to expand our wholly-owned pipeline and retaining rights to strategic products in key commercial markets;</w:t>
      </w:r>
    </w:p>
    <w:p>
      <w:pPr>
        <w:spacing w:after="0" w:line="15" w:lineRule="exact"/>
        <w:rPr>
          <w:rFonts w:ascii="Arial" w:cs="Arial" w:eastAsia="Arial" w:hAnsi="Arial"/>
          <w:sz w:val="16"/>
          <w:szCs w:val="16"/>
          <w:color w:val="auto"/>
        </w:rPr>
      </w:pPr>
    </w:p>
    <w:p>
      <w:pPr>
        <w:ind w:left="660" w:right="40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timing of and our ability to obtain and maintain regulatory approvals for etokimab and imsidolimab and our other product candidates;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approved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size and growth potential of the markets for any approved product candidates, and our ability to serve those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developments in the United States, the United Kingdom, Australia and other foreign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use of the net proceeds from our public offerings;</w:t>
      </w:r>
    </w:p>
    <w:p>
      <w:pPr>
        <w:spacing w:after="0" w:line="117"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with significant commercial potential that are consistent with our commercial objectives;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225" w:lineRule="exact"/>
        <w:rPr>
          <w:sz w:val="20"/>
          <w:szCs w:val="20"/>
          <w:color w:val="auto"/>
        </w:rPr>
      </w:pPr>
    </w:p>
    <w:p>
      <w:pPr>
        <w:jc w:val="both"/>
        <w:ind w:right="120" w:firstLine="567"/>
        <w:spacing w:after="0" w:line="263" w:lineRule="auto"/>
        <w:rPr>
          <w:sz w:val="20"/>
          <w:szCs w:val="20"/>
          <w:color w:val="auto"/>
        </w:rPr>
      </w:pPr>
      <w:r>
        <w:rPr>
          <w:rFonts w:ascii="Arial" w:cs="Arial" w:eastAsia="Arial" w:hAnsi="Arial"/>
          <w:sz w:val="18"/>
          <w:szCs w:val="18"/>
          <w:color w:val="auto"/>
        </w:rPr>
        <w:t>These forward-looking statements are subject to a number of risks, uncertainties and assumptions, including those described in Part II, Item 1A, “Risk Factors,” and elsewhere in this Quarterly Report. Moreover, we operate in a competitive and rapidly changing environment, and new risks emerge from time to time. It is not possible for our management to predict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20" w:name="page21"/>
    <w:bookmarkEnd w:id="20"/>
    <w:p>
      <w:pPr>
        <w:spacing w:after="0" w:line="30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spacing w:after="0" w:line="187" w:lineRule="exact"/>
        <w:rPr>
          <w:sz w:val="20"/>
          <w:szCs w:val="20"/>
          <w:color w:val="auto"/>
        </w:rPr>
      </w:pPr>
    </w:p>
    <w:p>
      <w:pPr>
        <w:ind w:firstLine="567"/>
        <w:spacing w:after="0" w:line="27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to conform these statements to actual results or to changes in our expectations, except as required by law.</w:t>
      </w:r>
    </w:p>
    <w:p>
      <w:pPr>
        <w:spacing w:after="0" w:line="171" w:lineRule="exact"/>
        <w:rPr>
          <w:sz w:val="20"/>
          <w:szCs w:val="20"/>
          <w:color w:val="auto"/>
        </w:rPr>
      </w:pPr>
    </w:p>
    <w:p>
      <w:pPr>
        <w:ind w:right="700" w:firstLine="567"/>
        <w:spacing w:after="0" w:line="277" w:lineRule="auto"/>
        <w:rPr>
          <w:sz w:val="20"/>
          <w:szCs w:val="20"/>
          <w:color w:val="auto"/>
        </w:rPr>
      </w:pPr>
      <w:r>
        <w:rPr>
          <w:rFonts w:ascii="Arial" w:cs="Arial" w:eastAsia="Arial" w:hAnsi="Arial"/>
          <w:sz w:val="18"/>
          <w:szCs w:val="18"/>
          <w:color w:val="auto"/>
        </w:rPr>
        <w:t>You should read this Quarterly Report with the understanding that our actual future results, levels of activity, performance, and events and circumstances may be materially different from what we expect.</w:t>
      </w:r>
    </w:p>
    <w:p>
      <w:pPr>
        <w:spacing w:after="0" w:line="170" w:lineRule="exact"/>
        <w:rPr>
          <w:sz w:val="20"/>
          <w:szCs w:val="20"/>
          <w:color w:val="auto"/>
        </w:rPr>
      </w:pPr>
    </w:p>
    <w:p>
      <w:pPr>
        <w:ind w:right="60" w:firstLine="567"/>
        <w:spacing w:after="0" w:line="257" w:lineRule="auto"/>
        <w:rPr>
          <w:sz w:val="20"/>
          <w:szCs w:val="20"/>
          <w:color w:val="auto"/>
        </w:rPr>
      </w:pPr>
      <w:r>
        <w:rPr>
          <w:rFonts w:ascii="Arial" w:cs="Arial" w:eastAsia="Arial" w:hAnsi="Arial"/>
          <w:sz w:val="18"/>
          <w:szCs w:val="18"/>
          <w:color w:val="auto"/>
        </w:rPr>
        <w:t>Unless the context indicates otherwise, as used in this Quarterly Report, the terms “AnaptysBio,” “company,” “we,” “us” and “our” refer to AnaptysBio, Inc., a Delaware corporation, and its subsidiaries taken as a whole, unless otherwise noted. AnaptysBio is our common law trademark.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 w:name="page22"/>
    <w:bookmarkEnd w:id="21"/>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00" w:firstLine="486"/>
        <w:spacing w:after="0" w:line="29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unaudited consolidated financial statements and related notes for the six months ended June 30, 2020, included in Part I, Item 1 of this report and with our audited consolidated financial statements and related notes thereto for the year ended December 31, 2019, included in the Company’s Form 10-K. This discussion and other sections of this Quarterly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II, Item 1A of this Quarterly Report. You should also carefully read “Special Note Regarding Forward-Looking Statements”.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567"/>
        <w:spacing w:after="0" w:line="272" w:lineRule="auto"/>
        <w:rPr>
          <w:sz w:val="20"/>
          <w:szCs w:val="20"/>
          <w:color w:val="auto"/>
        </w:rPr>
      </w:pPr>
      <w:r>
        <w:rPr>
          <w:rFonts w:ascii="Arial" w:cs="Arial" w:eastAsia="Arial" w:hAnsi="Arial"/>
          <w:sz w:val="17"/>
          <w:szCs w:val="17"/>
          <w:color w:val="auto"/>
        </w:rPr>
        <w:t xml:space="preserve">We are a clinical stage biotechnology company developing first-in-class immunology therapeutic product candidates to patients. We are focused on emerging immune control mechanisms applicable to inflammation and immuno-oncology indications. We develop our product candidates using our proprietary antibody discovery technology platform, which is based upon a breakthrough understanding of the natural process of antibody generation, known as somatic hypermutation (“SHM”), and replicates this natural process of antibody generation </w:t>
      </w:r>
      <w:r>
        <w:rPr>
          <w:rFonts w:ascii="Arial" w:cs="Arial" w:eastAsia="Arial" w:hAnsi="Arial"/>
          <w:sz w:val="17"/>
          <w:szCs w:val="17"/>
          <w:i w:val="1"/>
          <w:iCs w:val="1"/>
          <w:color w:val="auto"/>
        </w:rPr>
        <w:t>in vitro</w:t>
      </w:r>
      <w:r>
        <w:rPr>
          <w:rFonts w:ascii="Arial" w:cs="Arial" w:eastAsia="Arial" w:hAnsi="Arial"/>
          <w:sz w:val="17"/>
          <w:szCs w:val="17"/>
          <w:color w:val="auto"/>
        </w:rPr>
        <w:t>. Our strategy is to advance the development of our proprietary product candidates, and where applicable, establish partnerships with leading biopharmaceutical companies where we retain certain development and commercialization rights. Our most advanced wholly-owned antibody programs, imsidolimab, etokimab, ANB030 and ANB032, are designed to modulate therapeutic targets that are genetically associated with human inflammatory disorders.</w:t>
      </w:r>
    </w:p>
    <w:p>
      <w:pPr>
        <w:spacing w:after="0" w:line="177" w:lineRule="exact"/>
        <w:rPr>
          <w:sz w:val="20"/>
          <w:szCs w:val="20"/>
          <w:color w:val="auto"/>
        </w:rPr>
      </w:pPr>
    </w:p>
    <w:p>
      <w:pPr>
        <w:ind w:firstLine="567"/>
        <w:spacing w:after="0" w:line="251" w:lineRule="auto"/>
        <w:rPr>
          <w:sz w:val="20"/>
          <w:szCs w:val="20"/>
          <w:color w:val="auto"/>
        </w:rPr>
      </w:pPr>
      <w:r>
        <w:rPr>
          <w:rFonts w:ascii="Arial" w:cs="Arial" w:eastAsia="Arial" w:hAnsi="Arial"/>
          <w:sz w:val="17"/>
          <w:szCs w:val="17"/>
          <w:color w:val="auto"/>
        </w:rPr>
        <w:t>Imsidolimab, our IL-36R antibody previously referred to as ANB019, inhibits the interleukin-36 receptor (“IL-36R”), and is being developed for the treatment of rare inflammatory diseases including generalized pustular psoriasis, (“GPP”), and palmoplantar pustulosis, (“PPP”). We completed a Phase 1 clinical trial in healthy volunteers, which was presented at EAACI 2018, where imsidolimab was well-tolerated by all subjects, no dose-limiting toxicities were observed, and no serious adverse events were reported among any subjects in the trial. We are conducting an open-label, multi-dose, single-arm Phase 2 trial of imsidolimab in up to 10 GPP patients, also referred to as the GALLOP trial, where an interim analysis, announced in September 2019, was conducted after the first two patients completed 16-weeks (Day 113) with imsidolimab monotherapy. Both patients achieved the primary endpoint of disease improvement at Day 29 and Day 113 without requiring rescue therapy. Patients demonstrated rapid and sustained modified Japanese Dermatology Association (“mJDA”) improvement and complete clearance of skin pustules from Day 8 through Day 113. C-reactive protein (“CRP”), levels decreased to nearly normal in both patients and genotypic testing of these two patients indicated that imsidolimab may be broadly applicable to pustular disease patients without a requirement for genetic screening. We anticipate additional clinical data and a regulatory strategy update for the development of imsidolimab in GPP during the fourth quarter of 2020. In July 2020, the U.S. Food and Drug Administration granted orphan drug designation for imsidolimab for the treatment of patients with GPP. We are also conducting a randomized, double-blind, placebo-controlled approximately 50-patient multi-dose trial of imsidolimab in PPP, also referred to as the POPLAR trial, where top-line data are anticipated in the first quarter of 2021, which has been impacted by COVID-19 related clinical site closures.</w:t>
      </w:r>
    </w:p>
    <w:p>
      <w:pPr>
        <w:spacing w:after="0" w:line="189" w:lineRule="exact"/>
        <w:rPr>
          <w:sz w:val="20"/>
          <w:szCs w:val="20"/>
          <w:color w:val="auto"/>
        </w:rPr>
      </w:pPr>
    </w:p>
    <w:p>
      <w:pPr>
        <w:ind w:right="180" w:firstLine="567"/>
        <w:spacing w:after="0" w:line="238" w:lineRule="auto"/>
        <w:rPr>
          <w:sz w:val="20"/>
          <w:szCs w:val="20"/>
          <w:color w:val="auto"/>
        </w:rPr>
      </w:pPr>
      <w:r>
        <w:rPr>
          <w:rFonts w:ascii="Arial" w:cs="Arial" w:eastAsia="Arial" w:hAnsi="Arial"/>
          <w:sz w:val="18"/>
          <w:szCs w:val="18"/>
          <w:color w:val="auto"/>
        </w:rPr>
        <w:t>In addition to GPP and PPP, we anticipate initiation of Phase 2 trials of imsidolimab in two new indications. Treatment of solid tumors with inhibitors of epidermal growth factor (EGFRi) and MAPK/ERK kinase (MEKi) is frequently limited by the occurrence of skin toxicities. Recent translational data has suggested that these skin toxicities are mediated by excess IL-36 signaling, leading to IL-8-mediated cutaneous neutrophilia and acneiform rash. Based on existing claims data, approximately 60,000 patients are prescribed EGFRi and/or MEKi treatments annually, and the vast majority of these patients experience dermatological toxicity, which in some cases leads to dose reduction and/or discontinuation of treatment. Current standard-of-care treatments are generally ineffective in patients with the most severe grades of EGFRi and/or MEKi mediated acneiform rash. During the fourth quarter of 2020, we anticipate initiating a Phase 2 trial of imsidolimab, in combination with EGFRi/MEKi inhibitors, to assess its efficacy in the treatment of this indication.</w:t>
      </w:r>
    </w:p>
    <w:p>
      <w:pPr>
        <w:spacing w:after="0" w:line="221" w:lineRule="exact"/>
        <w:rPr>
          <w:sz w:val="20"/>
          <w:szCs w:val="20"/>
          <w:color w:val="auto"/>
        </w:rPr>
      </w:pPr>
    </w:p>
    <w:p>
      <w:pPr>
        <w:ind w:right="140" w:firstLine="648"/>
        <w:spacing w:after="0" w:line="243" w:lineRule="auto"/>
        <w:rPr>
          <w:sz w:val="20"/>
          <w:szCs w:val="20"/>
          <w:color w:val="auto"/>
        </w:rPr>
      </w:pPr>
      <w:r>
        <w:rPr>
          <w:rFonts w:ascii="Arial" w:cs="Arial" w:eastAsia="Arial" w:hAnsi="Arial"/>
          <w:sz w:val="18"/>
          <w:szCs w:val="18"/>
          <w:color w:val="auto"/>
        </w:rPr>
        <w:t>Ichthyosis is a family of rare, inherited, dermatological disorders characterized by dry, scaling and thickened skin. Recent human translational studies have suggested that the underlying skin inflammation responsible for ichthyosis is mediated by dysregulated IL-36 signaling, and we believe that imsidolimab treatment may be efficacious in treatment of this condition. Approximately 6,000 patients in the United States are affected with moderate-to-severe levels of ichthyosis and no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therapies are available for this disease. We anticipate initiating a Phase 2 trial of imsidolimab in this indication during the fourth quarter of 2020.</w:t>
      </w:r>
    </w:p>
    <w:p>
      <w:pPr>
        <w:spacing w:after="0" w:line="223" w:lineRule="exact"/>
        <w:rPr>
          <w:sz w:val="20"/>
          <w:szCs w:val="20"/>
          <w:color w:val="auto"/>
        </w:rPr>
      </w:pPr>
    </w:p>
    <w:p>
      <w:pPr>
        <w:ind w:right="20" w:firstLine="567"/>
        <w:spacing w:after="0" w:line="253" w:lineRule="auto"/>
        <w:rPr>
          <w:sz w:val="20"/>
          <w:szCs w:val="20"/>
          <w:color w:val="auto"/>
        </w:rPr>
      </w:pPr>
      <w:r>
        <w:rPr>
          <w:rFonts w:ascii="Arial" w:cs="Arial" w:eastAsia="Arial" w:hAnsi="Arial"/>
          <w:sz w:val="17"/>
          <w:szCs w:val="17"/>
          <w:color w:val="auto"/>
        </w:rPr>
        <w:t>Etokimab, our anti-IL-33 antibody previously referred to as ANB020, inhibits the activity of the interleukin-33 cytokine (“IL-33”), which we believe may be applicable to the treatment of respiratory disorders. We are conducting a randomized, placebo-controlled Phase 2 trial of etokimab in approximately 100 adult patients with CRSwNP, also referred to as the ECLIPSE trial, which is a debilitating atopic disorder associated with elevated IL-33 pathway signaling. We recently reported top-line data from a week 8 interim analysis of the ECLIPSE trial. Patients dosed with etokimab every four (q4w) or eight weeks (q8w) failed to achieve statistically significant improvement in their bilateral nasal polyps score (NPS), an endoscopic measure of nasal occlusion, and in their sino-nasal outcome test (SNOT-22), a patient reported quality-of-life assessment, versus placebo at the week 8 timepoint. Both endpoints demonstrated statistically significant improvement over baseline levels of NPS and SNOT-22. Blood eosinophil levels, which are a biomarker of etokimab’s mechanism, demonstrated statistically significant reduction relative to baseline in both etokimab treatment arms. We intend to determine next steps for the etokimab program after reviewing week 16 primary endpoint by year-end 2020.</w:t>
      </w:r>
    </w:p>
    <w:p>
      <w:pPr>
        <w:spacing w:after="0" w:line="184" w:lineRule="exact"/>
        <w:rPr>
          <w:sz w:val="20"/>
          <w:szCs w:val="20"/>
          <w:color w:val="auto"/>
        </w:rPr>
      </w:pPr>
    </w:p>
    <w:p>
      <w:pPr>
        <w:ind w:right="60" w:firstLine="567"/>
        <w:spacing w:after="0" w:line="239" w:lineRule="auto"/>
        <w:rPr>
          <w:sz w:val="20"/>
          <w:szCs w:val="20"/>
          <w:color w:val="auto"/>
        </w:rPr>
      </w:pPr>
      <w:r>
        <w:rPr>
          <w:rFonts w:ascii="Arial" w:cs="Arial" w:eastAsia="Arial" w:hAnsi="Arial"/>
          <w:sz w:val="18"/>
          <w:szCs w:val="18"/>
          <w:color w:val="auto"/>
        </w:rPr>
        <w:t>Our third wholly-owned program, ANB030, is an anti-PD-1 agonist antibody program designed to augment PD-1 signaling through ANB030 treatment to suppress T-cell driven human inflammatory diseases. Genetic mutations in the PD-1 pathway are known to be associated with increased susceptibility to human inflammatory diseases, and hence we believe that ANB030 is applicable to diseases where PD-1 checkpoint receptor function may be under-represented. We presented preclinical data for ANB030 at the Festival of Biologics Annual Meeting in March 2020. Our Investigational New Drug Application (“IND”) for ANB030 has been cleared, and in the first half of 2020 we initiated a Phase 1 healthy volunteer clinical trial, which is designed to assess the safety, pharmacokinetics and pharmacodynamics of ANB030 in single and multiple ascending dose cohorts. We anticipate top-line data from this Phase 1 trial in mid-2021.</w:t>
      </w:r>
    </w:p>
    <w:p>
      <w:pPr>
        <w:spacing w:after="0" w:line="191" w:lineRule="exact"/>
        <w:rPr>
          <w:sz w:val="20"/>
          <w:szCs w:val="20"/>
          <w:color w:val="auto"/>
        </w:rPr>
      </w:pPr>
    </w:p>
    <w:p>
      <w:pPr>
        <w:ind w:right="140" w:firstLine="567"/>
        <w:spacing w:after="0" w:line="259" w:lineRule="auto"/>
        <w:rPr>
          <w:sz w:val="20"/>
          <w:szCs w:val="20"/>
          <w:color w:val="auto"/>
        </w:rPr>
      </w:pPr>
      <w:r>
        <w:rPr>
          <w:rFonts w:ascii="Arial" w:cs="Arial" w:eastAsia="Arial" w:hAnsi="Arial"/>
          <w:sz w:val="18"/>
          <w:szCs w:val="18"/>
          <w:color w:val="auto"/>
        </w:rPr>
        <w:t>Our fourth wholly-owned program is an anti-BTLA modulator antibody, known as ANB032, which is broadly applicable to human inflammatory diseases associated with lymphoid and myeloid immune cell dysregulation. Mutations in the BTLA signaling pathway are associated with human inflammatory disease and we believe ANB032 silences pro-inflammatory signaling by modulating BTLA binding to HVEM. We anticipate filing an IND for ANB032 during the fourth quarter of 2020.</w:t>
      </w:r>
    </w:p>
    <w:p>
      <w:pPr>
        <w:spacing w:after="0" w:line="187" w:lineRule="exact"/>
        <w:rPr>
          <w:sz w:val="20"/>
          <w:szCs w:val="20"/>
          <w:color w:val="auto"/>
        </w:rPr>
      </w:pPr>
    </w:p>
    <w:p>
      <w:pPr>
        <w:ind w:firstLine="567"/>
        <w:spacing w:after="0" w:line="267" w:lineRule="auto"/>
        <w:rPr>
          <w:sz w:val="20"/>
          <w:szCs w:val="20"/>
          <w:color w:val="auto"/>
        </w:rPr>
      </w:pPr>
      <w:r>
        <w:rPr>
          <w:rFonts w:ascii="Arial" w:cs="Arial" w:eastAsia="Arial" w:hAnsi="Arial"/>
          <w:sz w:val="16"/>
          <w:szCs w:val="16"/>
          <w:color w:val="auto"/>
        </w:rPr>
        <w:t>In addition to our wholly-owned antibody programs, multiple Company-developed antibody programs have been advanced to preclinical and clinical milestones under our collaborations. We have received to date approximately $105.0 million in cash receipts from collaborations. Our collaborations include an immuno-oncology-focused collaboration with GSK, Inc. and an inflammation-focused collaboration with BMS Corporation. A Biologics License Application (“BLA”) for our most advanced partnered program, which is an anti-PD-1 antagonist antibody called dostarlimab, was submitted by GSK and accepted by the FDA for the treatment of advanced or recurrent deficient mismatch repair endometrial cancer (“dMMREC”). In addition, the European Medicines Agency (“EMA”) recently accepted GSK’s Marketing Authorization Application (“MAA”) for dostarlimab in the EU for (dMMREC). We received a $10.0 million cash milestone payment upon the FDA acceptance and anticipate an additional $20.0 million cash milestone payment upon first FDA approval of dostarlimab during the second half of 2020. This FDA approval is dependent on a pre-approval inspection of the dostarlimab manufacturing site by the FDA and the approval is therefore contingent on easing of COVID-19 travel restrictions. We also received a $5.0 million milestone payment for the EMA acceptance and anticipate an additional $10.0 million cash milestone payment upon EMA approval. In addition, GSK anticipates submitting a regulatory filing for potential approval of dostarlimab in a second indication, the treatment of pan-deficient mismatch repair tumors, during the first half of 2021.We anticipate receiving additional milestones from GSK, of equal magnitude to the milestone payments outlined</w:t>
      </w:r>
    </w:p>
    <w:p>
      <w:pPr>
        <w:spacing w:after="0" w:line="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above, upon acceptance and approval of BLA and EMA filings of dostarlimab for this second indication. Dostarlimab is also under development at GSK for a number of additional oncological indications. For more information about these collaborations, see Part I-Note 4, Collaborative Research and Development Agreements,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3" w:name="page24"/>
    <w:bookmarkEnd w:id="23"/>
    <w:p>
      <w:pPr>
        <w:spacing w:after="0" w:line="3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certain key information about our wholly-owned and partnered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83185</wp:posOffset>
            </wp:positionV>
            <wp:extent cx="5863590" cy="3617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63590" cy="361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In addition, in December 2019, a strain of coronavirus was reported in Wuhan, China, and began to spread globally, including to the United States and Europe, in the following months. The World Health Organization has declared COVID-19 to be a pandemic and a public health emergency of international concern. The full impact of the COVID-19 outbreak is inherently uncertain at the time of this report. The COVID-19 outbreak has resulted in travel restrictions and in some cases, prohibitions of non-essential activities, disruption and shutdown of businesses and greater uncertainty in global financial markets. As COVID-19 has spread, it has significantly impacted the health and economic environment around the world and many governments have closed most public establishments, including restaurants, workplaces and schools. Our ongoing clinical trials have been, and may continue to be, affected by the closure of offices, or country borders, among other measures being put in place around the world. The inability to travel and conduct face-to-face meetings can also make it more difficult to enroll new patients in ongoing or planned clinical trials. Any of these circumstances will potentially have a negative impact on our financial results and the timing of our clinical trials.</w:t>
      </w:r>
    </w:p>
    <w:p>
      <w:pPr>
        <w:spacing w:after="0" w:line="73"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The COVID-19 pandemic has caused us to modify our business practices (including but not limited to curtailing or modifying employee travel, moving to full remote work, and cancelling physical participation in meetings, events and conferences), and we may take further actions as may be required by government authorities or that we determine are in the best interests of our employees, patients and business partners.</w:t>
      </w:r>
    </w:p>
    <w:p>
      <w:pPr>
        <w:spacing w:after="0" w:line="57" w:lineRule="exact"/>
        <w:rPr>
          <w:sz w:val="20"/>
          <w:szCs w:val="20"/>
          <w:color w:val="auto"/>
        </w:rPr>
      </w:pPr>
    </w:p>
    <w:p>
      <w:pPr>
        <w:ind w:right="180" w:firstLine="486"/>
        <w:spacing w:after="0" w:line="308" w:lineRule="auto"/>
        <w:rPr>
          <w:sz w:val="20"/>
          <w:szCs w:val="20"/>
          <w:color w:val="auto"/>
        </w:rPr>
      </w:pPr>
      <w:r>
        <w:rPr>
          <w:rFonts w:ascii="Arial" w:cs="Arial" w:eastAsia="Arial" w:hAnsi="Arial"/>
          <w:sz w:val="17"/>
          <w:szCs w:val="17"/>
          <w:color w:val="auto"/>
        </w:rPr>
        <w:t>The extent of the impact of the COVID-19 on our future liquidity and operational performance will depend on certain developments, including the duration and spread of the outbreak, the impact on our trials, patients and collaboration partners, and the effect on our suppliers.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 w:name="page25"/>
    <w:bookmarkEnd w:id="24"/>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jc w:val="both"/>
        <w:ind w:right="220" w:firstLine="445"/>
        <w:spacing w:after="0" w:line="263" w:lineRule="auto"/>
        <w:rPr>
          <w:sz w:val="20"/>
          <w:szCs w:val="20"/>
          <w:color w:val="auto"/>
        </w:rPr>
      </w:pPr>
      <w:r>
        <w:rPr>
          <w:rFonts w:ascii="Arial" w:cs="Arial" w:eastAsia="Arial" w:hAnsi="Arial"/>
          <w:sz w:val="18"/>
          <w:szCs w:val="18"/>
          <w:color w:val="auto"/>
        </w:rPr>
        <w:t>We have not generated any revenue from product sales. Our revenue has been derived from amortization of upfront license payments, research and development funding and milestone payments under collaboration and license agreements with our collaborators. From inception through June 30, 2020, we have received $104.6 million in cash in non-dilutive funding from our collaborators.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520" w:firstLine="445"/>
        <w:spacing w:after="0" w:line="308" w:lineRule="auto"/>
        <w:rPr>
          <w:sz w:val="20"/>
          <w:szCs w:val="20"/>
          <w:color w:val="auto"/>
        </w:rPr>
      </w:pPr>
      <w:r>
        <w:rPr>
          <w:rFonts w:ascii="Arial" w:cs="Arial" w:eastAsia="Arial" w:hAnsi="Arial"/>
          <w:sz w:val="17"/>
          <w:szCs w:val="17"/>
          <w:color w:val="auto"/>
        </w:rPr>
        <w:t>Research and development expenses consist of costs associated with our research and development activities, including drug discovery efforts, preclinical and clinical development of our programs, and manufacturing. Our research and development expenses include:</w:t>
      </w:r>
    </w:p>
    <w:p>
      <w:pPr>
        <w:spacing w:after="0" w:line="38" w:lineRule="exact"/>
        <w:rPr>
          <w:sz w:val="20"/>
          <w:szCs w:val="20"/>
          <w:color w:val="auto"/>
        </w:rPr>
      </w:pPr>
    </w:p>
    <w:p>
      <w:pPr>
        <w:ind w:left="900" w:right="420" w:hanging="406"/>
        <w:spacing w:after="0" w:line="342" w:lineRule="auto"/>
        <w:tabs>
          <w:tab w:leader="none" w:pos="895"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External research and development expenses incurred under arrangements with third parties, such as Contract Research Organizations (“CROs”), consultants, members of our scientific and therapeutic advisory boards, and Contract Manufacturing Organizations (“CMOs”);</w:t>
      </w:r>
    </w:p>
    <w:p>
      <w:pPr>
        <w:spacing w:after="0" w:line="15" w:lineRule="exact"/>
        <w:rPr>
          <w:rFonts w:ascii="Arial" w:cs="Arial" w:eastAsia="Arial" w:hAnsi="Arial"/>
          <w:sz w:val="16"/>
          <w:szCs w:val="16"/>
          <w:color w:val="auto"/>
        </w:rPr>
      </w:pPr>
    </w:p>
    <w:p>
      <w:pPr>
        <w:ind w:left="900" w:hanging="40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stock-based compensation;</w:t>
      </w:r>
    </w:p>
    <w:p>
      <w:pPr>
        <w:spacing w:after="0" w:line="117" w:lineRule="exact"/>
        <w:rPr>
          <w:rFonts w:ascii="Arial" w:cs="Arial" w:eastAsia="Arial" w:hAnsi="Arial"/>
          <w:sz w:val="18"/>
          <w:szCs w:val="18"/>
          <w:color w:val="auto"/>
        </w:rPr>
      </w:pPr>
    </w:p>
    <w:p>
      <w:pPr>
        <w:ind w:left="900" w:right="600" w:hanging="406"/>
        <w:spacing w:after="0" w:line="277" w:lineRule="auto"/>
        <w:tabs>
          <w:tab w:leader="none" w:pos="8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and maintenance of facilities, depreciation of leasehold improvements and equipment, and laboratory supplies; and</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License and sub-license fees.</w:t>
      </w:r>
    </w:p>
    <w:p>
      <w:pPr>
        <w:spacing w:after="0" w:line="225" w:lineRule="exact"/>
        <w:rPr>
          <w:sz w:val="20"/>
          <w:szCs w:val="20"/>
          <w:color w:val="auto"/>
        </w:rPr>
      </w:pPr>
    </w:p>
    <w:p>
      <w:pPr>
        <w:ind w:right="40" w:firstLine="445"/>
        <w:spacing w:after="0" w:line="308" w:lineRule="auto"/>
        <w:rPr>
          <w:sz w:val="20"/>
          <w:szCs w:val="20"/>
          <w:color w:val="auto"/>
        </w:rPr>
      </w:pPr>
      <w:r>
        <w:rPr>
          <w:rFonts w:ascii="Arial" w:cs="Arial" w:eastAsia="Arial" w:hAnsi="Arial"/>
          <w:sz w:val="17"/>
          <w:szCs w:val="17"/>
          <w:color w:val="auto"/>
        </w:rPr>
        <w:t>We expense research and development costs as incurred. We account for nonrefundable advance payments for goods and services that will be used in future research and development activities as expense when the service has been performed or when the goods have been received.</w:t>
      </w:r>
    </w:p>
    <w:p>
      <w:pPr>
        <w:spacing w:after="0" w:line="38" w:lineRule="exact"/>
        <w:rPr>
          <w:sz w:val="20"/>
          <w:szCs w:val="20"/>
          <w:color w:val="auto"/>
        </w:rPr>
      </w:pPr>
    </w:p>
    <w:p>
      <w:pPr>
        <w:ind w:right="280" w:firstLine="445"/>
        <w:spacing w:after="0" w:line="301" w:lineRule="auto"/>
        <w:rPr>
          <w:sz w:val="20"/>
          <w:szCs w:val="20"/>
          <w:color w:val="auto"/>
        </w:rPr>
      </w:pPr>
      <w:r>
        <w:rPr>
          <w:rFonts w:ascii="Arial" w:cs="Arial" w:eastAsia="Arial" w:hAnsi="Arial"/>
          <w:sz w:val="16"/>
          <w:szCs w:val="16"/>
          <w:color w:val="auto"/>
        </w:rPr>
        <w:t xml:space="preserve">We are conducting research and development activities primarily on inflammation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and pharmacology studies, drug product manufacturing and clinical trials.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completed Phase 1 and 2a trials for etokimab and Phase 1 trials for imsidolimab and have ongoing Phase 2 clinical trials as well</w:t>
      </w:r>
      <w:r>
        <w:rPr>
          <w:rFonts w:ascii="Arial" w:cs="Arial" w:eastAsia="Arial" w:hAnsi="Arial"/>
          <w:sz w:val="17"/>
          <w:szCs w:val="17"/>
          <w:color w:val="231F20"/>
        </w:rPr>
        <w:t>.</w:t>
      </w:r>
    </w:p>
    <w:p>
      <w:pPr>
        <w:spacing w:after="0" w:line="34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firstLine="445"/>
        <w:spacing w:after="0" w:line="311" w:lineRule="auto"/>
        <w:rPr>
          <w:sz w:val="20"/>
          <w:szCs w:val="20"/>
          <w:color w:val="auto"/>
        </w:rPr>
      </w:pPr>
      <w:r>
        <w:rPr>
          <w:rFonts w:ascii="Arial" w:cs="Arial" w:eastAsia="Arial" w:hAnsi="Arial"/>
          <w:sz w:val="16"/>
          <w:szCs w:val="16"/>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w:t>
      </w:r>
    </w:p>
    <w:p>
      <w:pPr>
        <w:spacing w:after="0" w:line="2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260" w:firstLine="445"/>
        <w:spacing w:after="0" w:line="263" w:lineRule="auto"/>
        <w:rPr>
          <w:sz w:val="20"/>
          <w:szCs w:val="20"/>
          <w:color w:val="auto"/>
        </w:rPr>
      </w:pPr>
      <w:r>
        <w:rPr>
          <w:rFonts w:ascii="Arial" w:cs="Arial" w:eastAsia="Arial" w:hAnsi="Arial"/>
          <w:sz w:val="18"/>
          <w:szCs w:val="18"/>
          <w:color w:val="auto"/>
        </w:rPr>
        <w:t>Interest expense consists of floating interest payments and amortization of discounts on our outstanding notes payable relating to our Loan and Security Agreement with Oxford Finance LLC and Silicon Valley Bank, as amended, which we refer to as the Loan Agreement. On January 1, 2020, the Loan Agreement was paid in full, without penalty or premium.</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income consists primarily of interest earned on our short-term and long-term investments, and is recognized when earned.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financial statements, which have been prepared in accordance with U.S. generally accepted accounting principles (“U.S.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We believe there have been no significant changes in our critical accounting policies as discussed in our Annual Report on Form 10-K filed with the SEC on March 2, 2020.</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Comparison of the Three and Six Months Ended June 30, 2020 and 2019</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We recognized $0 million and $15.0 million in collaboration revenue for the three and six months ended June 30, 2020, respectively, related to two milestone payments associated with dostarlimab, the anti-PD-1 antagonist antibody partnered with GSK. The first milestone payment was for $10.0 million for successful filing of the first NDA in a first indication and the second milestone payment was for $5.0 million for successful filing of the first MAA in a first indication. We recognized $5.0 million for both the three and six months ended June 30, 2019 related to a milestone payments for the initiation of a Phase 3 trial in a second indication for dostarlimab, the anti-PD-1 antagonist antibody. We expect that any collaboration revenue we generate will continue to fluctuate from period to period as a result of the timing and amount of milestones from our existing collaborations.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Research and development expenses were $17.9 million during the three months ended June 30, 2020 compared to $27.4 million during the three months ended June 30, 2019 for a decrease of $9.5 million, primarily due to a $7.6 million decrease in outside services for manufacturing expenses, $0.9 million decrease in salaries and related expenses, including stock compensation expense, $0.9 million decrease in clinical expenses, and a $0.1 million decrease in other research and development expenses.</w:t>
      </w:r>
    </w:p>
    <w:p>
      <w:pPr>
        <w:spacing w:after="0" w:line="7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Research and development expenses were $38.9 million during the six months ended June 30, 2020 compared to $48.0 million during the six months ended June 30, 2019 for a decrease of $9.1 million, primarily due to a $7.6 million decrease in outside services for manufacturing expenses, $1.0 million decrease in salaries and related expenses, including stock compensation expense, $0.4 million decrease in clinical expenses, and a $0.1 million decrease in other research and development expenses.</w:t>
      </w:r>
    </w:p>
    <w:p>
      <w:pPr>
        <w:spacing w:after="0" w:line="79"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We do not track fully burdened research and development costs separately for each of our drug candidates. We review our research and development expenses by focusing on external development and internal 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share-based compensation and benefits, which are not tracked by product candidate as several of our departments support multiple product candidate research and development programs. The following table summarizes the external costs attributable to each program and internal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2"/>
        </w:trPr>
        <w:tc>
          <w:tcPr>
            <w:tcW w:w="4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7"/>
        </w:trPr>
        <w:tc>
          <w:tcPr>
            <w:tcW w:w="4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Increase/(Decrease)</w:t>
            </w:r>
          </w:p>
        </w:tc>
        <w:tc>
          <w:tcPr>
            <w:tcW w:w="240" w:type="dxa"/>
            <w:vAlign w:val="bottom"/>
          </w:tcPr>
          <w:p>
            <w:pPr>
              <w:spacing w:after="0"/>
              <w:rPr>
                <w:sz w:val="17"/>
                <w:szCs w:val="17"/>
                <w:color w:val="auto"/>
              </w:rPr>
            </w:pPr>
          </w:p>
        </w:tc>
        <w:tc>
          <w:tcPr>
            <w:tcW w:w="820" w:type="dxa"/>
            <w:vAlign w:val="bottom"/>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Increase/(Decrease)</w:t>
            </w:r>
          </w:p>
        </w:tc>
      </w:tr>
      <w:tr>
        <w:trPr>
          <w:trHeight w:val="236"/>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External Costs</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Etokimab</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75"/>
              <w:spacing w:after="0"/>
              <w:rPr>
                <w:sz w:val="20"/>
                <w:szCs w:val="20"/>
                <w:color w:val="auto"/>
              </w:rPr>
            </w:pPr>
            <w:r>
              <w:rPr>
                <w:rFonts w:ascii="Arial" w:cs="Arial" w:eastAsia="Arial" w:hAnsi="Arial"/>
                <w:sz w:val="18"/>
                <w:szCs w:val="18"/>
                <w:color w:val="auto"/>
              </w:rPr>
              <w:t>3,969</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11,667</w:t>
            </w:r>
          </w:p>
        </w:tc>
        <w:tc>
          <w:tcPr>
            <w:tcW w:w="10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(7,698)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75"/>
              <w:spacing w:after="0"/>
              <w:rPr>
                <w:sz w:val="20"/>
                <w:szCs w:val="20"/>
                <w:color w:val="auto"/>
              </w:rPr>
            </w:pPr>
            <w:r>
              <w:rPr>
                <w:rFonts w:ascii="Arial" w:cs="Arial" w:eastAsia="Arial" w:hAnsi="Arial"/>
                <w:sz w:val="18"/>
                <w:szCs w:val="18"/>
                <w:color w:val="auto"/>
              </w:rPr>
              <w:t>11,891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19,163</w:t>
            </w:r>
          </w:p>
        </w:tc>
        <w:tc>
          <w:tcPr>
            <w:tcW w:w="10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(7,272)</w:t>
            </w:r>
          </w:p>
        </w:tc>
      </w:tr>
      <w:tr>
        <w:trPr>
          <w:trHeight w:val="27"/>
        </w:trPr>
        <w:tc>
          <w:tcPr>
            <w:tcW w:w="4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Imsidolimab</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3,625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5,108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8,816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10,165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(1,349)</w:t>
            </w: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ANB030</w:t>
            </w:r>
          </w:p>
        </w:tc>
        <w:tc>
          <w:tcPr>
            <w:tcW w:w="240" w:type="dxa"/>
            <w:vAlign w:val="bottom"/>
          </w:tcPr>
          <w:p>
            <w:pPr>
              <w:spacing w:after="0"/>
              <w:rPr>
                <w:sz w:val="21"/>
                <w:szCs w:val="21"/>
                <w:color w:val="auto"/>
              </w:rPr>
            </w:pPr>
          </w:p>
        </w:tc>
        <w:tc>
          <w:tcPr>
            <w:tcW w:w="800" w:type="dxa"/>
            <w:vAlign w:val="bottom"/>
          </w:tcPr>
          <w:p>
            <w:pPr>
              <w:jc w:val="right"/>
              <w:ind w:right="75"/>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3,494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(2,521)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75"/>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4,977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(3,338)</w:t>
            </w:r>
          </w:p>
        </w:tc>
      </w:tr>
      <w:tr>
        <w:trPr>
          <w:trHeight w:val="27"/>
        </w:trPr>
        <w:tc>
          <w:tcPr>
            <w:tcW w:w="4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Preclinical and other unallocated costs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5,392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3,191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7,997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4,147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3,850</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Total External Costs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13,959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22,470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(8,511)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30,343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38,452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(8,109)</w:t>
            </w:r>
          </w:p>
        </w:tc>
      </w:tr>
      <w:tr>
        <w:trPr>
          <w:trHeight w:val="27"/>
        </w:trPr>
        <w:tc>
          <w:tcPr>
            <w:tcW w:w="4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Internal Costs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3,989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4,880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8,573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9,529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(956)</w:t>
            </w:r>
          </w:p>
        </w:tc>
      </w:tr>
      <w:tr>
        <w:trPr>
          <w:trHeight w:val="263"/>
        </w:trPr>
        <w:tc>
          <w:tcPr>
            <w:tcW w:w="4080" w:type="dxa"/>
            <w:vAlign w:val="bottom"/>
          </w:tcPr>
          <w:p>
            <w:pPr>
              <w:ind w:left="20"/>
              <w:spacing w:after="0"/>
              <w:rPr>
                <w:sz w:val="20"/>
                <w:szCs w:val="20"/>
                <w:color w:val="auto"/>
              </w:rPr>
            </w:pPr>
            <w:r>
              <w:rPr>
                <w:rFonts w:ascii="Arial" w:cs="Arial" w:eastAsia="Arial" w:hAnsi="Arial"/>
                <w:sz w:val="18"/>
                <w:szCs w:val="18"/>
                <w:color w:val="auto"/>
              </w:rPr>
              <w:t>Total Costs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17,948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27,350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(9,402)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38,916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47,981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(9,065)</w:t>
            </w:r>
          </w:p>
        </w:tc>
      </w:tr>
      <w:tr>
        <w:trPr>
          <w:trHeight w:val="21"/>
        </w:trPr>
        <w:tc>
          <w:tcPr>
            <w:tcW w:w="4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00" w:firstLine="567"/>
        <w:spacing w:after="0" w:line="259" w:lineRule="auto"/>
        <w:rPr>
          <w:sz w:val="20"/>
          <w:szCs w:val="20"/>
          <w:color w:val="auto"/>
        </w:rPr>
      </w:pPr>
      <w:r>
        <w:rPr>
          <w:rFonts w:ascii="Arial" w:cs="Arial" w:eastAsia="Arial" w:hAnsi="Arial"/>
          <w:sz w:val="18"/>
          <w:szCs w:val="18"/>
          <w:color w:val="auto"/>
        </w:rPr>
        <w:t>General and administrative expenses were $4.7 million during the three months ended June 30, 2020 compared to $4.3 million during the three months ended June 30, 2019 for an increase of $0.4 million, primarily due to a $0.6 million increase in legal expenses and $0.2 million increase in insurance expense, offset by a $0.2 million decrease in personnel costs including stock compensation expense, $0.1 million decrease in professional fees, and $0.1 million decrease in travel expenses.</w:t>
      </w:r>
    </w:p>
    <w:p>
      <w:pPr>
        <w:spacing w:after="0" w:line="79" w:lineRule="exact"/>
        <w:rPr>
          <w:sz w:val="20"/>
          <w:szCs w:val="20"/>
          <w:color w:val="auto"/>
        </w:rPr>
      </w:pPr>
    </w:p>
    <w:p>
      <w:pPr>
        <w:ind w:right="100" w:firstLine="567"/>
        <w:spacing w:after="0" w:line="259" w:lineRule="auto"/>
        <w:rPr>
          <w:sz w:val="20"/>
          <w:szCs w:val="20"/>
          <w:color w:val="auto"/>
        </w:rPr>
      </w:pPr>
      <w:r>
        <w:rPr>
          <w:rFonts w:ascii="Arial" w:cs="Arial" w:eastAsia="Arial" w:hAnsi="Arial"/>
          <w:sz w:val="18"/>
          <w:szCs w:val="18"/>
          <w:color w:val="auto"/>
        </w:rPr>
        <w:t>General and administrative expenses were $9.0 million during the six months ended June 30, 2020 compared to $8.4 million during the six months ended June 30, 2019 for an increase of $0.6 million, primarily due to a $0.6 million increase in legal expenses and $0.4 million increase in insurance expense, offset by a $0.3 million decrease in professional fees, $0.1 million decrease in personnel costs including stock compensation expense, and $0.1 million decrease in travel expenses.</w:t>
      </w:r>
    </w:p>
    <w:p>
      <w:pPr>
        <w:spacing w:after="0" w:line="79" w:lineRule="exact"/>
        <w:rPr>
          <w:sz w:val="20"/>
          <w:szCs w:val="20"/>
          <w:color w:val="auto"/>
        </w:rPr>
      </w:pPr>
    </w:p>
    <w:p>
      <w:pPr>
        <w:ind w:right="100" w:firstLine="567"/>
        <w:spacing w:after="0" w:line="259" w:lineRule="auto"/>
        <w:rPr>
          <w:sz w:val="20"/>
          <w:szCs w:val="20"/>
          <w:color w:val="auto"/>
        </w:rPr>
      </w:pPr>
      <w:r>
        <w:rPr>
          <w:rFonts w:ascii="Arial" w:cs="Arial" w:eastAsia="Arial" w:hAnsi="Arial"/>
          <w:sz w:val="18"/>
          <w:szCs w:val="18"/>
          <w:color w:val="auto"/>
        </w:rPr>
        <w:t>We expect that our general and administrative expenses will increase for the foreseeable future as we incur additional costs associated with being a publicly traded company, including legal, auditing and filing fees, additional insurance premiums, investor relations expenses and general compliance and consulting expenses. We also expect our intellectual property related legal expenses, including those related to preparing, filing, prosecuting and maintaining patent applications, to increase as our intellectual property portfolio expands.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ind w:right="220" w:firstLine="445"/>
        <w:spacing w:after="0" w:line="263" w:lineRule="auto"/>
        <w:rPr>
          <w:sz w:val="20"/>
          <w:szCs w:val="20"/>
          <w:color w:val="auto"/>
        </w:rPr>
      </w:pPr>
      <w:r>
        <w:rPr>
          <w:rFonts w:ascii="Arial" w:cs="Arial" w:eastAsia="Arial" w:hAnsi="Arial"/>
          <w:sz w:val="18"/>
          <w:szCs w:val="18"/>
          <w:color w:val="auto"/>
        </w:rPr>
        <w:t>Interest expense was $0 for both the three and six months ended June 30, 2020, and $0.3 million and $0.6 million during the three and six months ended June 30, 2019, respectively. The decrease in interest expense during the periods is due to the final payment made on our Term Loans on January 1, 2020.</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Interest income was $1.1 million and $3.0 million during the three and six months ended June 30, 2020, respectively, and was $3.0 million and $5.9 million during the three and six months ended June 30, 2019, respectively, which primarily related to our short-term and long-term investments, the balance of which decreased during the periods as a result of funding our clinical trial programs. The decrease in interest income is also attributable to lower interest rates during the six months ended June 30, 2020.</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Other income (expense), net was income of less than $0.1 million and expense of less than $0.1 million for the three and six months ended June 30, 2020, respectively, and income of $0.1 million and expense of less than $0.1 million for the three and six months ended June 30, 2019, respectively, and primarily related to foreign exchange transactions through our Australian subsidiary and with our foreign CROs and CMOs.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60" w:firstLine="445"/>
        <w:spacing w:after="0" w:line="263" w:lineRule="auto"/>
        <w:rPr>
          <w:sz w:val="20"/>
          <w:szCs w:val="20"/>
          <w:color w:val="auto"/>
        </w:rPr>
      </w:pPr>
      <w:r>
        <w:rPr>
          <w:rFonts w:ascii="Arial" w:cs="Arial" w:eastAsia="Arial" w:hAnsi="Arial"/>
          <w:sz w:val="18"/>
          <w:szCs w:val="18"/>
          <w:color w:val="auto"/>
        </w:rPr>
        <w:t>From our inception through June 30, 2020, we have received an aggregate of $743.6 million to fund our operations which included $619.9 million from the sale of equity securities, $104.6 million from our collaboration agreements and $19.1 million from venture debt. As of June 30, 2020, we had $392.2 million in cash, cash equivalents and investments.</w:t>
      </w:r>
    </w:p>
    <w:p>
      <w:pPr>
        <w:spacing w:after="0" w:line="76"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In addition to our existing cash, cash equivalents and investments, we are eligible to earn milestone and other contingent payments for the achievement of defined collaboration objectives and certain nonclinical, clinical, regulatory and sales-based events,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 Our rights to payments under our collaboration agreements are our only committed external source of funds.</w:t>
      </w:r>
    </w:p>
    <w:p>
      <w:pPr>
        <w:spacing w:after="0" w:line="80" w:lineRule="exact"/>
        <w:rPr>
          <w:sz w:val="20"/>
          <w:szCs w:val="20"/>
          <w:color w:val="auto"/>
        </w:rPr>
      </w:pPr>
    </w:p>
    <w:p>
      <w:pPr>
        <w:ind w:right="280" w:firstLine="445"/>
        <w:spacing w:after="0" w:line="263" w:lineRule="auto"/>
        <w:rPr>
          <w:sz w:val="20"/>
          <w:szCs w:val="20"/>
          <w:color w:val="auto"/>
        </w:rPr>
      </w:pPr>
      <w:r>
        <w:rPr>
          <w:rFonts w:ascii="Arial" w:cs="Arial" w:eastAsia="Arial" w:hAnsi="Arial"/>
          <w:sz w:val="18"/>
          <w:szCs w:val="18"/>
          <w:color w:val="auto"/>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21" w:lineRule="exact"/>
        <w:rPr>
          <w:sz w:val="20"/>
          <w:szCs w:val="20"/>
          <w:color w:val="auto"/>
        </w:rPr>
      </w:pPr>
    </w:p>
    <w:p>
      <w:pPr>
        <w:ind w:right="60" w:firstLine="445"/>
        <w:spacing w:after="0" w:line="275" w:lineRule="auto"/>
        <w:rPr>
          <w:sz w:val="20"/>
          <w:szCs w:val="20"/>
          <w:color w:val="auto"/>
        </w:rPr>
      </w:pPr>
      <w:r>
        <w:rPr>
          <w:rFonts w:ascii="Arial" w:cs="Arial" w:eastAsia="Arial" w:hAnsi="Arial"/>
          <w:sz w:val="17"/>
          <w:szCs w:val="17"/>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have entered into agreements with certain vendors for the provision of services, including services related to commercial manufacturing, that we are unable to terminate for convenience. Under such agreements, we are contractually obligated to make certain minimum payments to the vendors, with the amounts to be based on the timing of the termination and the specific terms of the agreement.</w:t>
      </w:r>
    </w:p>
    <w:p>
      <w:pPr>
        <w:spacing w:after="0" w:line="176" w:lineRule="exact"/>
        <w:rPr>
          <w:sz w:val="20"/>
          <w:szCs w:val="20"/>
          <w:color w:val="auto"/>
        </w:rPr>
      </w:pPr>
    </w:p>
    <w:p>
      <w:pPr>
        <w:ind w:right="200" w:firstLine="567"/>
        <w:spacing w:after="0" w:line="279" w:lineRule="auto"/>
        <w:rPr>
          <w:sz w:val="20"/>
          <w:szCs w:val="20"/>
          <w:color w:val="auto"/>
        </w:rPr>
      </w:pPr>
      <w:r>
        <w:rPr>
          <w:rFonts w:ascii="Arial" w:cs="Arial" w:eastAsia="Arial" w:hAnsi="Arial"/>
          <w:sz w:val="17"/>
          <w:szCs w:val="17"/>
          <w:color w:val="auto"/>
        </w:rPr>
        <w:t>As a publicly traded company, we incur significant legal, accounting and other expenses that were not required as a private company. In addition, the Sarbanes-Oxley Act of 2002, as well as rules adopted by the SEC and The Nasdaq Global Stock Market, requires public companies to implement specified corporate governance practices that were inapplicable to us as a private company. These rules and regulations have increased our legal and financial compliance costs, have made and will continue to make certain activities more time-consuming and costly.</w:t>
      </w:r>
    </w:p>
    <w:p>
      <w:pPr>
        <w:spacing w:after="0" w:line="63" w:lineRule="exact"/>
        <w:rPr>
          <w:sz w:val="20"/>
          <w:szCs w:val="20"/>
          <w:color w:val="auto"/>
        </w:rPr>
      </w:pPr>
    </w:p>
    <w:p>
      <w:pPr>
        <w:ind w:right="40" w:firstLine="445"/>
        <w:spacing w:after="0" w:line="279" w:lineRule="auto"/>
        <w:rPr>
          <w:sz w:val="20"/>
          <w:szCs w:val="20"/>
          <w:color w:val="auto"/>
        </w:rPr>
      </w:pPr>
      <w:r>
        <w:rPr>
          <w:rFonts w:ascii="Arial" w:cs="Arial" w:eastAsia="Arial" w:hAnsi="Arial"/>
          <w:sz w:val="17"/>
          <w:szCs w:val="17"/>
          <w:color w:val="auto"/>
        </w:rPr>
        <w:t>Cash, cash equivalents and investments totaled $392.2 million as of June 30, 2020, compared to $428.5 million as of December 31, 2019. We believe that our existing cash, cash equivalents and investments will fund our current operating plan at least into 2023. We have based this estimate on assumptions that may prove to be wrong, and we could use our capital resources sooner than we expect. Additionally, the process of testing drug candidates in clinical trials is costly, and the timing of progress and expenses in these trials is uncertain.</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six months ended June 30, 2020 and 2019:</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tcPr>
          <w:p>
            <w:pPr>
              <w:spacing w:after="0"/>
              <w:rPr>
                <w:sz w:val="14"/>
                <w:szCs w:val="14"/>
                <w:color w:val="auto"/>
              </w:rPr>
            </w:pPr>
          </w:p>
        </w:tc>
      </w:tr>
      <w:tr>
        <w:trPr>
          <w:trHeight w:val="192"/>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r>
      <w:tr>
        <w:trPr>
          <w:trHeight w:val="197"/>
        </w:trPr>
        <w:tc>
          <w:tcPr>
            <w:tcW w:w="798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36"/>
        </w:trPr>
        <w:tc>
          <w:tcPr>
            <w:tcW w:w="7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(used in) provided by:</w:t>
            </w:r>
          </w:p>
        </w:tc>
        <w:tc>
          <w:tcPr>
            <w:tcW w:w="36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(34,722)</w:t>
            </w:r>
          </w:p>
        </w:tc>
        <w:tc>
          <w:tcPr>
            <w:tcW w:w="10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(31,616)</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Investing activities</w:t>
            </w:r>
          </w:p>
        </w:tc>
        <w:tc>
          <w:tcPr>
            <w:tcW w:w="36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ind w:right="78"/>
              <w:spacing w:after="0"/>
              <w:rPr>
                <w:sz w:val="20"/>
                <w:szCs w:val="20"/>
                <w:color w:val="auto"/>
              </w:rPr>
            </w:pPr>
            <w:r>
              <w:rPr>
                <w:rFonts w:ascii="Arial" w:cs="Arial" w:eastAsia="Arial" w:hAnsi="Arial"/>
                <w:sz w:val="18"/>
                <w:szCs w:val="18"/>
                <w:color w:val="auto"/>
              </w:rPr>
              <w:t>86,145</w:t>
            </w:r>
          </w:p>
        </w:tc>
        <w:tc>
          <w:tcPr>
            <w:tcW w:w="1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74"/>
              <w:spacing w:after="0"/>
              <w:rPr>
                <w:sz w:val="20"/>
                <w:szCs w:val="20"/>
                <w:color w:val="auto"/>
              </w:rPr>
            </w:pPr>
            <w:r>
              <w:rPr>
                <w:rFonts w:ascii="Arial" w:cs="Arial" w:eastAsia="Arial" w:hAnsi="Arial"/>
                <w:sz w:val="18"/>
                <w:szCs w:val="18"/>
                <w:color w:val="auto"/>
              </w:rPr>
              <w:t>67,533</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36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(2,961)</w:t>
            </w:r>
          </w:p>
        </w:tc>
      </w:tr>
      <w:tr>
        <w:trPr>
          <w:trHeight w:val="27"/>
        </w:trPr>
        <w:tc>
          <w:tcPr>
            <w:tcW w:w="79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9"/>
        </w:trPr>
        <w:tc>
          <w:tcPr>
            <w:tcW w:w="79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increase in cash, cash equivalents, and restricted cash</w:t>
            </w:r>
          </w:p>
        </w:tc>
        <w:tc>
          <w:tcPr>
            <w:tcW w:w="36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FF0FC"/>
            </w:tcBorders>
            <w:shd w:val="clear" w:color="auto" w:fill="CFF0FC"/>
          </w:tcPr>
          <w:p>
            <w:pPr>
              <w:jc w:val="right"/>
              <w:ind w:right="78"/>
              <w:spacing w:after="0"/>
              <w:rPr>
                <w:sz w:val="20"/>
                <w:szCs w:val="20"/>
                <w:color w:val="auto"/>
              </w:rPr>
            </w:pPr>
            <w:r>
              <w:rPr>
                <w:rFonts w:ascii="Arial" w:cs="Arial" w:eastAsia="Arial" w:hAnsi="Arial"/>
                <w:sz w:val="18"/>
                <w:szCs w:val="18"/>
                <w:color w:val="auto"/>
              </w:rPr>
              <w:t>50,155</w:t>
            </w:r>
          </w:p>
        </w:tc>
        <w:tc>
          <w:tcPr>
            <w:tcW w:w="10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FF0FC"/>
            </w:tcBorders>
            <w:shd w:val="clear" w:color="auto" w:fill="CFF0FC"/>
          </w:tcPr>
          <w:p>
            <w:pPr>
              <w:jc w:val="right"/>
              <w:ind w:right="74"/>
              <w:spacing w:after="0"/>
              <w:rPr>
                <w:sz w:val="20"/>
                <w:szCs w:val="20"/>
                <w:color w:val="auto"/>
              </w:rPr>
            </w:pPr>
            <w:r>
              <w:rPr>
                <w:rFonts w:ascii="Arial" w:cs="Arial" w:eastAsia="Arial" w:hAnsi="Arial"/>
                <w:sz w:val="18"/>
                <w:szCs w:val="18"/>
                <w:color w:val="auto"/>
              </w:rPr>
              <w:t>32,956</w:t>
            </w:r>
          </w:p>
        </w:tc>
      </w:tr>
      <w:tr>
        <w:trPr>
          <w:trHeight w:val="20"/>
        </w:trPr>
        <w:tc>
          <w:tcPr>
            <w:tcW w:w="79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180" w:firstLine="445"/>
        <w:spacing w:after="0" w:line="263" w:lineRule="auto"/>
        <w:rPr>
          <w:sz w:val="20"/>
          <w:szCs w:val="20"/>
          <w:color w:val="auto"/>
        </w:rPr>
      </w:pPr>
      <w:r>
        <w:rPr>
          <w:rFonts w:ascii="Arial" w:cs="Arial" w:eastAsia="Arial" w:hAnsi="Arial"/>
          <w:sz w:val="18"/>
          <w:szCs w:val="18"/>
          <w:color w:val="auto"/>
        </w:rPr>
        <w:t>Net cash used in operating activities during the six months ended June 30, 2020 of $34.7 million was primarily due to our net loss of $29.8 million, adjusted for addbacks for non-cash expenses of $6.1 million which includes stock-based compensation and net decreases in working capital of $11.0 million. Net cash used in operating activities during the six months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8" w:name="page29"/>
    <w:bookmarkEnd w:id="28"/>
    <w:p>
      <w:pPr>
        <w:spacing w:after="0" w:line="19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ended June 30, 2019 of $31.6 million was primarily due to our net loss of $46.0 million, adjusted for non-cash expenses of $5.2 million which includes stock-based compensation and net increases in working capital of $9.3 million.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440" w:firstLine="445"/>
        <w:spacing w:after="0" w:line="277" w:lineRule="auto"/>
        <w:rPr>
          <w:sz w:val="20"/>
          <w:szCs w:val="20"/>
          <w:color w:val="auto"/>
        </w:rPr>
      </w:pPr>
      <w:r>
        <w:rPr>
          <w:rFonts w:ascii="Arial" w:cs="Arial" w:eastAsia="Arial" w:hAnsi="Arial"/>
          <w:sz w:val="18"/>
          <w:szCs w:val="18"/>
          <w:color w:val="auto"/>
        </w:rPr>
        <w:t>Net cash provided by investing activities during the six months ended June 30, 2020 and 2019 of $86.1 million and $67.5 million, respectively, primarily relates to the timing of our investment maturity, which was used to fund our operating expenses.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The net cash used in financing activities during the six months ended June 30, 2020 of $1.3 million primarily related to principal and final payments of $1.4 million made on our Term Loans, offset by $0.1 million in proceeds from the issuance of common stock upon the exercise of stock options. The net cash used in financing activities during the six months ended June 30, 2019 of $3.0 million primarily related to principal payments of $3.8 million made on our Term Loans, offset by $0.8 million in proceeds from the issuance of common stock upon the exercise of stock options.</w:t>
      </w:r>
    </w:p>
    <w:p>
      <w:pPr>
        <w:spacing w:after="0" w:line="275" w:lineRule="exact"/>
        <w:rPr>
          <w:sz w:val="20"/>
          <w:szCs w:val="20"/>
          <w:color w:val="auto"/>
        </w:rPr>
      </w:pPr>
    </w:p>
    <w:p>
      <w:pPr>
        <w:jc w:val="center"/>
        <w:ind w:right="9320"/>
        <w:spacing w:after="0"/>
        <w:rPr>
          <w:sz w:val="20"/>
          <w:szCs w:val="20"/>
          <w:color w:val="auto"/>
        </w:rPr>
      </w:pPr>
      <w:r>
        <w:rPr>
          <w:rFonts w:ascii="Arial" w:cs="Arial" w:eastAsia="Arial" w:hAnsi="Arial"/>
          <w:sz w:val="16"/>
          <w:szCs w:val="16"/>
          <w:b w:val="1"/>
          <w:bCs w:val="1"/>
          <w:color w:val="auto"/>
        </w:rPr>
        <w:t>Contractual Obligations</w:t>
      </w:r>
    </w:p>
    <w:p>
      <w:pPr>
        <w:spacing w:after="0" w:line="144" w:lineRule="exact"/>
        <w:rPr>
          <w:sz w:val="20"/>
          <w:szCs w:val="20"/>
          <w:color w:val="auto"/>
        </w:rPr>
      </w:pPr>
    </w:p>
    <w:p>
      <w:pPr>
        <w:jc w:val="center"/>
        <w:ind w:right="93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We have two non-cancellable office leases (“Office Leases”) with remaining lease terms of approximately 1.25 years, each of which are classified as operating leases. Both leases expire in 2021. Only one of our leases has remaining renewal options, which includes three options to renew for one additional year. The exercise of lease renewal options is at our sole discretion, which we currently do not anticipate exercising and as such were not recognized as part of our ROU asset and lease liabilities. Our lease payments are fixed, and we recognize lease expense for these leases on a straight-line basis over the lease term. Operating lease ROU assets and lease liabilities are recorded based on the present value of the future minimum lease payments over the lease term at commencement date. As our leases do not provide an implicit rate, we used our incremental borrowing rate based on the information available at effective date of adoption in determining the present value of future payments. The weighted-average discount rate used was 8.59%.</w:t>
      </w:r>
    </w:p>
    <w:p>
      <w:pPr>
        <w:spacing w:after="0" w:line="166"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At June 30, 2020, the future minimum annual obligations under the Office Leases are $0.5 million and $0.7 million for the remainder of fiscal years ending 2020 and 2021, respectively.</w:t>
      </w:r>
    </w:p>
    <w:p>
      <w:pPr>
        <w:spacing w:after="0" w:line="170" w:lineRule="exact"/>
        <w:rPr>
          <w:sz w:val="20"/>
          <w:szCs w:val="20"/>
          <w:color w:val="auto"/>
        </w:rPr>
      </w:pPr>
    </w:p>
    <w:p>
      <w:pPr>
        <w:ind w:right="20" w:firstLine="486"/>
        <w:spacing w:after="0" w:line="239" w:lineRule="auto"/>
        <w:rPr>
          <w:sz w:val="20"/>
          <w:szCs w:val="20"/>
          <w:color w:val="auto"/>
        </w:rPr>
      </w:pPr>
      <w:r>
        <w:rPr>
          <w:rFonts w:ascii="Arial" w:cs="Arial" w:eastAsia="Arial" w:hAnsi="Arial"/>
          <w:sz w:val="18"/>
          <w:szCs w:val="18"/>
          <w:color w:val="auto"/>
        </w:rPr>
        <w:t>On May 4, 2020, we entered into a lease agreement (“Lease Agreement”) with Wateridge Property Owner, LP, with respect to facilities in the building at 10770 Wateridge Circle, San Diego, California 92121. Under the Lease Agreement, we agreed to lease approximately 45,000 square feet of space in the 10770 Wateridge Circle Building for a term of 124 months, beginning on March 1, 2021 (or on such later date as described in the Lease Agreement). The terms of the Lease Agreement provide us with an option to extend the term of the lease for an additional five years, as well as a one-time option we have to terminate the lease after seven years with the payment of a termination fee. The monthly base rent will be $4.20 per rentable square foot, and will be increased by 3% annually. We are also responsible for our pro rata share of real estate taxes, building insurance, maintenance, direct expenses and utilities under the Lease Agreement.</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225" w:lineRule="exact"/>
        <w:rPr>
          <w:sz w:val="20"/>
          <w:szCs w:val="20"/>
          <w:color w:val="auto"/>
        </w:rPr>
      </w:pPr>
    </w:p>
    <w:p>
      <w:pPr>
        <w:jc w:val="both"/>
        <w:ind w:right="120" w:firstLine="567"/>
        <w:spacing w:after="0" w:line="263" w:lineRule="auto"/>
        <w:rPr>
          <w:sz w:val="20"/>
          <w:szCs w:val="20"/>
          <w:color w:val="auto"/>
        </w:rPr>
      </w:pPr>
      <w:r>
        <w:rPr>
          <w:rFonts w:ascii="Arial" w:cs="Arial" w:eastAsia="Arial" w:hAnsi="Arial"/>
          <w:sz w:val="18"/>
          <w:szCs w:val="18"/>
          <w:color w:val="auto"/>
        </w:rPr>
        <w:t>We enter into standard indemnification arrangements in the ordinary course of business. Pursuant to certain of these arrangements, we indemnify, hold harmless, and agree to reimburse the indemnified parties for losses suffered or incurred by the indemnified party for third-party claims in connection with our breach of the agreement, our negligence or willful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9" w:name="page30"/>
    <w:bookmarkEnd w:id="29"/>
    <w:p>
      <w:pPr>
        <w:spacing w:after="0" w:line="30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misconduct in connection with the agreement, or any trade secret, copyright, patent or other intellectual property infringement claim with respect to our technology. The term of these indemnification arrangements is generally perpetual. The maximum potential amount of future payments we could be required to make under these agreements is not determinable because it involves claims that may be made against us in the future, but have not yet been made.</w:t>
      </w:r>
    </w:p>
    <w:p>
      <w:pPr>
        <w:spacing w:after="0" w:line="187" w:lineRule="exact"/>
        <w:rPr>
          <w:sz w:val="20"/>
          <w:szCs w:val="20"/>
          <w:color w:val="auto"/>
        </w:rPr>
      </w:pPr>
    </w:p>
    <w:p>
      <w:pPr>
        <w:ind w:firstLine="567"/>
        <w:spacing w:after="0" w:line="301" w:lineRule="auto"/>
        <w:rPr>
          <w:sz w:val="20"/>
          <w:szCs w:val="20"/>
          <w:color w:val="auto"/>
        </w:rPr>
      </w:pPr>
      <w:r>
        <w:rPr>
          <w:rFonts w:ascii="Arial" w:cs="Arial" w:eastAsia="Arial" w:hAnsi="Arial"/>
          <w:sz w:val="16"/>
          <w:szCs w:val="16"/>
          <w:color w:val="auto"/>
        </w:rPr>
        <w:t>We also entered into indemnification agreements with our officers and directors for certain events or occurrences, subject to certain limits, while the officer or director is or was serving in such capacity, as permitted under Delaware law, in accordance with our certificate of incorporation and bylaws, and pursuant to agreements providing for indemnification entered into with our officers and directors. The term of the indemnification period lasts as long as an officer or director may be subject to any proceeding arising out of acts or omissions of such officer or director in such capacity.</w:t>
      </w:r>
    </w:p>
    <w:p>
      <w:pPr>
        <w:spacing w:after="0" w:line="157" w:lineRule="exact"/>
        <w:rPr>
          <w:sz w:val="20"/>
          <w:szCs w:val="20"/>
          <w:color w:val="auto"/>
        </w:rPr>
      </w:pPr>
    </w:p>
    <w:p>
      <w:pPr>
        <w:jc w:val="both"/>
        <w:ind w:right="320" w:firstLine="567"/>
        <w:spacing w:after="0" w:line="263" w:lineRule="auto"/>
        <w:rPr>
          <w:sz w:val="20"/>
          <w:szCs w:val="20"/>
          <w:color w:val="auto"/>
        </w:rPr>
      </w:pPr>
      <w:r>
        <w:rPr>
          <w:rFonts w:ascii="Arial" w:cs="Arial" w:eastAsia="Arial" w:hAnsi="Arial"/>
          <w:sz w:val="18"/>
          <w:szCs w:val="18"/>
          <w:color w:val="auto"/>
        </w:rPr>
        <w:t>The maximum amount of potential future indemnification of directors and officers is unlimited; however, we currently hold director and officer liability insurance. This insurance allows the transfer of risk associated with our exposure and may enable us to recover a portion of any future amounts paid.</w:t>
      </w:r>
    </w:p>
    <w:p>
      <w:pPr>
        <w:spacing w:after="0" w:line="184" w:lineRule="exact"/>
        <w:rPr>
          <w:sz w:val="20"/>
          <w:szCs w:val="20"/>
          <w:color w:val="auto"/>
        </w:rPr>
      </w:pPr>
    </w:p>
    <w:p>
      <w:pPr>
        <w:ind w:right="120" w:firstLine="567"/>
        <w:spacing w:after="0" w:line="277" w:lineRule="auto"/>
        <w:rPr>
          <w:sz w:val="20"/>
          <w:szCs w:val="20"/>
          <w:color w:val="auto"/>
        </w:rPr>
      </w:pPr>
      <w:r>
        <w:rPr>
          <w:rFonts w:ascii="Arial" w:cs="Arial" w:eastAsia="Arial" w:hAnsi="Arial"/>
          <w:sz w:val="18"/>
          <w:szCs w:val="18"/>
          <w:color w:val="auto"/>
        </w:rPr>
        <w:t>We believe that the fair value of these indemnification obligations is minimal. Accordingly, we have not recognized any liabilities relating to these obligations for any period presented.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740" w:firstLine="445"/>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As of June 30, 2020, there have been no material changes surrounding our market risk, including interest rate risk, inflation risk, and foreign currency exchange risk from the discussion provided in Item 7A. Quantitative and Qualitative Disclosures About Market Risk of our Fiscal 2019 Form 10-K.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Our disclosure controls and procedures are designed to ensure that information required to be disclosed in the reports we file or submit under the Securities Exchange Act of 1934, as amended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 As of June 30, 2020, our management, with the participation of our Chief Executive Officer and Interim Chief Financial Officer, performed an evaluation of the effectiveness of the design and operation of our disclosure controls and procedures as defined in Rules 13a-15(e) and 15d-15(e) of the Exchange Act. Based on this evaluation, our Chief Executive Officer and Interim Chief Financial Officer concluded that the design and operation of our disclosure controls and procedures were effective at a reasonable assurance level.</w:t>
      </w:r>
    </w:p>
    <w:p>
      <w:pPr>
        <w:spacing w:after="0" w:line="192" w:lineRule="exact"/>
        <w:rPr>
          <w:sz w:val="20"/>
          <w:szCs w:val="20"/>
          <w:color w:val="auto"/>
        </w:rPr>
      </w:pPr>
    </w:p>
    <w:p>
      <w:pPr>
        <w:ind w:right="380" w:firstLine="445"/>
        <w:spacing w:after="0" w:line="342" w:lineRule="auto"/>
        <w:rPr>
          <w:sz w:val="20"/>
          <w:szCs w:val="20"/>
          <w:color w:val="auto"/>
        </w:rPr>
      </w:pPr>
      <w:r>
        <w:rPr>
          <w:rFonts w:ascii="Arial" w:cs="Arial" w:eastAsia="Arial" w:hAnsi="Arial"/>
          <w:sz w:val="16"/>
          <w:szCs w:val="16"/>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00" w:firstLine="445"/>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13a-15(f) and 15d-15(f) of the Exchange Act that occurred during the quarter ended June 30,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On March 25, 2020, a putative securities class action was filed in the United States District Court for the Southern District of California naming AnaptysBio and certain of its current or former officers as defendants. The complaint purports to assert claims under Section 10(b) of the Exchange Act, Exchange Act Rule 10b-5, and Section 20(a) of the Exchange Act, on behalf of persons and entities who acquired our common stock between October 10, 2017 and November 7, 2019 (the “Class Period”). The complaint alleges that, during the Class Period, the defendants made material misrepresentations or omissions regarding our etokimab drug that artificially inflated our stock price. The plaintiff seeks, among other things, damages in an unspecified amount, as well as costs and expenses. We believe that the plaintiff’s allegations are without merit and intend to vigorously defend against the claims. Because AnaptysBio is in the early stages of this litigation matter, we are unable to estimate a reasonably possible loss or range of loss, if any, that may result from this matter.</w:t>
      </w:r>
    </w:p>
    <w:p>
      <w:pPr>
        <w:spacing w:after="0" w:line="84" w:lineRule="exact"/>
        <w:rPr>
          <w:sz w:val="20"/>
          <w:szCs w:val="20"/>
          <w:color w:val="auto"/>
        </w:rPr>
      </w:pPr>
    </w:p>
    <w:p>
      <w:pPr>
        <w:jc w:val="both"/>
        <w:ind w:right="60" w:firstLine="486"/>
        <w:spacing w:after="0" w:line="311" w:lineRule="auto"/>
        <w:rPr>
          <w:sz w:val="20"/>
          <w:szCs w:val="20"/>
          <w:color w:val="auto"/>
        </w:rPr>
      </w:pPr>
      <w:r>
        <w:rPr>
          <w:rFonts w:ascii="Arial" w:cs="Arial" w:eastAsia="Arial" w:hAnsi="Arial"/>
          <w:sz w:val="16"/>
          <w:szCs w:val="16"/>
          <w:color w:val="auto"/>
        </w:rPr>
        <w:t>From time to time, we may be involved in legal proceedings arising in the ordinary course of our business. We investigate these claims as they arise and accrue estimates for resolution of legal and other contingencies when losses are probable and estimable. Regardless of outcome, litigation can have an adverse impact on us due to defense and settlement costs, diversion of management resources, negative publicity and reputational harm, and other factors.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and Development of Our Product Candidates</w:t>
      </w:r>
    </w:p>
    <w:p>
      <w:pPr>
        <w:spacing w:after="0" w:line="11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color w:val="auto"/>
        </w:rPr>
        <w:t>Our product candidates are in early stages of development and may fail in development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spacing w:after="0" w:line="184" w:lineRule="exact"/>
        <w:rPr>
          <w:sz w:val="20"/>
          <w:szCs w:val="20"/>
          <w:color w:val="auto"/>
        </w:rPr>
      </w:pPr>
    </w:p>
    <w:p>
      <w:pPr>
        <w:ind w:firstLine="567"/>
        <w:spacing w:after="0" w:line="311" w:lineRule="auto"/>
        <w:rPr>
          <w:sz w:val="20"/>
          <w:szCs w:val="20"/>
          <w:color w:val="auto"/>
        </w:rPr>
      </w:pPr>
      <w:r>
        <w:rPr>
          <w:rFonts w:ascii="Arial" w:cs="Arial" w:eastAsia="Arial" w:hAnsi="Arial"/>
          <w:sz w:val="16"/>
          <w:szCs w:val="16"/>
          <w:color w:val="auto"/>
        </w:rPr>
        <w:t>We are using our proprietary technology platform to develop therapeutic antibodies, including our wholly-owned product candidates, as well as other programs that are being developed by our collaborators. However, all of our wholly-owned and partnered product candidates are in the early stages of development, and, for a wide variety of reasons discussed below, may fail in development or suffer delays that adversely affect their commercial viability.</w:t>
      </w:r>
    </w:p>
    <w:p>
      <w:pPr>
        <w:spacing w:after="0" w:line="149" w:lineRule="exact"/>
        <w:rPr>
          <w:sz w:val="20"/>
          <w:szCs w:val="20"/>
          <w:color w:val="auto"/>
        </w:rPr>
      </w:pPr>
    </w:p>
    <w:p>
      <w:pPr>
        <w:ind w:right="20" w:firstLine="567"/>
        <w:spacing w:after="0" w:line="290" w:lineRule="auto"/>
        <w:rPr>
          <w:sz w:val="20"/>
          <w:szCs w:val="20"/>
          <w:color w:val="auto"/>
        </w:rPr>
      </w:pPr>
      <w:r>
        <w:rPr>
          <w:rFonts w:ascii="Arial" w:cs="Arial" w:eastAsia="Arial" w:hAnsi="Arial"/>
          <w:sz w:val="16"/>
          <w:szCs w:val="16"/>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For example, results from our initial Phase 2a clinical trial of etokimab in moderate-to-severe atopic dermatitis patients was not representative of the results we experienced in our later Phase 2b trial. Similarly, we reported interim results of our GALLOP Phase 2 clinical trial of imsidolimab, which included data for two patients who had completed the Day 113 trial period. While we believe these results are likely to be representative of subsequent patients in the trial, the results we have observed to date may not be predictive of results once all 10 patients have completed the trial. If our later clinical trials are unsuccessful, our product candidates may be delayed in development or fail entirely, which would have a material adverse impact on our business.</w:t>
      </w:r>
    </w:p>
    <w:p>
      <w:pPr>
        <w:spacing w:after="0" w:line="165" w:lineRule="exact"/>
        <w:rPr>
          <w:sz w:val="20"/>
          <w:szCs w:val="20"/>
          <w:color w:val="auto"/>
        </w:rPr>
      </w:pPr>
    </w:p>
    <w:p>
      <w:pPr>
        <w:ind w:right="260" w:firstLine="445"/>
        <w:spacing w:after="0" w:line="259" w:lineRule="auto"/>
        <w:rPr>
          <w:sz w:val="20"/>
          <w:szCs w:val="20"/>
          <w:color w:val="auto"/>
        </w:rPr>
      </w:pPr>
      <w:r>
        <w:rPr>
          <w:rFonts w:ascii="Arial" w:cs="Arial" w:eastAsia="Arial" w:hAnsi="Arial"/>
          <w:sz w:val="18"/>
          <w:szCs w:val="18"/>
          <w:color w:val="auto"/>
        </w:rPr>
        <w:t>We have elected to structure our initial Phase 2a clinical trials with etokimab as investigational studies that enroll a relatively limited number of patients and are intended to allow us to better assess patient responses and potential efficacy results before designing and commencing Phase 2b clinical trials. We believe the results we have observed in the initial Phase 2a clinical trials of etokimab in severe adult eosinophilic asthma may suggest a reasonable basis for continuing development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2" w:name="page33"/>
    <w:bookmarkEnd w:id="32"/>
    <w:p>
      <w:pPr>
        <w:spacing w:after="0" w:line="306"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etokimab in this indication through a larger Phase 2b clinical trial. However, as a result of the recently announced topline data from our ATLAS trial in atopic dermatitis, we have decided to postpone the initiation of our planned Phase 2b etokimab clinical trial in eosinophilic asthma, a multi-dose, randomized, double-blinded, placebo-controlled trial in 300-400 patients, until we have the opportunity to analyze the complete results from our currently ongoing Phase 2 trial of etokimab in CRSwNP. Our Phase 2a trials involved relatively small patient populations, for example 25 patients in our Phase 2a trial in severe adult eosinophilic asthma. The results we have observed in this smaller patient populations may not be predictive of results we will experience in later studies. Furthermore, the average results reported from our Phase 2a trial in severe eosinophilic asthma (for example, the average change in FEV1 reported) were subject to significant variability due to the small number of patients enrolled, and as expected were not statistically significant. In addition, we elected to structure our initial Phase 2a clinical trial in eosinophilic asthma as a single dose study, which may not be representative of the efficacy and/or safety observed in subsequent multi-dose Phase 2, Phase 2b or Phase 3 clinical trials.</w:t>
      </w:r>
    </w:p>
    <w:p>
      <w:pPr>
        <w:spacing w:after="0" w:line="181"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In addition, later studies may also include different design elements that could contribute to us experiencing different results than we have observed in our Phase 2a trials. One such design element may be differences in efficacy endpoints between Phase 2a trials and subsequent Phase 2, Phase 2b or Phase 3 clinical trials. For instance, while our single dose Phase 2a clinical trial of etokimab in eosinophilic asthma demonstrated efficacy in terms of FEV1 improvement versus placebo, we did not structure that trial to assess efficacy in terms of exacerbation reduction, which is the endpoint historically used by the FDA for drug approval in asthma, and hence our future Phase 2, Phase 2b or Phase 3 trials in asthma may not demonstrate efficacy in exacerbation reduction leading to potential delays or failure to obtain approval of etokimab in asthma. In addition, the initial results we have report from our Phase 2a clinical trials have included interim analyses and top-line results at early timepoints, which may not accurately predict the final results of these clinical trials or the results of future clinical trials. For instance, our single dose Phase 2a trial of etokimab in atopic dermatitis demonstrated certain levels of EASI-50 response upon interim analysis at Day 29, but this EASI-50 response level was not maintained at the end of this clinical trial at Day 140. In another example, interim analysis data from our Phase 2a study of severe adult eosinophilic asthma demonstrated FEV1 improvement over placebo at Day 64, but this FEV1 improvement was not maintained at the same levels through study completion at the Day 127 timepoint.</w:t>
      </w:r>
    </w:p>
    <w:p>
      <w:pPr>
        <w:spacing w:after="0" w:line="172" w:lineRule="exact"/>
        <w:rPr>
          <w:sz w:val="20"/>
          <w:szCs w:val="20"/>
          <w:color w:val="auto"/>
        </w:rPr>
      </w:pPr>
    </w:p>
    <w:p>
      <w:pPr>
        <w:ind w:right="200" w:firstLine="486"/>
        <w:spacing w:after="0" w:line="239" w:lineRule="auto"/>
        <w:rPr>
          <w:sz w:val="20"/>
          <w:szCs w:val="20"/>
          <w:color w:val="auto"/>
        </w:rPr>
      </w:pPr>
      <w:r>
        <w:rPr>
          <w:rFonts w:ascii="Arial" w:cs="Arial" w:eastAsia="Arial" w:hAnsi="Arial"/>
          <w:sz w:val="18"/>
          <w:szCs w:val="18"/>
          <w:color w:val="auto"/>
        </w:rPr>
        <w:t>Furthermore, our rationale for conducting clinical trials of etokimab in multiple indications is that we believe etokimab’s mechanism of action, the inhibition of IL-33, has the potential be effective for treatment of a range of atopic inflammatory disorders. However, in light of the recently announced topline data from our ATLAS trial of etokimab in atopic dermatitis and our recently announced interim analysis from our ECLIPSE trial of etokimab in CRSwNP, it is possible that our assumptions regarding the effectiveness of etokimab’s mechanism of action may be incorrect, and that etokimab may be ineffective in certain inflammatory disorders or may be ineffective in treating inflammatory disorders generally. If this were the case, then the complete results from our ongoing Phase 2 clinical trial of etokimab in CRSwNP, and results from any other clinical trials of etokimab that we conduct, are less likely to be positive.</w:t>
      </w:r>
    </w:p>
    <w:p>
      <w:pPr>
        <w:spacing w:after="0" w:line="191" w:lineRule="exact"/>
        <w:rPr>
          <w:sz w:val="20"/>
          <w:szCs w:val="20"/>
          <w:color w:val="auto"/>
        </w:rPr>
      </w:pPr>
    </w:p>
    <w:p>
      <w:pPr>
        <w:ind w:right="280" w:firstLine="486"/>
        <w:spacing w:after="0" w:line="308" w:lineRule="auto"/>
        <w:rPr>
          <w:sz w:val="20"/>
          <w:szCs w:val="20"/>
          <w:color w:val="auto"/>
        </w:rPr>
      </w:pPr>
      <w:r>
        <w:rPr>
          <w:rFonts w:ascii="Arial" w:cs="Arial" w:eastAsia="Arial" w:hAnsi="Arial"/>
          <w:sz w:val="17"/>
          <w:szCs w:val="17"/>
          <w:color w:val="auto"/>
        </w:rPr>
        <w:t>If our later clinical trials of etokimab or imsidolimab are unsuccessful, whether for one of the reasons mentioned above or otherwise, etokimab or imsidolimab may be delayed in development or fail entirely, which would have a material adverse impact on our business.</w:t>
      </w:r>
    </w:p>
    <w:p>
      <w:pPr>
        <w:spacing w:after="0" w:line="146" w:lineRule="exact"/>
        <w:rPr>
          <w:sz w:val="20"/>
          <w:szCs w:val="20"/>
          <w:color w:val="auto"/>
        </w:rPr>
      </w:pPr>
    </w:p>
    <w:p>
      <w:pPr>
        <w:ind w:right="560" w:firstLine="567"/>
        <w:spacing w:after="0" w:line="277" w:lineRule="auto"/>
        <w:rPr>
          <w:sz w:val="20"/>
          <w:szCs w:val="20"/>
          <w:color w:val="auto"/>
        </w:rPr>
      </w:pPr>
      <w:r>
        <w:rPr>
          <w:rFonts w:ascii="Arial" w:cs="Arial" w:eastAsia="Arial" w:hAnsi="Arial"/>
          <w:sz w:val="18"/>
          <w:szCs w:val="18"/>
          <w:color w:val="auto"/>
        </w:rPr>
        <w:t>The success of our current product candidates, and any other product candidates we may develop in the future, will depend on many factors, including the following:</w:t>
      </w:r>
    </w:p>
    <w:p>
      <w:pPr>
        <w:spacing w:after="0" w:line="62" w:lineRule="exact"/>
        <w:rPr>
          <w:sz w:val="20"/>
          <w:szCs w:val="20"/>
          <w:color w:val="auto"/>
        </w:rPr>
      </w:pPr>
    </w:p>
    <w:p>
      <w:pPr>
        <w:ind w:left="900" w:hanging="40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our planned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and/or making arrangements with third-party manufacturers;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non-patent exclusivity for our product candidates and their components;</w:t>
      </w:r>
    </w:p>
    <w:p>
      <w:pPr>
        <w:spacing w:after="0" w:line="128" w:lineRule="exact"/>
        <w:rPr>
          <w:rFonts w:ascii="Arial" w:cs="Arial" w:eastAsia="Arial" w:hAnsi="Arial"/>
          <w:sz w:val="17"/>
          <w:szCs w:val="17"/>
          <w:color w:val="auto"/>
        </w:rPr>
      </w:pPr>
    </w:p>
    <w:p>
      <w:pPr>
        <w:ind w:left="900" w:hanging="40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achieving desirable therapeutic properties for our product candidates’ intended indications;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8" w:lineRule="exact"/>
        <w:rPr>
          <w:sz w:val="20"/>
          <w:szCs w:val="20"/>
          <w:color w:val="auto"/>
        </w:rPr>
      </w:pPr>
    </w:p>
    <w:p>
      <w:pPr>
        <w:ind w:left="900" w:hanging="40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third parties;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acceptance of our product candidates, if and when approved, by patients, the medical community and third-party payors;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 candidates through clinical trials and following regulatory approval.</w:t>
      </w:r>
    </w:p>
    <w:p>
      <w:pPr>
        <w:spacing w:after="0" w:line="225" w:lineRule="exact"/>
        <w:rPr>
          <w:sz w:val="20"/>
          <w:szCs w:val="20"/>
          <w:color w:val="auto"/>
        </w:rPr>
      </w:pPr>
    </w:p>
    <w:p>
      <w:pPr>
        <w:ind w:right="80" w:firstLine="567"/>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harm our business.</w:t>
      </w:r>
    </w:p>
    <w:p>
      <w:pPr>
        <w:spacing w:after="0" w:line="170" w:lineRule="exact"/>
        <w:rPr>
          <w:sz w:val="20"/>
          <w:szCs w:val="20"/>
          <w:color w:val="auto"/>
        </w:rPr>
      </w:pPr>
    </w:p>
    <w:p>
      <w:pPr>
        <w:ind w:right="20" w:firstLine="567"/>
        <w:spacing w:after="0" w:line="253" w:lineRule="auto"/>
        <w:rPr>
          <w:sz w:val="20"/>
          <w:szCs w:val="20"/>
          <w:color w:val="auto"/>
        </w:rPr>
      </w:pPr>
      <w:r>
        <w:rPr>
          <w:rFonts w:ascii="Arial" w:cs="Arial" w:eastAsia="Arial" w:hAnsi="Arial"/>
          <w:sz w:val="17"/>
          <w:szCs w:val="17"/>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U.S. Food and Drug Administration (“FDA”) or foreign regulatory authorities. More specifically, some of our product candidates, including imsidolimab, initially target indications that are very rare, which can prolong the clinical trial timeline for the regulatory process if sufficient patients cannot be enrolled in a timely manner.</w:t>
      </w:r>
    </w:p>
    <w:p>
      <w:pPr>
        <w:spacing w:after="0" w:line="288" w:lineRule="exact"/>
        <w:rPr>
          <w:sz w:val="20"/>
          <w:szCs w:val="20"/>
          <w:color w:val="auto"/>
        </w:rPr>
      </w:pPr>
    </w:p>
    <w:p>
      <w:pPr>
        <w:ind w:right="380"/>
        <w:spacing w:after="0" w:line="386" w:lineRule="auto"/>
        <w:rPr>
          <w:sz w:val="20"/>
          <w:szCs w:val="20"/>
          <w:color w:val="auto"/>
        </w:rPr>
      </w:pPr>
      <w:r>
        <w:rPr>
          <w:rFonts w:ascii="Arial" w:cs="Arial" w:eastAsia="Arial" w:hAnsi="Arial"/>
          <w:sz w:val="15"/>
          <w:szCs w:val="15"/>
          <w:b w:val="1"/>
          <w:bCs w:val="1"/>
          <w:color w:val="212529"/>
        </w:rPr>
        <w:t>The COVID-19 pandemic has had a material impact on the U.S. and global economies and could have a material adverse impact on our employees, contractors, and patients, which could adversely and materially impact our business, financial condition and results of operations.</w:t>
      </w:r>
    </w:p>
    <w:p>
      <w:pPr>
        <w:spacing w:after="0" w:line="97" w:lineRule="exact"/>
        <w:rPr>
          <w:sz w:val="20"/>
          <w:szCs w:val="20"/>
          <w:color w:val="auto"/>
        </w:rPr>
      </w:pPr>
    </w:p>
    <w:p>
      <w:pPr>
        <w:jc w:val="both"/>
        <w:ind w:right="60" w:firstLine="567"/>
        <w:spacing w:after="0" w:line="262" w:lineRule="auto"/>
        <w:rPr>
          <w:sz w:val="20"/>
          <w:szCs w:val="20"/>
          <w:color w:val="auto"/>
        </w:rPr>
      </w:pPr>
      <w:r>
        <w:rPr>
          <w:rFonts w:ascii="Arial" w:cs="Arial" w:eastAsia="Arial" w:hAnsi="Arial"/>
          <w:sz w:val="17"/>
          <w:szCs w:val="17"/>
          <w:color w:val="auto"/>
        </w:rPr>
        <w:t>The COVID-19 pandemic and mitigation measures have had, and may continue to have, an adverse impact on global economic conditions which could have an adverse effect on our business and financial condition, including impairing our ability to raise capital when needed. The extent to which the COVID-19 pandemic impacts our business and operations will depend on future developments that are highly uncertain and cannot be predicted, including new information that may emerge concerning the severity of the virus and the actions to contain its impact.</w:t>
      </w:r>
    </w:p>
    <w:p>
      <w:pPr>
        <w:spacing w:after="0" w:line="172" w:lineRule="exact"/>
        <w:rPr>
          <w:sz w:val="20"/>
          <w:szCs w:val="20"/>
          <w:color w:val="auto"/>
        </w:rPr>
      </w:pPr>
    </w:p>
    <w:p>
      <w:pPr>
        <w:ind w:firstLine="567"/>
        <w:spacing w:after="0" w:line="268" w:lineRule="auto"/>
        <w:rPr>
          <w:sz w:val="20"/>
          <w:szCs w:val="20"/>
          <w:color w:val="auto"/>
        </w:rPr>
      </w:pPr>
      <w:r>
        <w:rPr>
          <w:rFonts w:ascii="Arial" w:cs="Arial" w:eastAsia="Arial" w:hAnsi="Arial"/>
          <w:sz w:val="16"/>
          <w:szCs w:val="16"/>
          <w:color w:val="auto"/>
        </w:rPr>
        <w:t>The COVID-19 pandemic has caused us to modify our business practices (including but not limited to curtailing or modifying employee travel, moving to full remote work, and cancelling physical participation in meetings, events and conferences), and we may take further actions as may be required by government authorities or that we determine are in the best interests of our employees and patients. In response to the COVID-19 pandemic, we limited our office to only those employees completing laboratory-based tasks essential to the development efforts, and are starting to allow other employees to work in our office with certain precautions in place that we believe will ensure our employees’ safety and wellbeing. “Essential” employees that are unable to telework continue to work at our facilities, and we have implemented appropriate safety measures, including social distancing, face covering, and increased sanitation standards. We are following guidance from the Center for Disease Control and the Occupational Safety and Health Administration regarding suspension of nonessential travel, self-isolation recommendations for employees returning from certain geographic areas, confirmed reports of any COVID-19 diagnosis among our employees, and the return of such employees to our workplace. Pursuant to updated guidance from the Equal Employment Opportunity Commission, we are engaging in limited and appropriate inquiries of employees regarding potential COVID-19 exposure, based on the direct threat that such exposure may present to our workforce. We continue to address other unique situations that arise among our workforce due to the COVID-19 pandemic on a case-by-case basis. While we believe that we have taken appropriate measures to ensure the health and well-being of our “essential” employees, there can be no assurances that our measures will be sufficient to protect our employees in our workplace, and they may be exposed to COVID-19 outside of our workplace. If a number of our essential employees become ill, incapacitated or are otherwise unable to continue working during the current or any future epidemic, our operations may be adversely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line="306" w:lineRule="exact"/>
        <w:rPr>
          <w:sz w:val="20"/>
          <w:szCs w:val="20"/>
          <w:color w:val="auto"/>
        </w:rPr>
      </w:pPr>
    </w:p>
    <w:p>
      <w:pPr>
        <w:ind w:firstLine="567"/>
        <w:spacing w:after="0" w:line="238" w:lineRule="auto"/>
        <w:rPr>
          <w:sz w:val="20"/>
          <w:szCs w:val="20"/>
          <w:color w:val="auto"/>
        </w:rPr>
      </w:pPr>
      <w:r>
        <w:rPr>
          <w:rFonts w:ascii="Arial" w:cs="Arial" w:eastAsia="Arial" w:hAnsi="Arial"/>
          <w:sz w:val="18"/>
          <w:szCs w:val="18"/>
          <w:color w:val="auto"/>
        </w:rPr>
        <w:t>A prolonged disruption or any further unforeseen delay in our operations or within any of our business activities could continue to result in reduced participation in ongoing trials or delays in enrolling our planned trials, as we rely on contract research organizations (for non-clinical and clinical activities) (“CROs”) and contract manufacturing organizations (“CMOs”) to conduct our clinical trials and to manufacture our product candidates. If our CROs are unable to continue ongoing trials or to enroll new patients for new trials, or if our CMOs are unable to obtain sufficient quantities of reagents or manufacture adequate drug quantities, our clinical trials could be materially delayed or disrupted. We may also encounter delays from the FDA, EMA or other health authorities in our clinical development efforts. Any elongation or de-prioritization of our preclinical studies or delay in regulatory review resulting from such disruptions could materially affect the development and study of our product candidates. Further, in reaction to the spread of COVID-19 in the United States and internationally, many patients and medical facilities are delaying or canceling elective procedures, adding further strain to health care budgets globally.</w:t>
      </w:r>
    </w:p>
    <w:p>
      <w:pPr>
        <w:spacing w:after="0" w:line="191" w:lineRule="exact"/>
        <w:rPr>
          <w:sz w:val="20"/>
          <w:szCs w:val="20"/>
          <w:color w:val="auto"/>
        </w:rPr>
      </w:pPr>
    </w:p>
    <w:p>
      <w:pPr>
        <w:ind w:right="60" w:firstLine="567"/>
        <w:spacing w:after="0" w:line="241" w:lineRule="auto"/>
        <w:rPr>
          <w:sz w:val="20"/>
          <w:szCs w:val="20"/>
          <w:color w:val="auto"/>
        </w:rPr>
      </w:pPr>
      <w:r>
        <w:rPr>
          <w:rFonts w:ascii="Arial" w:cs="Arial" w:eastAsia="Arial" w:hAnsi="Arial"/>
          <w:sz w:val="18"/>
          <w:szCs w:val="18"/>
          <w:color w:val="auto"/>
        </w:rPr>
        <w:t>The COVID-19 pandemic may result in the inability of our suppliers to deliver supplies to us on a timely basis. We currently utilize third parties to, among other things, manufacture components of our product candidates and, in the future, intend to utilize third parties to conduct our preclinical and clinical studies. If either we or any third-party parties in the supply chain for materials used in the production of our product candidates are adversely impacted by restrictions resulting from the COVID-19 pandemic, our supply chain may be disrupted, limiting our ability to manufacture our product candidates for our preclinical studies.</w:t>
      </w:r>
    </w:p>
    <w:p>
      <w:pPr>
        <w:spacing w:after="0" w:line="189" w:lineRule="exact"/>
        <w:rPr>
          <w:sz w:val="20"/>
          <w:szCs w:val="20"/>
          <w:color w:val="auto"/>
        </w:rPr>
      </w:pPr>
    </w:p>
    <w:p>
      <w:pPr>
        <w:ind w:right="20" w:firstLine="567"/>
        <w:spacing w:after="0" w:line="243" w:lineRule="auto"/>
        <w:rPr>
          <w:sz w:val="20"/>
          <w:szCs w:val="20"/>
          <w:color w:val="auto"/>
        </w:rPr>
      </w:pPr>
      <w:r>
        <w:rPr>
          <w:rFonts w:ascii="Arial" w:cs="Arial" w:eastAsia="Arial" w:hAnsi="Arial"/>
          <w:sz w:val="18"/>
          <w:szCs w:val="18"/>
          <w:color w:val="auto"/>
        </w:rPr>
        <w:t>Both the health and economic aspects of the COVID-19 virus are highly fluid and the future course of each is uncertain. For these reasons and other reasons that may come to light if the COVID-19 pandemic and associated protective or preventative measures expand, we may experience a material adverse effect, either directly or indirectly through our CROs, CMOs, collaboration partners or patients, on our business operations, revenues and financial condition; however, its ultimate impact is highly uncertain and subject to change.</w:t>
      </w:r>
    </w:p>
    <w:p>
      <w:pPr>
        <w:spacing w:after="0" w:line="29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b w:val="1"/>
          <w:bCs w:val="1"/>
          <w:color w:val="auto"/>
        </w:rPr>
        <w:t>We have only limited data regarding the safety profile of our wholly-owned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163" w:lineRule="exact"/>
        <w:rPr>
          <w:sz w:val="20"/>
          <w:szCs w:val="20"/>
          <w:color w:val="auto"/>
        </w:rPr>
      </w:pPr>
    </w:p>
    <w:p>
      <w:pPr>
        <w:ind w:right="200" w:firstLine="567"/>
        <w:spacing w:after="0" w:line="259" w:lineRule="auto"/>
        <w:rPr>
          <w:sz w:val="20"/>
          <w:szCs w:val="20"/>
          <w:color w:val="auto"/>
        </w:rPr>
      </w:pPr>
      <w:r>
        <w:rPr>
          <w:rFonts w:ascii="Arial" w:cs="Arial" w:eastAsia="Arial" w:hAnsi="Arial"/>
          <w:sz w:val="17"/>
          <w:szCs w:val="17"/>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174" w:lineRule="exact"/>
        <w:rPr>
          <w:sz w:val="20"/>
          <w:szCs w:val="20"/>
          <w:color w:val="auto"/>
        </w:rPr>
      </w:pPr>
    </w:p>
    <w:p>
      <w:pPr>
        <w:ind w:right="40" w:firstLine="567"/>
        <w:spacing w:after="0" w:line="253" w:lineRule="auto"/>
        <w:rPr>
          <w:sz w:val="20"/>
          <w:szCs w:val="20"/>
          <w:color w:val="auto"/>
        </w:rPr>
      </w:pPr>
      <w:r>
        <w:rPr>
          <w:rFonts w:ascii="Arial" w:cs="Arial" w:eastAsia="Arial" w:hAnsi="Arial"/>
          <w:sz w:val="17"/>
          <w:szCs w:val="17"/>
          <w:color w:val="auto"/>
        </w:rPr>
        <w:t>We have conducted various preclinical studies of our product candidates, but we do not know the predictive value of these studies for humans, and we cannot guarantee that any positive results in preclinical studies will successfully translate to human patients. We have only completed early clinical trials for etokimab, and subsequent patient trials with etokimab are currently ongoing. We also have only completed a Phase 1 clinical trial with imsidolimab and subsequent patient trials with imsidolimab are currently ongoing. 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 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w:t>
      </w:r>
    </w:p>
    <w:p>
      <w:pPr>
        <w:spacing w:after="0" w:line="180" w:lineRule="exact"/>
        <w:rPr>
          <w:sz w:val="20"/>
          <w:szCs w:val="20"/>
          <w:color w:val="auto"/>
        </w:rPr>
      </w:pPr>
    </w:p>
    <w:p>
      <w:pPr>
        <w:ind w:right="120" w:firstLine="567"/>
        <w:spacing w:after="0" w:line="279" w:lineRule="auto"/>
        <w:rPr>
          <w:sz w:val="20"/>
          <w:szCs w:val="20"/>
          <w:color w:val="auto"/>
        </w:rPr>
      </w:pPr>
      <w:r>
        <w:rPr>
          <w:rFonts w:ascii="Arial" w:cs="Arial" w:eastAsia="Arial" w:hAnsi="Arial"/>
          <w:sz w:val="16"/>
          <w:szCs w:val="16"/>
          <w:color w:val="auto"/>
        </w:rPr>
        <w:t>Some patients in our clinical trials have experienced adverse events, including serious adverse events. The most frequent treatment-emergent adverse events reported were mild dizziness or vomiting in patients subsequent to placebo dosing, and mild headache, strep throat, upper respiratory tract infection, or in one case, severe neutropenia which was acute and not persistent in patients post-etokimab administration. In addition, we reported that one patient dropped out of the GALLOP Phase 2 clinical trial for imsidolimab due to diagnosis with Staphylococcal aureus bacteremia on Day 3 post-imsidolimab administration, which was a serious adverse event deemed to be possibly drug-related. Subjects in our ongoing and planned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306"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clinical trials may in the future suffer significant adverse events or other side effects not observed in our preclinical studies or in our Phase 1 or Phase 2a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69" w:lineRule="exact"/>
        <w:rPr>
          <w:sz w:val="20"/>
          <w:szCs w:val="20"/>
          <w:color w:val="auto"/>
        </w:rPr>
      </w:pPr>
    </w:p>
    <w:p>
      <w:pPr>
        <w:ind w:firstLine="567"/>
        <w:spacing w:after="0" w:line="254" w:lineRule="auto"/>
        <w:rPr>
          <w:sz w:val="20"/>
          <w:szCs w:val="20"/>
          <w:color w:val="auto"/>
        </w:rPr>
      </w:pPr>
      <w:r>
        <w:rPr>
          <w:rFonts w:ascii="Arial" w:cs="Arial" w:eastAsia="Arial" w:hAnsi="Arial"/>
          <w:sz w:val="17"/>
          <w:szCs w:val="17"/>
          <w:color w:val="auto"/>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the drug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181" w:lineRule="exact"/>
        <w:rPr>
          <w:sz w:val="20"/>
          <w:szCs w:val="20"/>
          <w:color w:val="auto"/>
        </w:rPr>
      </w:pPr>
    </w:p>
    <w:p>
      <w:pPr>
        <w:ind w:firstLine="567"/>
        <w:spacing w:after="0" w:line="262" w:lineRule="auto"/>
        <w:rPr>
          <w:sz w:val="20"/>
          <w:szCs w:val="20"/>
          <w:color w:val="auto"/>
        </w:rPr>
      </w:pPr>
      <w:r>
        <w:rPr>
          <w:rFonts w:ascii="Arial" w:cs="Arial" w:eastAsia="Arial" w:hAnsi="Arial"/>
          <w:sz w:val="17"/>
          <w:szCs w:val="17"/>
          <w:color w:val="auto"/>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testing.</w:t>
      </w:r>
    </w:p>
    <w:p>
      <w:pPr>
        <w:spacing w:after="0" w:line="276" w:lineRule="exact"/>
        <w:rPr>
          <w:sz w:val="20"/>
          <w:szCs w:val="20"/>
          <w:color w:val="auto"/>
        </w:rPr>
      </w:pPr>
    </w:p>
    <w:p>
      <w:pPr>
        <w:ind w:right="300"/>
        <w:spacing w:after="0" w:line="347" w:lineRule="auto"/>
        <w:rPr>
          <w:sz w:val="20"/>
          <w:szCs w:val="20"/>
          <w:color w:val="auto"/>
        </w:rPr>
      </w:pPr>
      <w:r>
        <w:rPr>
          <w:rFonts w:ascii="Arial" w:cs="Arial" w:eastAsia="Arial" w:hAnsi="Arial"/>
          <w:sz w:val="16"/>
          <w:szCs w:val="16"/>
          <w:b w:val="1"/>
          <w:b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120" w:lineRule="exact"/>
        <w:rPr>
          <w:sz w:val="20"/>
          <w:szCs w:val="20"/>
          <w:color w:val="auto"/>
        </w:rPr>
      </w:pPr>
    </w:p>
    <w:p>
      <w:pPr>
        <w:ind w:right="20" w:firstLine="567"/>
        <w:spacing w:after="0" w:line="252" w:lineRule="auto"/>
        <w:rPr>
          <w:sz w:val="20"/>
          <w:szCs w:val="20"/>
          <w:color w:val="auto"/>
        </w:rPr>
      </w:pPr>
      <w:r>
        <w:rPr>
          <w:rFonts w:ascii="Arial" w:cs="Arial" w:eastAsia="Arial" w:hAnsi="Arial"/>
          <w:sz w:val="17"/>
          <w:szCs w:val="17"/>
          <w:color w:val="auto"/>
        </w:rPr>
        <w:t>Our ability to continue to develop our product candidates, and to have the potential to achieve and sustain profitability, depends on the FDA and foreign regulatory authorities permitting us to conduct human clinical trials and, if our products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Though we have cleared an IND and CTA to conduct clinical trials for both etokimab and imsidolimab in the United States and certain foreign jurisdictions, before commencing clinical trials in the United States for any other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the Therapeutic Goods Administration in Australia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183" w:lineRule="exact"/>
        <w:rPr>
          <w:sz w:val="20"/>
          <w:szCs w:val="20"/>
          <w:color w:val="auto"/>
        </w:rPr>
      </w:pPr>
    </w:p>
    <w:p>
      <w:pPr>
        <w:ind w:right="120" w:firstLine="567"/>
        <w:spacing w:after="0" w:line="276" w:lineRule="auto"/>
        <w:rPr>
          <w:sz w:val="20"/>
          <w:szCs w:val="20"/>
          <w:color w:val="auto"/>
        </w:rPr>
      </w:pPr>
      <w:r>
        <w:rPr>
          <w:rFonts w:ascii="Arial" w:cs="Arial" w:eastAsia="Arial" w:hAnsi="Arial"/>
          <w:sz w:val="16"/>
          <w:szCs w:val="16"/>
          <w:color w:val="auto"/>
        </w:rPr>
        <w:t>Even if we or our collaborators initiate and complete clinical trials for our product candidates, these product candidates will not be permitted to be marketed in the United States until approval of a Biologics License Application (“BLA”) from the FDA, is received, and will not be permitted to be marketed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initiation of our previous and current clinical trials in the United States and certain foreign jurisdictions, we have not yet discussed with the FDA or foreign regulatory authorities the development plans for any of our product candidates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306"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designs of any of our later-stage clinical studies. We thus may not have the full benefit of the FDA’s or foreign regulatory authorities’ current thinking on trial designs or product development for our target indications. For example, we believe a small pivotal trial, potentially with less than 100 patients, may be sufficient to demonstrate substantial evidence of efficacy of imsidolimab in generalized pustular psoriasis (“GPP”) patients. However, we have not yet discussed clinical trial design for this indication with the FDA, and the FDA may disagree with our proposed trial design, including the number of patients necessary to demonstrate efficacy and/or may require us to conduct more than one pivotal study in order to obtain approval of a BLA.</w:t>
      </w:r>
    </w:p>
    <w:p>
      <w:pPr>
        <w:spacing w:after="0" w:line="159" w:lineRule="exact"/>
        <w:rPr>
          <w:sz w:val="20"/>
          <w:szCs w:val="20"/>
          <w:color w:val="auto"/>
        </w:rPr>
      </w:pPr>
    </w:p>
    <w:p>
      <w:pPr>
        <w:jc w:val="both"/>
        <w:ind w:right="420" w:firstLine="567"/>
        <w:spacing w:after="0" w:line="263" w:lineRule="auto"/>
        <w:rPr>
          <w:sz w:val="20"/>
          <w:szCs w:val="20"/>
          <w:color w:val="auto"/>
        </w:rPr>
      </w:pPr>
      <w:r>
        <w:rPr>
          <w:rFonts w:ascii="Arial" w:cs="Arial" w:eastAsia="Arial" w:hAnsi="Arial"/>
          <w:sz w:val="18"/>
          <w:szCs w:val="18"/>
          <w:color w:val="auto"/>
        </w:rPr>
        <w:t>Preclinical studies and clinical trials are expensive, difficult to design and implement, can take many years to complete and are uncertain as to outcome. Products, on average, take 10 to 15 years to be developed from the time they are discovered to the time they are approved and available for treating patients. The start or end of a clinical trial is often delayed or halted for many reasons, including:</w:t>
      </w:r>
    </w:p>
    <w:p>
      <w:pPr>
        <w:spacing w:after="0" w:line="76" w:lineRule="exact"/>
        <w:rPr>
          <w:sz w:val="20"/>
          <w:szCs w:val="20"/>
          <w:color w:val="auto"/>
        </w:rPr>
      </w:pPr>
    </w:p>
    <w:p>
      <w:pPr>
        <w:ind w:left="900" w:right="360" w:hanging="406"/>
        <w:spacing w:after="0" w:line="277" w:lineRule="auto"/>
        <w:tabs>
          <w:tab w:leader="none" w:pos="8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imposition of a clinical hold for safety reasons or following an inspection of clinical trial operations or site by the FDA or other regulatory authorities;</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manufacturing challenges;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insufficient supply or quality of product candidates or other materials necessary to conduct clinical trials;</w:t>
      </w:r>
    </w:p>
    <w:p>
      <w:pPr>
        <w:spacing w:after="0" w:line="117" w:lineRule="exact"/>
        <w:rPr>
          <w:rFonts w:ascii="Arial" w:cs="Arial" w:eastAsia="Arial" w:hAnsi="Arial"/>
          <w:sz w:val="18"/>
          <w:szCs w:val="18"/>
          <w:color w:val="auto"/>
        </w:rPr>
      </w:pPr>
    </w:p>
    <w:p>
      <w:pPr>
        <w:jc w:val="both"/>
        <w:ind w:left="900" w:right="200" w:hanging="406"/>
        <w:spacing w:after="0" w:line="263" w:lineRule="auto"/>
        <w:tabs>
          <w:tab w:leader="none" w:pos="8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clinical trial contracts or clinical trial protocols with prospective trial sites and contract research organizations (“CROs”), or failure by such CROs or trials sites to carry out the clinical trial in accordance with our agreed-upon terms;</w:t>
      </w:r>
    </w:p>
    <w:p>
      <w:pPr>
        <w:spacing w:after="0" w:line="75" w:lineRule="exact"/>
        <w:rPr>
          <w:rFonts w:ascii="Arial" w:cs="Arial" w:eastAsia="Arial" w:hAnsi="Arial"/>
          <w:sz w:val="18"/>
          <w:szCs w:val="18"/>
          <w:color w:val="auto"/>
        </w:rPr>
      </w:pPr>
    </w:p>
    <w:p>
      <w:pPr>
        <w:ind w:left="900" w:hanging="406"/>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non-clinical or clinical sites becoming unavailable due to political, economic or public health events, such as the recent coronavirus outbreak;</w:t>
      </w:r>
    </w:p>
    <w:p>
      <w:pPr>
        <w:spacing w:after="0" w:line="140" w:lineRule="exact"/>
        <w:rPr>
          <w:rFonts w:ascii="Arial" w:cs="Arial" w:eastAsia="Arial" w:hAnsi="Arial"/>
          <w:sz w:val="16"/>
          <w:szCs w:val="16"/>
          <w:color w:val="auto"/>
        </w:rPr>
      </w:pPr>
    </w:p>
    <w:p>
      <w:pPr>
        <w:ind w:left="900" w:hanging="40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clinical sites electing to terminate their participation in one of our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or unwillingness of patients or medical investigators to follow clinical trial protocols;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required clinical trial administrative actions;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slower than anticipated patient enrollment;</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changing standards of care;</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safety concerns;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or prevalence of use of a comparative drug or required prior therapy; or</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clinical outcomes or financial constraints.</w:t>
      </w:r>
    </w:p>
    <w:p>
      <w:pPr>
        <w:spacing w:after="0" w:line="225" w:lineRule="exact"/>
        <w:rPr>
          <w:sz w:val="20"/>
          <w:szCs w:val="20"/>
          <w:color w:val="auto"/>
        </w:rPr>
      </w:pPr>
    </w:p>
    <w:p>
      <w:pPr>
        <w:ind w:firstLine="567"/>
        <w:spacing w:after="0" w:line="291" w:lineRule="auto"/>
        <w:rPr>
          <w:sz w:val="20"/>
          <w:szCs w:val="20"/>
          <w:color w:val="auto"/>
        </w:rPr>
      </w:pPr>
      <w:r>
        <w:rPr>
          <w:rFonts w:ascii="Arial" w:cs="Arial" w:eastAsia="Arial" w:hAnsi="Arial"/>
          <w:sz w:val="16"/>
          <w:szCs w:val="16"/>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experience any of the issues described above, or other similar or related issues, we may:</w:t>
      </w:r>
    </w:p>
    <w:p>
      <w:pPr>
        <w:spacing w:after="0" w:line="117" w:lineRule="exact"/>
        <w:rPr>
          <w:sz w:val="20"/>
          <w:szCs w:val="20"/>
          <w:color w:val="auto"/>
        </w:rPr>
      </w:pPr>
    </w:p>
    <w:p>
      <w:pPr>
        <w:ind w:left="900" w:hanging="40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900" w:right="240" w:hanging="406"/>
        <w:spacing w:after="0" w:line="277"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 obtain approval for indications or patient populations that are not as broad as intended or desired;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198" w:lineRule="exact"/>
        <w:rPr>
          <w:sz w:val="20"/>
          <w:szCs w:val="20"/>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329"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color w:val="auto"/>
        </w:rPr>
        <w:t>We may not be successful in our efforts to use our technology platform to expand our pipeline of product candidates and develop marketable products.</w:t>
      </w:r>
    </w:p>
    <w:p>
      <w:pPr>
        <w:spacing w:after="0" w:line="58" w:lineRule="exact"/>
        <w:rPr>
          <w:sz w:val="20"/>
          <w:szCs w:val="20"/>
          <w:color w:val="auto"/>
        </w:rPr>
      </w:pPr>
    </w:p>
    <w:p>
      <w:pPr>
        <w:ind w:right="140" w:firstLine="567"/>
        <w:spacing w:after="0" w:line="253"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validate our technology platform by successfully developing and commercializing product candidates based upon our technological approach, we may not be able to obtain product or partnership revenue in future periods, which would adversely affect our business, prospects, financial condition and results of operations.</w:t>
      </w:r>
    </w:p>
    <w:p>
      <w:pPr>
        <w:spacing w:after="0" w:line="180" w:lineRule="exact"/>
        <w:rPr>
          <w:sz w:val="20"/>
          <w:szCs w:val="20"/>
          <w:color w:val="auto"/>
        </w:rPr>
      </w:pPr>
    </w:p>
    <w:p>
      <w:pPr>
        <w:ind w:firstLine="567"/>
        <w:spacing w:after="0" w:line="238" w:lineRule="auto"/>
        <w:rPr>
          <w:sz w:val="20"/>
          <w:szCs w:val="20"/>
          <w:color w:val="auto"/>
        </w:rPr>
      </w:pPr>
      <w:r>
        <w:rPr>
          <w:rFonts w:ascii="Arial" w:cs="Arial" w:eastAsia="Arial" w:hAnsi="Arial"/>
          <w:sz w:val="18"/>
          <w:szCs w:val="18"/>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98" w:lineRule="exact"/>
        <w:rPr>
          <w:sz w:val="20"/>
          <w:szCs w:val="20"/>
          <w:color w:val="auto"/>
        </w:rPr>
      </w:pPr>
    </w:p>
    <w:p>
      <w:pPr>
        <w:ind w:right="100"/>
        <w:spacing w:after="0" w:line="296" w:lineRule="auto"/>
        <w:rPr>
          <w:sz w:val="20"/>
          <w:szCs w:val="20"/>
          <w:color w:val="auto"/>
        </w:rPr>
      </w:pPr>
      <w:r>
        <w:rPr>
          <w:rFonts w:ascii="Arial" w:cs="Arial" w:eastAsia="Arial" w:hAnsi="Arial"/>
          <w:sz w:val="17"/>
          <w:szCs w:val="17"/>
          <w:b w:val="1"/>
          <w:bCs w:val="1"/>
          <w:color w:val="auto"/>
        </w:rPr>
        <w:t>We have recently commenced clinical development of etokimab, imsidolimab and ANB030, and have no other history of conducting clinical trials or commercializing biotechnology products, which may make it difficult to evaluate the prospects for our future viability.</w:t>
      </w:r>
    </w:p>
    <w:p>
      <w:pPr>
        <w:spacing w:after="0" w:line="35" w:lineRule="exact"/>
        <w:rPr>
          <w:sz w:val="20"/>
          <w:szCs w:val="20"/>
          <w:color w:val="auto"/>
        </w:rPr>
      </w:pPr>
    </w:p>
    <w:p>
      <w:pPr>
        <w:ind w:right="140" w:firstLine="567"/>
        <w:spacing w:after="0" w:line="254" w:lineRule="auto"/>
        <w:rPr>
          <w:sz w:val="20"/>
          <w:szCs w:val="20"/>
          <w:color w:val="auto"/>
        </w:rPr>
      </w:pPr>
      <w:r>
        <w:rPr>
          <w:rFonts w:ascii="Arial" w:cs="Arial" w:eastAsia="Arial" w:hAnsi="Arial"/>
          <w:sz w:val="17"/>
          <w:szCs w:val="17"/>
          <w:color w:val="auto"/>
        </w:rPr>
        <w:t>Our operations to date have been largely limited to financing and staffing our company, developing our technology and developing our wholly-owned product candidates, and other product candidates in partnerships with our collaborators. As a company, we have only very limited experience conducting clinical trials and have not had previous experience commercializing product candidates, including submitting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spacing w:after="0" w:line="181" w:lineRule="exact"/>
        <w:rPr>
          <w:sz w:val="20"/>
          <w:szCs w:val="20"/>
          <w:color w:val="auto"/>
        </w:rPr>
      </w:pPr>
    </w:p>
    <w:p>
      <w:pPr>
        <w:ind w:right="380" w:firstLine="567"/>
        <w:spacing w:after="0" w:line="248" w:lineRule="auto"/>
        <w:rPr>
          <w:sz w:val="20"/>
          <w:szCs w:val="20"/>
          <w:color w:val="auto"/>
        </w:rPr>
      </w:pPr>
      <w:r>
        <w:rPr>
          <w:rFonts w:ascii="Arial" w:cs="Arial" w:eastAsia="Arial" w:hAnsi="Arial"/>
          <w:sz w:val="18"/>
          <w:szCs w:val="18"/>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74" w:lineRule="exact"/>
        <w:rPr>
          <w:sz w:val="20"/>
          <w:szCs w:val="20"/>
          <w:color w:val="auto"/>
        </w:rPr>
      </w:pPr>
    </w:p>
    <w:p>
      <w:pPr>
        <w:ind w:left="900" w:right="600" w:hanging="406"/>
        <w:spacing w:after="0" w:line="261" w:lineRule="auto"/>
        <w:tabs>
          <w:tab w:leader="none" w:pos="8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198" w:lineRule="exact"/>
        <w:rPr>
          <w:sz w:val="20"/>
          <w:szCs w:val="20"/>
          <w:color w:val="auto"/>
        </w:rPr>
      </w:pPr>
    </w:p>
    <w:p>
      <w:pPr>
        <w:ind w:left="900" w:right="460" w:hanging="406"/>
        <w:spacing w:after="0" w:line="261" w:lineRule="auto"/>
        <w:tabs>
          <w:tab w:leader="none" w:pos="8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conditions imposed by the FDA or foreign regulatory authorities regarding the number, scope or design of our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inadequate supply or quality of clinical trial materials or other supplies necessary for the conduct of our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poor effectiveness or unacceptable side effects of our product candidates during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17" w:lineRule="exact"/>
        <w:rPr>
          <w:rFonts w:ascii="Arial" w:cs="Arial" w:eastAsia="Arial" w:hAnsi="Arial"/>
          <w:sz w:val="18"/>
          <w:szCs w:val="18"/>
          <w:color w:val="auto"/>
        </w:rPr>
      </w:pPr>
    </w:p>
    <w:p>
      <w:pPr>
        <w:ind w:left="900" w:right="80" w:hanging="406"/>
        <w:spacing w:after="0" w:line="277" w:lineRule="auto"/>
        <w:tabs>
          <w:tab w:leader="none" w:pos="8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62" w:lineRule="exact"/>
        <w:rPr>
          <w:rFonts w:ascii="Arial" w:cs="Arial" w:eastAsia="Arial" w:hAnsi="Arial"/>
          <w:sz w:val="18"/>
          <w:szCs w:val="18"/>
          <w:color w:val="auto"/>
        </w:rPr>
      </w:pPr>
    </w:p>
    <w:p>
      <w:pPr>
        <w:ind w:left="900" w:right="100" w:hanging="406"/>
        <w:spacing w:after="0" w:line="277" w:lineRule="auto"/>
        <w:tabs>
          <w:tab w:leader="none" w:pos="8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planned clinical trials or by individuals using drugs similar to our product candidates;</w:t>
      </w:r>
    </w:p>
    <w:p>
      <w:pPr>
        <w:spacing w:after="0" w:line="62" w:lineRule="exact"/>
        <w:rPr>
          <w:rFonts w:ascii="Arial" w:cs="Arial" w:eastAsia="Arial" w:hAnsi="Arial"/>
          <w:sz w:val="18"/>
          <w:szCs w:val="18"/>
          <w:color w:val="auto"/>
        </w:rPr>
      </w:pPr>
    </w:p>
    <w:p>
      <w:pPr>
        <w:ind w:left="900" w:right="500" w:hanging="406"/>
        <w:spacing w:after="0" w:line="277" w:lineRule="auto"/>
        <w:tabs>
          <w:tab w:leader="none" w:pos="8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varying interpretations of data by the FDA and foreign regulatory authorities.</w:t>
      </w:r>
    </w:p>
    <w:p>
      <w:pPr>
        <w:spacing w:after="0" w:line="225" w:lineRule="exact"/>
        <w:rPr>
          <w:sz w:val="20"/>
          <w:szCs w:val="20"/>
          <w:color w:val="auto"/>
        </w:rPr>
      </w:pPr>
    </w:p>
    <w:p>
      <w:pPr>
        <w:ind w:right="220" w:firstLine="567"/>
        <w:spacing w:after="0" w:line="308" w:lineRule="auto"/>
        <w:rPr>
          <w:sz w:val="20"/>
          <w:szCs w:val="20"/>
          <w:color w:val="auto"/>
        </w:rPr>
      </w:pPr>
      <w:r>
        <w:rPr>
          <w:rFonts w:ascii="Arial" w:cs="Arial" w:eastAsia="Arial" w:hAnsi="Arial"/>
          <w:sz w:val="17"/>
          <w:szCs w:val="17"/>
          <w:color w:val="auto"/>
        </w:rPr>
        <w:t>Consequently, any predictions you make about our future success or viability based on our short operating history may not be as accurate as they could be if we had a longer operating history or an established track record in conducting clinical trials or commercializing products.</w:t>
      </w:r>
    </w:p>
    <w:p>
      <w:pPr>
        <w:spacing w:after="0" w:line="146" w:lineRule="exact"/>
        <w:rPr>
          <w:sz w:val="20"/>
          <w:szCs w:val="20"/>
          <w:color w:val="auto"/>
        </w:rPr>
      </w:pPr>
    </w:p>
    <w:p>
      <w:pPr>
        <w:ind w:firstLine="567"/>
        <w:spacing w:after="0" w:line="263" w:lineRule="auto"/>
        <w:rPr>
          <w:sz w:val="20"/>
          <w:szCs w:val="20"/>
          <w:color w:val="auto"/>
        </w:rPr>
      </w:pPr>
      <w:r>
        <w:rPr>
          <w:rFonts w:ascii="Arial" w:cs="Arial" w:eastAsia="Arial" w:hAnsi="Arial"/>
          <w:sz w:val="18"/>
          <w:szCs w:val="18"/>
          <w:color w:val="auto"/>
        </w:rPr>
        <w:t>Further,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288"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58"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179" w:lineRule="exact"/>
        <w:rPr>
          <w:sz w:val="20"/>
          <w:szCs w:val="20"/>
          <w:color w:val="auto"/>
        </w:rPr>
      </w:pPr>
    </w:p>
    <w:p>
      <w:pPr>
        <w:ind w:right="540" w:firstLine="567"/>
        <w:spacing w:after="0" w:line="277" w:lineRule="auto"/>
        <w:rPr>
          <w:sz w:val="20"/>
          <w:szCs w:val="20"/>
          <w:color w:val="auto"/>
        </w:rPr>
      </w:pPr>
      <w:r>
        <w:rPr>
          <w:rFonts w:ascii="Arial" w:cs="Arial" w:eastAsia="Arial" w:hAnsi="Arial"/>
          <w:sz w:val="18"/>
          <w:szCs w:val="18"/>
          <w:color w:val="auto"/>
        </w:rPr>
        <w:t>For asthma, our competitors include omalizumab (Xolair; Roche), which has received FDA approval and functions by inhibiting the binding between free IgE and FceRI; antibodies that bind IL-5 and inhibit its interaction with the IL-5 receptor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30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such as mepolizumab (Nucala; GSK) and reslizumab (Cinqair; Teva), both of which the FDA has approved for the add-on maintenance treatment in patients with severe eosinophilic asthma; antibodies such as benralizumab (FASENRA, AstraZeneca) that bind the IL-5 receptor; antibodies that bind the IL-4 receptor and inhibit its signaling through IL-4 and IL-13 cytokines such as dupilumab (Dupixent; Regeneron/Sanofi), which has been approved by the FDA for use with other asthma medicines for the maintenance treatment of moderate-to-severe asthma in patients aged 12 years and older whose asthma is not controlled with their current asthma medicines; antibodies that bind to IL-13 such as lebrikizumab (Dermira), tralokinumab (AstraZeneca, LEO Pharma) and anrukinzumab (Pfizer), which are in clinical testing; antibodies that bind the IL-4 receptor alpha chain, such as AMG 317 (Amgen) in clinical testing; ST2-binding antibodies including Roche’s RG6149 and GSK’s GSK3772847, and Regeneron’s IL-33 antibody (REGN3500) each in clinical development for asthma and chronic obstructive pulmonary disease; a recently announced IL-33 related program by AstraZeneca (MEDI3506) in a Phase 1 clinical trial indicated for chronic obstructive pulmonary disease; DP-2 antagonists including fevipiprant (Novartis) under development for asthma and GB001 (Gossamer Bio) under development for asthma; and an anti-TSLP antibody called tezepelumab (AMG 157, MEDI9929, Amgen/AstraZeneca) being developed by Amgen and AstraZeneca for asthma.</w:t>
      </w:r>
    </w:p>
    <w:p>
      <w:pPr>
        <w:spacing w:after="0" w:line="182" w:lineRule="exact"/>
        <w:rPr>
          <w:sz w:val="20"/>
          <w:szCs w:val="20"/>
          <w:color w:val="auto"/>
        </w:rPr>
      </w:pPr>
    </w:p>
    <w:p>
      <w:pPr>
        <w:ind w:right="120" w:firstLine="567"/>
        <w:spacing w:after="0" w:line="277" w:lineRule="auto"/>
        <w:rPr>
          <w:sz w:val="20"/>
          <w:szCs w:val="20"/>
          <w:color w:val="auto"/>
        </w:rPr>
      </w:pPr>
      <w:r>
        <w:rPr>
          <w:rFonts w:ascii="Arial" w:cs="Arial" w:eastAsia="Arial" w:hAnsi="Arial"/>
          <w:sz w:val="18"/>
          <w:szCs w:val="18"/>
          <w:color w:val="auto"/>
        </w:rPr>
        <w:t>Our competitors in CRSwNP include dupilumab (Regeneron/Sanofi), mepolizumab (GSK), benralizumab (AstraZeneca), omalizumab (Novartis), GB001 (Gossamer Bio) and PF-06817024 (Pfizer), each of which are in clinical testing.</w:t>
      </w:r>
    </w:p>
    <w:p>
      <w:pPr>
        <w:spacing w:after="0" w:line="170" w:lineRule="exact"/>
        <w:rPr>
          <w:sz w:val="20"/>
          <w:szCs w:val="20"/>
          <w:color w:val="auto"/>
        </w:rPr>
      </w:pPr>
    </w:p>
    <w:p>
      <w:pPr>
        <w:ind w:right="100" w:firstLine="567"/>
        <w:spacing w:after="0" w:line="257" w:lineRule="auto"/>
        <w:rPr>
          <w:sz w:val="20"/>
          <w:szCs w:val="20"/>
          <w:color w:val="auto"/>
        </w:rPr>
      </w:pPr>
      <w:r>
        <w:rPr>
          <w:rFonts w:ascii="Arial" w:cs="Arial" w:eastAsia="Arial" w:hAnsi="Arial"/>
          <w:sz w:val="18"/>
          <w:szCs w:val="18"/>
          <w:color w:val="auto"/>
        </w:rPr>
        <w:t>For GPP and PPP, our competitors include marketed therapies such as secukinumab (Cosentyx; Novartis), which binds IL-17A; ustekinumab (Stelara; Janssen), which blocks IL-12 and 23 cytokine function; and acitretin (Soriatane; GSK), as well as therapies in development such as guselkumab (Janssen), which blocks IL-23 cytokine function, gevokizumab (Xoma 052) and canakinumab (Ilaris, Novartis), which binds IL-1 beta, anakinra (Kineret; Swedish Orphan Biovitrum AB), a recombinant form the IL-1 receptor antagonist and an anti-IL-36 receptor antibody called BI-655130 (Boehringer Ingelheim).</w:t>
      </w:r>
    </w:p>
    <w:p>
      <w:pPr>
        <w:spacing w:after="0" w:line="174" w:lineRule="exact"/>
        <w:rPr>
          <w:sz w:val="20"/>
          <w:szCs w:val="20"/>
          <w:color w:val="auto"/>
        </w:rPr>
      </w:pPr>
    </w:p>
    <w:p>
      <w:pPr>
        <w:ind w:right="40" w:firstLine="567"/>
        <w:spacing w:after="0" w:line="289" w:lineRule="auto"/>
        <w:rPr>
          <w:sz w:val="20"/>
          <w:szCs w:val="20"/>
          <w:color w:val="auto"/>
        </w:rPr>
      </w:pPr>
      <w:r>
        <w:rPr>
          <w:rFonts w:ascii="Arial" w:cs="Arial" w:eastAsia="Arial" w:hAnsi="Arial"/>
          <w:sz w:val="16"/>
          <w:szCs w:val="16"/>
          <w:color w:val="auto"/>
        </w:rPr>
        <w:t>For ichthyosis, systemically administered competitors include secukinumab (Cosentyx; Novartis), liarozole (GSK), dupilumab (Dupixent; Regeneron/Sanofi) and adalimumab (Humira; Abbvie). Various topical treatments may also be used off-label for treatment of ichthyosis related symptoms.</w:t>
      </w:r>
    </w:p>
    <w:p>
      <w:pPr>
        <w:spacing w:after="0" w:line="137" w:lineRule="exact"/>
        <w:rPr>
          <w:sz w:val="20"/>
          <w:szCs w:val="20"/>
          <w:color w:val="auto"/>
        </w:rPr>
      </w:pPr>
    </w:p>
    <w:p>
      <w:pPr>
        <w:jc w:val="both"/>
        <w:ind w:right="360" w:firstLine="567"/>
        <w:spacing w:after="0" w:line="263" w:lineRule="auto"/>
        <w:rPr>
          <w:sz w:val="20"/>
          <w:szCs w:val="20"/>
          <w:color w:val="auto"/>
        </w:rPr>
      </w:pPr>
      <w:r>
        <w:rPr>
          <w:rFonts w:ascii="Arial" w:cs="Arial" w:eastAsia="Arial" w:hAnsi="Arial"/>
          <w:sz w:val="18"/>
          <w:szCs w:val="18"/>
          <w:color w:val="auto"/>
        </w:rPr>
        <w:t>For our anti-inflammatory checkpoint modulator antibody programs, our competitors include CC-90006 (BMS) which is an anti-PD-1 agonist antibody developed under our partnership with BMS, a BTLA modulator antibody called LY3361237 being developed by Eli Lilly and a PD-1 agonist antibody also being developed by Eli Lilly.</w:t>
      </w:r>
    </w:p>
    <w:p>
      <w:pPr>
        <w:spacing w:after="0" w:line="184" w:lineRule="exact"/>
        <w:rPr>
          <w:sz w:val="20"/>
          <w:szCs w:val="20"/>
          <w:color w:val="auto"/>
        </w:rPr>
      </w:pPr>
    </w:p>
    <w:p>
      <w:pPr>
        <w:ind w:right="20" w:firstLine="567"/>
        <w:spacing w:after="0" w:line="271" w:lineRule="auto"/>
        <w:rPr>
          <w:sz w:val="20"/>
          <w:szCs w:val="20"/>
          <w:color w:val="auto"/>
        </w:rPr>
      </w:pPr>
      <w:r>
        <w:rPr>
          <w:rFonts w:ascii="Arial" w:cs="Arial" w:eastAsia="Arial" w:hAnsi="Arial"/>
          <w:sz w:val="17"/>
          <w:szCs w:val="17"/>
          <w:color w:val="auto"/>
        </w:rPr>
        <w:t>With the enactment of the Biologics Price Competition and Innovation Act of 2009 (“BPCIA”) an abbreviated pathway for the approval of biosimilar and interchangeable biological products was created. The abbreviated regulatory pathway establishes legal authority for the FDA to review and approve biosimilar biologics, including the possible designation of a biosimilar as interchangeable based on its similarity to an existing reference product. Under the BPCIA, an application for a biosimilar product cannot be approved by the FDA until 12 years after the original branded product is approved under a BLA. To date, several biosimilar products have been approved under the BPCIA, but no interchangeable biological products have been approved.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biological products.</w:t>
      </w:r>
    </w:p>
    <w:p>
      <w:pPr>
        <w:spacing w:after="0" w:line="178" w:lineRule="exact"/>
        <w:rPr>
          <w:sz w:val="20"/>
          <w:szCs w:val="20"/>
          <w:color w:val="auto"/>
        </w:rPr>
      </w:pPr>
    </w:p>
    <w:p>
      <w:pPr>
        <w:ind w:firstLine="567"/>
        <w:spacing w:after="0" w:line="273" w:lineRule="auto"/>
        <w:rPr>
          <w:sz w:val="20"/>
          <w:szCs w:val="20"/>
          <w:color w:val="auto"/>
        </w:rPr>
      </w:pPr>
      <w:r>
        <w:rPr>
          <w:rFonts w:ascii="Arial" w:cs="Arial" w:eastAsia="Arial" w:hAnsi="Arial"/>
          <w:sz w:val="17"/>
          <w:szCs w:val="17"/>
          <w:color w:val="auto"/>
        </w:rPr>
        <w:t>We believe that if any of our product candidates are approved as a biological product under a BLA it should qualify for the 12-year period of exclusivity. However, there is a risk that the FDA will not consider any of our product candidates to be reference products for competing products, potentially creating the opportunity for biosimilar competition sooner than anticipated. Additionally, this period of regulatory exclusivity does not apply to companies pursuing regulatory approval via their own traditional BLA, rather than via the abbreviated pathway.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78" w:lineRule="exact"/>
        <w:rPr>
          <w:sz w:val="20"/>
          <w:szCs w:val="20"/>
          <w:color w:val="auto"/>
        </w:rPr>
      </w:pPr>
    </w:p>
    <w:p>
      <w:pPr>
        <w:jc w:val="both"/>
        <w:ind w:right="40" w:firstLine="567"/>
        <w:spacing w:after="0" w:line="259"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0" w:name="page41"/>
    <w:bookmarkEnd w:id="40"/>
    <w:p>
      <w:pPr>
        <w:spacing w:after="0" w:line="306"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w:t>
      </w:r>
    </w:p>
    <w:p>
      <w:pPr>
        <w:spacing w:after="0" w:line="184"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Smaller and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as well as in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296"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Our product candidates may not achieve adequate market acceptance among physicians, patients, health care payors and others in the medical community necessary for commercial success.</w:t>
      </w:r>
    </w:p>
    <w:p>
      <w:pPr>
        <w:spacing w:after="0" w:line="58" w:lineRule="exact"/>
        <w:rPr>
          <w:sz w:val="20"/>
          <w:szCs w:val="20"/>
          <w:color w:val="auto"/>
        </w:rPr>
      </w:pPr>
    </w:p>
    <w:p>
      <w:pPr>
        <w:ind w:right="100" w:firstLine="567"/>
        <w:spacing w:after="0" w:line="263"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 care payors and others in the medical community. The degree of market acceptance of any of our approved product candidates will depend on a number of factors, including:</w:t>
      </w:r>
    </w:p>
    <w:p>
      <w:pPr>
        <w:spacing w:after="0" w:line="76" w:lineRule="exact"/>
        <w:rPr>
          <w:sz w:val="20"/>
          <w:szCs w:val="20"/>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planned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900" w:right="40" w:hanging="406"/>
        <w:spacing w:after="0" w:line="277" w:lineRule="auto"/>
        <w:tabs>
          <w:tab w:leader="none" w:pos="8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the use of our products, if approved, such as boxed warnings or contraindications in labeling, or a risk evaluation and mitigation strategy (“REMS”), if any, which may not be required of alternative treatments and competitor products;</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potential and perceived advantages of product candidates over alternative treatments, including any similar generic treatments;</w:t>
      </w:r>
    </w:p>
    <w:p>
      <w:pPr>
        <w:spacing w:after="0" w:line="128" w:lineRule="exact"/>
        <w:rPr>
          <w:rFonts w:ascii="Arial" w:cs="Arial" w:eastAsia="Arial" w:hAnsi="Arial"/>
          <w:sz w:val="17"/>
          <w:szCs w:val="17"/>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w:t>
      </w:r>
    </w:p>
    <w:p>
      <w:pPr>
        <w:spacing w:after="0" w:line="225" w:lineRule="exact"/>
        <w:rPr>
          <w:sz w:val="20"/>
          <w:szCs w:val="20"/>
          <w:color w:val="auto"/>
        </w:rPr>
      </w:pPr>
    </w:p>
    <w:p>
      <w:pPr>
        <w:ind w:right="60" w:firstLine="567"/>
        <w:spacing w:after="0" w:line="308" w:lineRule="auto"/>
        <w:rPr>
          <w:sz w:val="20"/>
          <w:szCs w:val="20"/>
          <w:color w:val="auto"/>
        </w:rPr>
      </w:pPr>
      <w:r>
        <w:rPr>
          <w:rFonts w:ascii="Arial" w:cs="Arial" w:eastAsia="Arial" w:hAnsi="Arial"/>
          <w:sz w:val="17"/>
          <w:szCs w:val="17"/>
          <w:color w:val="auto"/>
        </w:rPr>
        <w:t>If any product candidate is approved but does not achieve an adequate level of acceptance by physicians, hospitals, health care payors and patients, we may not generate or derive sufficient revenue from that product candidate and may not become or remain profitable.</w:t>
      </w:r>
    </w:p>
    <w:p>
      <w:pPr>
        <w:spacing w:after="0" w:line="250" w:lineRule="exact"/>
        <w:rPr>
          <w:sz w:val="20"/>
          <w:szCs w:val="20"/>
          <w:color w:val="auto"/>
        </w:rPr>
      </w:pPr>
    </w:p>
    <w:p>
      <w:pPr>
        <w:ind w:right="400"/>
        <w:spacing w:after="0" w:line="347" w:lineRule="auto"/>
        <w:rPr>
          <w:sz w:val="20"/>
          <w:szCs w:val="20"/>
          <w:color w:val="auto"/>
        </w:rPr>
      </w:pPr>
      <w:r>
        <w:rPr>
          <w:rFonts w:ascii="Arial" w:cs="Arial" w:eastAsia="Arial" w:hAnsi="Arial"/>
          <w:sz w:val="16"/>
          <w:szCs w:val="16"/>
          <w:b w:val="1"/>
          <w:bCs w:val="1"/>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12" w:lineRule="exact"/>
        <w:rPr>
          <w:sz w:val="20"/>
          <w:szCs w:val="20"/>
          <w:color w:val="auto"/>
        </w:rPr>
      </w:pPr>
    </w:p>
    <w:p>
      <w:pPr>
        <w:ind w:firstLine="567"/>
        <w:spacing w:after="0" w:line="296" w:lineRule="auto"/>
        <w:rPr>
          <w:sz w:val="20"/>
          <w:szCs w:val="20"/>
          <w:color w:val="auto"/>
        </w:rPr>
      </w:pPr>
      <w:r>
        <w:rPr>
          <w:rFonts w:ascii="Arial" w:cs="Arial" w:eastAsia="Arial" w:hAnsi="Arial"/>
          <w:sz w:val="16"/>
          <w:szCs w:val="16"/>
          <w:color w:val="auto"/>
        </w:rPr>
        <w:t>If companion diagnostics are developed in conjunction with clinical programs, the FDA may require regulatory approval of a companion diagnostic as a condition to approval of the product candidate. For example, if we use a genetic test to determine which patients are most likely to benefit from imsidolimab for the treatment of GPP or PPP by designing our pivotal trial or trials of imsidolimab in that indication to require that subjects test positive for specific genetic mutations as a criterion for enrollment, then we will likely be required to obtain FDA approval or clearance of a companion diagnostic, concurrent with approval of imsidolimab, to test for those genetic mutations; we may also be required to demonstrate to the FDA the predictive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19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utility of the companion diagnostic—namely, that the diagnostic selects for patients in whom the biologic therapy will be effective or more effective compared to patients not selected for by the diagnostic. We do not have experience or capabilities in developing or commercializing diagnostics and plan to rely in large part on third parties to perform these functions. We do not currently have any agreement in place with any third party to develop or commercialize companion diagnostics for any of our product candidates. Companion diagnostics are subject to regulation by the FDA and foreign regulatory authorities as medical devices and require separate regulatory approval or clearance prior to commercialization.</w:t>
      </w:r>
    </w:p>
    <w:p>
      <w:pPr>
        <w:spacing w:after="0" w:line="176" w:lineRule="exact"/>
        <w:rPr>
          <w:sz w:val="20"/>
          <w:szCs w:val="20"/>
          <w:color w:val="auto"/>
        </w:rPr>
      </w:pPr>
    </w:p>
    <w:p>
      <w:pPr>
        <w:ind w:right="40" w:firstLine="567"/>
        <w:spacing w:after="0" w:line="277" w:lineRule="auto"/>
        <w:rPr>
          <w:sz w:val="20"/>
          <w:szCs w:val="20"/>
          <w:color w:val="auto"/>
        </w:rPr>
      </w:pPr>
      <w:r>
        <w:rPr>
          <w:rFonts w:ascii="Arial" w:cs="Arial" w:eastAsia="Arial" w:hAnsi="Arial"/>
          <w:sz w:val="18"/>
          <w:szCs w:val="18"/>
          <w:color w:val="auto"/>
        </w:rPr>
        <w:t>If we or our partners, or any third party, are unable to successfully develop companion diagnostics for our product candidates, or experience delays in doing so:</w:t>
      </w:r>
    </w:p>
    <w:p>
      <w:pPr>
        <w:spacing w:after="0" w:line="62" w:lineRule="exact"/>
        <w:rPr>
          <w:sz w:val="20"/>
          <w:szCs w:val="20"/>
          <w:color w:val="auto"/>
        </w:rPr>
      </w:pPr>
    </w:p>
    <w:p>
      <w:pPr>
        <w:ind w:left="900" w:right="320" w:hanging="406"/>
        <w:spacing w:after="0" w:line="277" w:lineRule="auto"/>
        <w:tabs>
          <w:tab w:leader="none" w:pos="8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development of our product candidates may be adversely affected if we are unable to appropriately select patients for enrollment in our planned clinical trials;</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product candidates may not receive marketing approval if their safe and effective use depends on a companion diagnostic; and</w:t>
      </w:r>
    </w:p>
    <w:p>
      <w:pPr>
        <w:spacing w:after="0" w:line="128" w:lineRule="exact"/>
        <w:rPr>
          <w:rFonts w:ascii="Arial" w:cs="Arial" w:eastAsia="Arial" w:hAnsi="Arial"/>
          <w:sz w:val="17"/>
          <w:szCs w:val="17"/>
          <w:color w:val="auto"/>
        </w:rPr>
      </w:pPr>
    </w:p>
    <w:p>
      <w:pPr>
        <w:ind w:left="900" w:right="280" w:hanging="406"/>
        <w:spacing w:after="0" w:line="308" w:lineRule="auto"/>
        <w:tabs>
          <w:tab w:leader="none" w:pos="895"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not realize the full commercial potential of any product candidates that receive marketing approval if, among other reasons, we are unable to appropriately identify patients with the specific genetic alterations targeted by our product candidates.</w:t>
      </w:r>
    </w:p>
    <w:p>
      <w:pPr>
        <w:spacing w:after="0" w:line="146" w:lineRule="exact"/>
        <w:rPr>
          <w:sz w:val="20"/>
          <w:szCs w:val="20"/>
          <w:color w:val="auto"/>
        </w:rPr>
      </w:pPr>
    </w:p>
    <w:p>
      <w:pPr>
        <w:ind w:right="120" w:firstLine="567"/>
        <w:spacing w:after="0" w:line="259" w:lineRule="auto"/>
        <w:rPr>
          <w:sz w:val="20"/>
          <w:szCs w:val="20"/>
          <w:color w:val="auto"/>
        </w:rPr>
      </w:pPr>
      <w:r>
        <w:rPr>
          <w:rFonts w:ascii="Arial" w:cs="Arial" w:eastAsia="Arial" w:hAnsi="Arial"/>
          <w:sz w:val="18"/>
          <w:szCs w:val="18"/>
          <w:color w:val="auto"/>
        </w:rPr>
        <w:t>In addition, although we believe genetic testing is becoming more prevalent in the diagnosis and treatment of various diseases and conditions, our product candidates may be perceived negatively compared to alternative treatments that do not require the use of companion diagnostics, either due to the additional cost of the companion diagnostic or the need to complete additional procedures to identify genetic markers prior to administering our product candidates.</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any of these events were to occur, our business would be harmed, possibly materially.</w:t>
      </w:r>
    </w:p>
    <w:p>
      <w:pPr>
        <w:spacing w:after="0" w:line="329"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b w:val="1"/>
          <w:bCs w:val="1"/>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54" w:lineRule="exact"/>
        <w:rPr>
          <w:sz w:val="20"/>
          <w:szCs w:val="20"/>
          <w:color w:val="auto"/>
        </w:rPr>
      </w:pPr>
    </w:p>
    <w:p>
      <w:pPr>
        <w:ind w:right="20" w:firstLine="567"/>
        <w:spacing w:after="0" w:line="290" w:lineRule="auto"/>
        <w:rPr>
          <w:sz w:val="20"/>
          <w:szCs w:val="20"/>
          <w:color w:val="auto"/>
        </w:rPr>
      </w:pPr>
      <w:r>
        <w:rPr>
          <w:rFonts w:ascii="Arial" w:cs="Arial" w:eastAsia="Arial" w:hAnsi="Arial"/>
          <w:sz w:val="16"/>
          <w:szCs w:val="16"/>
          <w:color w:val="auto"/>
        </w:rPr>
        <w:t>The process of manufacturing biologics is complex, highly-regulated and subject to multiple risks.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Moreover, if the FDA determines that our manufacturer is not in compliance with FDA laws and regulations, including those governing current good manufacturing practices (“cGMPs”), the FDA may deny BLA approval until the deficiencies are corrected or we replace the manufacturer in our BLA with a manufacturer that is in compliance.</w:t>
      </w:r>
    </w:p>
    <w:p>
      <w:pPr>
        <w:spacing w:after="0" w:line="165" w:lineRule="exact"/>
        <w:rPr>
          <w:sz w:val="20"/>
          <w:szCs w:val="20"/>
          <w:color w:val="auto"/>
        </w:rPr>
      </w:pPr>
    </w:p>
    <w:p>
      <w:pPr>
        <w:ind w:firstLine="567"/>
        <w:spacing w:after="0" w:line="270" w:lineRule="auto"/>
        <w:rPr>
          <w:sz w:val="20"/>
          <w:szCs w:val="20"/>
          <w:color w:val="auto"/>
        </w:rPr>
      </w:pPr>
      <w:r>
        <w:rPr>
          <w:rFonts w:ascii="Arial" w:cs="Arial" w:eastAsia="Arial" w:hAnsi="Arial"/>
          <w:sz w:val="17"/>
          <w:szCs w:val="17"/>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Moreover, we source certain of the raw materials needed for our product candidates from China. Although we have not experienced any material supply interruptions to date, it is possible that the recent coronavirus outbreak could cause such interruptions in the future. If our manufacturers are unable to produce sufficient quantities for clinical trials or for commercialization, commercialization efforts would be impaired, which would have an adverse effect on our business, financial condition, results of operations and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2" w:name="page43"/>
    <w:bookmarkEnd w:id="42"/>
    <w:p>
      <w:pPr>
        <w:spacing w:after="0" w:line="306"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manufacturers, we will need to transfer to other manufacturers and complete the manufacturing validation process, which can be lengthy and costly. If we are able to adequately validate and scale-up the manufacturing process for our product candidates with contract manufacturers, we will still need to negotiate with such contract manufacturers agreements for commercial supply, and it is not certain we will be able to come to agreement on terms acceptable to 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1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58" w:lineRule="exact"/>
        <w:rPr>
          <w:sz w:val="20"/>
          <w:szCs w:val="20"/>
          <w:color w:val="auto"/>
        </w:rPr>
      </w:pPr>
    </w:p>
    <w:p>
      <w:pPr>
        <w:ind w:right="100" w:firstLine="567"/>
        <w:spacing w:after="0" w:line="257" w:lineRule="auto"/>
        <w:rPr>
          <w:sz w:val="20"/>
          <w:szCs w:val="20"/>
          <w:color w:val="auto"/>
        </w:rPr>
      </w:pPr>
      <w:r>
        <w:rPr>
          <w:rFonts w:ascii="Arial" w:cs="Arial" w:eastAsia="Arial" w:hAnsi="Arial"/>
          <w:sz w:val="18"/>
          <w:szCs w:val="18"/>
          <w:color w:val="auto"/>
        </w:rPr>
        <w:t>We are an early-stage biotechnology company with a limited operating history. We have no approved products. To date, our revenue has been primarily derived from our GSK and BMS research collaboration and license agreements,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188" w:lineRule="exact"/>
        <w:rPr>
          <w:sz w:val="20"/>
          <w:szCs w:val="20"/>
          <w:color w:val="auto"/>
        </w:rPr>
      </w:pPr>
    </w:p>
    <w:p>
      <w:pPr>
        <w:ind w:right="300" w:firstLine="445"/>
        <w:spacing w:after="0" w:line="263" w:lineRule="auto"/>
        <w:rPr>
          <w:sz w:val="20"/>
          <w:szCs w:val="20"/>
          <w:color w:val="auto"/>
        </w:rPr>
      </w:pPr>
      <w:r>
        <w:rPr>
          <w:rFonts w:ascii="Arial" w:cs="Arial" w:eastAsia="Arial" w:hAnsi="Arial"/>
          <w:sz w:val="18"/>
          <w:szCs w:val="18"/>
          <w:color w:val="auto"/>
        </w:rPr>
        <w:t>Since our inception, we have incurred significant operating losses in every year except fiscal year 2014. We had $15.0 million in collaboration revenue and our net loss was $29.8 million for the six months ended June 30, 2020 and $46.0 million for the six months ended June 30, 2019, with $5.0 million in collaboration revenue. As of June 30, 2020, we had an accumulated deficit of $273.8 million.</w:t>
      </w:r>
    </w:p>
    <w:p>
      <w:pPr>
        <w:spacing w:after="0" w:line="184" w:lineRule="exact"/>
        <w:rPr>
          <w:sz w:val="20"/>
          <w:szCs w:val="20"/>
          <w:color w:val="auto"/>
        </w:rPr>
      </w:pPr>
    </w:p>
    <w:p>
      <w:pPr>
        <w:ind w:right="40" w:firstLine="567"/>
        <w:spacing w:after="0" w:line="271" w:lineRule="auto"/>
        <w:rPr>
          <w:sz w:val="20"/>
          <w:szCs w:val="20"/>
          <w:color w:val="auto"/>
        </w:rPr>
      </w:pPr>
      <w:r>
        <w:rPr>
          <w:rFonts w:ascii="Arial" w:cs="Arial" w:eastAsia="Arial" w:hAnsi="Arial"/>
          <w:sz w:val="17"/>
          <w:szCs w:val="17"/>
          <w:color w:val="auto"/>
        </w:rPr>
        <w:t>We have financed our operations primarily through our initial public offering of common stock in January 2017, our follow-on public offerings of common stock in October 2017 and September 2018, private placements of our preferred stock and the issuance of debt. We have devoted substantially all of our efforts to research and development. We have only recently initiated clinical development for three of our product candidates and expect that it will be many years, if ever, before we have a product candidate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and milestone payments under collaboration and license agreements with our collaborators. Our ability to generate future product revenue from our current or future product candidates depends on a number of additional factors, including our ability (or as applicable our collaborators’ ability) to:</w:t>
      </w:r>
    </w:p>
    <w:p>
      <w:pPr>
        <w:spacing w:after="0" w:line="7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research and preclinical development of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 additional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existing and enter into new collaboration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conduct additional preclinical studies and initiate clinical trials for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approvals for the product candidates we develop or developed under our collaboration arrangements;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marketing approval;</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hire additional executive, clinical, quality control and scientific personnel;</w:t>
      </w:r>
    </w:p>
    <w:p>
      <w:pPr>
        <w:spacing w:after="0" w:line="117"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commercialization efforts;</w:t>
      </w:r>
    </w:p>
    <w:p>
      <w:pPr>
        <w:spacing w:after="0" w:line="62"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our products;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9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achieve market acceptance for our or our collaborators’ products, if any.</w:t>
      </w:r>
    </w:p>
    <w:p>
      <w:pPr>
        <w:spacing w:after="0" w:line="225"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trials in addition to those that we currently anticipate. Even if imsidolimab and etokimab, or any of our other product candidates, are approved for commercial sale, we anticipate incurring significant costs associated with the commercial launch of any product candidate.</w:t>
      </w:r>
    </w:p>
    <w:p>
      <w:pPr>
        <w:spacing w:after="0" w:line="188" w:lineRule="exact"/>
        <w:rPr>
          <w:sz w:val="20"/>
          <w:szCs w:val="20"/>
          <w:color w:val="auto"/>
        </w:rPr>
      </w:pPr>
    </w:p>
    <w:p>
      <w:pPr>
        <w:ind w:firstLine="567"/>
        <w:spacing w:after="0" w:line="253" w:lineRule="auto"/>
        <w:rPr>
          <w:sz w:val="20"/>
          <w:szCs w:val="20"/>
          <w:color w:val="auto"/>
        </w:rPr>
      </w:pPr>
      <w:r>
        <w:rPr>
          <w:rFonts w:ascii="Arial" w:cs="Arial" w:eastAsia="Arial" w:hAnsi="Arial"/>
          <w:sz w:val="18"/>
          <w:szCs w:val="18"/>
          <w:color w:val="auto"/>
        </w:rPr>
        <w:t>We are currently only in the clinical development stages for our most advanced product candidates. In order to become and remain profitable we must, alone or with our collaborators, develop and eventually commercialize a product or products 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300" w:lineRule="exact"/>
        <w:rPr>
          <w:sz w:val="20"/>
          <w:szCs w:val="20"/>
          <w:color w:val="auto"/>
        </w:rPr>
      </w:pPr>
    </w:p>
    <w:p>
      <w:pPr>
        <w:ind w:right="240"/>
        <w:spacing w:after="0" w:line="312" w:lineRule="auto"/>
        <w:rPr>
          <w:sz w:val="20"/>
          <w:szCs w:val="20"/>
          <w:color w:val="auto"/>
        </w:rPr>
      </w:pPr>
      <w:r>
        <w:rPr>
          <w:rFonts w:ascii="Arial" w:cs="Arial" w:eastAsia="Arial" w:hAnsi="Arial"/>
          <w:sz w:val="17"/>
          <w:szCs w:val="17"/>
          <w:b w:val="1"/>
          <w:b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36" w:lineRule="exact"/>
        <w:rPr>
          <w:sz w:val="20"/>
          <w:szCs w:val="20"/>
          <w:color w:val="auto"/>
        </w:rPr>
      </w:pPr>
    </w:p>
    <w:p>
      <w:pPr>
        <w:ind w:right="100" w:firstLine="567"/>
        <w:spacing w:after="0" w:line="269" w:lineRule="auto"/>
        <w:rPr>
          <w:sz w:val="20"/>
          <w:szCs w:val="20"/>
          <w:color w:val="auto"/>
        </w:rPr>
      </w:pPr>
      <w:r>
        <w:rPr>
          <w:rFonts w:ascii="Arial" w:cs="Arial" w:eastAsia="Arial" w:hAnsi="Arial"/>
          <w:sz w:val="17"/>
          <w:szCs w:val="17"/>
          <w:color w:val="auto"/>
        </w:rPr>
        <w:t>As a research and development company, our operations have consumed substantial amounts of cash since our inception. We expect our research and development expenses to increase substantially in connection with our ongoing activities, particularly as we continue our discovery and preclinical development to identify new clinical candidates, and we and our collaborators conduct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we incur additional costs associated with operating as a public company. We believe that our existing cash, cash equivalents and investments will fund our current operating plan at least into 2023. However, circumstances may cause us to consume capital more rapidly than we currently anticipate. For example, as we continue to move our product candidates through preclinical studies, submit INDs or foreign equivalents and conduct clinical development, we may have adverse results requiring us to find new product candidates. Any of these events may increase our development costs more than we expect. We may need to raise additional funds or otherwise obtain funding through product collaborations to continue development of our product candidates.</w:t>
      </w:r>
    </w:p>
    <w:p>
      <w:pPr>
        <w:spacing w:after="0" w:line="185" w:lineRule="exact"/>
        <w:rPr>
          <w:sz w:val="20"/>
          <w:szCs w:val="20"/>
          <w:color w:val="auto"/>
        </w:rPr>
      </w:pPr>
    </w:p>
    <w:p>
      <w:pPr>
        <w:jc w:val="both"/>
        <w:ind w:firstLine="567"/>
        <w:spacing w:after="0" w:line="311" w:lineRule="auto"/>
        <w:rPr>
          <w:sz w:val="20"/>
          <w:szCs w:val="20"/>
          <w:color w:val="auto"/>
        </w:rPr>
      </w:pPr>
      <w:r>
        <w:rPr>
          <w:rFonts w:ascii="Arial" w:cs="Arial" w:eastAsia="Arial" w:hAnsi="Arial"/>
          <w:sz w:val="16"/>
          <w:szCs w:val="16"/>
          <w:color w:val="auto"/>
        </w:rPr>
        <w:t>If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4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significantly delay, scale back or discontinue the development or commercialization of our product candidates or cease operations altogether;</w:t>
      </w:r>
    </w:p>
    <w:p>
      <w:pPr>
        <w:spacing w:after="0" w:line="140" w:lineRule="exact"/>
        <w:rPr>
          <w:rFonts w:ascii="Arial" w:cs="Arial" w:eastAsia="Arial" w:hAnsi="Arial"/>
          <w:sz w:val="16"/>
          <w:szCs w:val="16"/>
          <w:color w:val="auto"/>
        </w:rPr>
      </w:pPr>
    </w:p>
    <w:p>
      <w:pPr>
        <w:ind w:left="660" w:right="12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at an earlier stage than we would otherwise desire or on terms less favorable than might otherwise be available;</w:t>
      </w:r>
    </w:p>
    <w:p>
      <w:pPr>
        <w:spacing w:after="0" w:line="62"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future product candidates that we otherwise would seek to develop or commercialize ourselves; 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eliminate staff to conserve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306" w:lineRule="exact"/>
        <w:rPr>
          <w:sz w:val="20"/>
          <w:szCs w:val="20"/>
          <w:color w:val="auto"/>
        </w:rPr>
      </w:pPr>
    </w:p>
    <w:p>
      <w:pPr>
        <w:ind w:right="80" w:firstLine="567"/>
        <w:spacing w:after="0" w:line="293" w:lineRule="auto"/>
        <w:rPr>
          <w:sz w:val="20"/>
          <w:szCs w:val="20"/>
          <w:color w:val="auto"/>
        </w:rPr>
      </w:pPr>
      <w:r>
        <w:rPr>
          <w:rFonts w:ascii="Arial" w:cs="Arial" w:eastAsia="Arial" w:hAnsi="Arial"/>
          <w:sz w:val="16"/>
          <w:szCs w:val="16"/>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use our available capital resources sooner than we currently expect. Our future funding requirements, both short and long-term, will depend on many factors, including:</w:t>
      </w:r>
    </w:p>
    <w:p>
      <w:pPr>
        <w:spacing w:after="0" w:line="56" w:lineRule="exact"/>
        <w:rPr>
          <w:sz w:val="20"/>
          <w:szCs w:val="20"/>
          <w:color w:val="auto"/>
        </w:rPr>
      </w:pPr>
    </w:p>
    <w:p>
      <w:pPr>
        <w:ind w:left="660" w:right="1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number and size of clinical trials needed to show safety, efficacy and an acceptable risk/benefit profile for any of our product candidates;</w:t>
      </w:r>
    </w:p>
    <w:p>
      <w:pPr>
        <w:spacing w:after="0" w:line="128" w:lineRule="exact"/>
        <w:rPr>
          <w:rFonts w:ascii="Arial" w:cs="Arial" w:eastAsia="Arial" w:hAnsi="Arial"/>
          <w:sz w:val="17"/>
          <w:szCs w:val="17"/>
          <w:color w:val="auto"/>
        </w:rPr>
      </w:pPr>
    </w:p>
    <w:p>
      <w:pPr>
        <w:ind w:left="660" w:right="560" w:hanging="328"/>
        <w:spacing w:after="0" w:line="308"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commercial success or failure of products sold by our collaborators, such as dostarlimab by GSK, and the timing thereof;</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existing and enter into new collaboration agreements;</w:t>
      </w:r>
    </w:p>
    <w:p>
      <w:pPr>
        <w:spacing w:after="0" w:line="117" w:lineRule="exact"/>
        <w:rPr>
          <w:rFonts w:ascii="Arial" w:cs="Arial" w:eastAsia="Arial" w:hAnsi="Arial"/>
          <w:sz w:val="18"/>
          <w:szCs w:val="18"/>
          <w:color w:val="auto"/>
        </w:rPr>
      </w:pPr>
    </w:p>
    <w:p>
      <w:pPr>
        <w:jc w:val="both"/>
        <w:ind w:left="660" w:right="62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recruiting and retaining key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and fees associated with any delays or cancellations of forecasted manufacturing batches;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manufacturing sites for commercial-scale manufacturing; and</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170" w:lineRule="exact"/>
        <w:rPr>
          <w:sz w:val="20"/>
          <w:szCs w:val="20"/>
          <w:color w:val="auto"/>
        </w:rPr>
      </w:pPr>
    </w:p>
    <w:p>
      <w:pPr>
        <w:ind w:right="140" w:firstLine="567"/>
        <w:spacing w:after="0" w:line="277" w:lineRule="auto"/>
        <w:rPr>
          <w:sz w:val="20"/>
          <w:szCs w:val="20"/>
          <w:color w:val="auto"/>
        </w:rPr>
      </w:pPr>
      <w:r>
        <w:rPr>
          <w:rFonts w:ascii="Arial" w:cs="Arial" w:eastAsia="Arial" w:hAnsi="Arial"/>
          <w:sz w:val="18"/>
          <w:szCs w:val="18"/>
          <w:color w:val="auto"/>
        </w:rPr>
        <w:t>If we cannot expand our operations or otherwise capitalize on our business opportunities due to a lack of capital, our business, financial condition and results of operations could be adversely affected.</w:t>
      </w:r>
    </w:p>
    <w:p>
      <w:pPr>
        <w:spacing w:after="0" w:line="27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Raising additional capital may cause dilution to our existing stockholders, restrict our operations or require us to relinquish rights to our product candidates on unfavorable terms to us.</w:t>
      </w:r>
    </w:p>
    <w:p>
      <w:pPr>
        <w:spacing w:after="0" w:line="58"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5" w:name="page46"/>
    <w:bookmarkEnd w:id="45"/>
    <w:p>
      <w:pPr>
        <w:spacing w:after="0" w:line="200" w:lineRule="exact"/>
        <w:rPr>
          <w:sz w:val="20"/>
          <w:szCs w:val="20"/>
          <w:color w:val="auto"/>
        </w:rPr>
      </w:pPr>
    </w:p>
    <w:p>
      <w:pPr>
        <w:spacing w:after="0" w:line="210" w:lineRule="exact"/>
        <w:rPr>
          <w:sz w:val="20"/>
          <w:szCs w:val="20"/>
          <w:color w:val="auto"/>
        </w:rPr>
      </w:pPr>
    </w:p>
    <w:p>
      <w:pPr>
        <w:ind w:right="5080"/>
        <w:spacing w:after="0" w:line="488" w:lineRule="auto"/>
        <w:rPr>
          <w:sz w:val="20"/>
          <w:szCs w:val="20"/>
          <w:color w:val="auto"/>
        </w:rPr>
      </w:pPr>
      <w:r>
        <w:rPr>
          <w:rFonts w:ascii="Arial" w:cs="Arial" w:eastAsia="Arial" w:hAnsi="Arial"/>
          <w:sz w:val="16"/>
          <w:szCs w:val="16"/>
          <w:b w:val="1"/>
          <w:bCs w:val="1"/>
          <w:color w:val="auto"/>
        </w:rPr>
        <w:t>Risks Related to Managing Growth, Operations and Macroeconomic Conditions We must attract and retain highly skilled employees in order to succeed.</w:t>
      </w:r>
    </w:p>
    <w:p>
      <w:pPr>
        <w:spacing w:after="0" w:line="12" w:lineRule="exact"/>
        <w:rPr>
          <w:sz w:val="20"/>
          <w:szCs w:val="20"/>
          <w:color w:val="auto"/>
        </w:rPr>
      </w:pPr>
    </w:p>
    <w:p>
      <w:pPr>
        <w:ind w:firstLine="567"/>
        <w:spacing w:after="0" w:line="270" w:lineRule="auto"/>
        <w:rPr>
          <w:sz w:val="20"/>
          <w:szCs w:val="20"/>
          <w:color w:val="auto"/>
        </w:rPr>
      </w:pPr>
      <w:r>
        <w:rPr>
          <w:rFonts w:ascii="Arial" w:cs="Arial" w:eastAsia="Arial" w:hAnsi="Arial"/>
          <w:sz w:val="16"/>
          <w:szCs w:val="16"/>
          <w:color w:val="auto"/>
        </w:rPr>
        <w:t>To succeed, we must recruit, retain, manage and motivate qualified clinical, scientific, technical and management personnel, and we face significant competition for experienced personnel. This is especially critical as we ramp up our hiring needs entering into later stage product development of our product candidates. If we do not succeed in attracting and retaining qualified personnel, particularly at the management level, it could adversely affect our ability to execute our business plan, harm our operating results and adversely affect our ability to successfully commercialize our product candidates. In particular, we believe that our future success is highly dependent upon the contributions of our senior management, particularly our President and Chief Executive Officer, as well as our senior scientists. The loss of services of any of these individuals, who all have at-will employment arrangements with us, could delay or prevent the successful development of our product pipeline, completion of our planned clinical trials or the commercialization of our product candidates, if approved. The competition for qualified personnel in the biotechnology field is intense and, as a result, we may be unable to continue to attract and retain qualified personnel necessary for the development of our business or to recruit suitable replacement personnel. In addition, certain members of our senior management team have worked together for only a relatively short period of time, and it may be difficult to evaluate their effectiveness, on an individual or collective basis, and ability to address future challenges to our business.</w:t>
      </w:r>
    </w:p>
    <w:p>
      <w:pPr>
        <w:spacing w:after="0" w:line="167" w:lineRule="exact"/>
        <w:rPr>
          <w:sz w:val="20"/>
          <w:szCs w:val="20"/>
          <w:color w:val="auto"/>
        </w:rPr>
      </w:pPr>
    </w:p>
    <w:p>
      <w:pPr>
        <w:ind w:right="100" w:firstLine="567"/>
        <w:spacing w:after="0" w:line="301" w:lineRule="auto"/>
        <w:rPr>
          <w:sz w:val="20"/>
          <w:szCs w:val="20"/>
          <w:color w:val="auto"/>
        </w:rPr>
      </w:pPr>
      <w:r>
        <w:rPr>
          <w:rFonts w:ascii="Arial" w:cs="Arial" w:eastAsia="Arial" w:hAnsi="Arial"/>
          <w:sz w:val="16"/>
          <w:szCs w:val="16"/>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5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The manufacture of biotechnology products is complex and manufacturers often encounter difficulties in production. If we or any of our third-party manufacturers encounter any loss of our master cell banks or if any of our third-party manufacturers encounter other difficulties, or otherwise fail to comply with their contractual obligations, our ability to provide product candidates for clinical trials or our products to patients, once approved, could be delayed or stopped.</w:t>
      </w:r>
    </w:p>
    <w:p>
      <w:pPr>
        <w:spacing w:after="0" w:line="184" w:lineRule="exact"/>
        <w:rPr>
          <w:sz w:val="20"/>
          <w:szCs w:val="20"/>
          <w:color w:val="auto"/>
        </w:rPr>
      </w:pPr>
    </w:p>
    <w:p>
      <w:pPr>
        <w:ind w:right="40" w:firstLine="567"/>
        <w:spacing w:after="0" w:line="254" w:lineRule="auto"/>
        <w:rPr>
          <w:sz w:val="20"/>
          <w:szCs w:val="20"/>
          <w:color w:val="auto"/>
        </w:rPr>
      </w:pPr>
      <w:r>
        <w:rPr>
          <w:rFonts w:ascii="Arial" w:cs="Arial" w:eastAsia="Arial" w:hAnsi="Arial"/>
          <w:sz w:val="18"/>
          <w:szCs w:val="18"/>
          <w:color w:val="auto"/>
        </w:rPr>
        <w:t>The manufacture of biotechnology products is complex and requires significant expertise and capital investment, including the development of advanced manufacturing techniques and process controls. We and our contract manufacturers must comply with cGMP regulations and guidelines for the manufacturing of biologics used in clinical trials and, if approved, marketed products. Manufacturers of biotechnology products often encounter difficulties in production, particularly in scaling up and validating initial production. Furthermore,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w:t>
      </w:r>
    </w:p>
    <w:p>
      <w:pPr>
        <w:spacing w:after="0" w:line="195" w:lineRule="exact"/>
        <w:rPr>
          <w:sz w:val="20"/>
          <w:szCs w:val="20"/>
          <w:color w:val="auto"/>
        </w:rPr>
      </w:pPr>
    </w:p>
    <w:p>
      <w:pPr>
        <w:jc w:val="both"/>
        <w:ind w:right="280" w:firstLine="567"/>
        <w:spacing w:after="0" w:line="259" w:lineRule="auto"/>
        <w:rPr>
          <w:sz w:val="20"/>
          <w:szCs w:val="20"/>
          <w:color w:val="auto"/>
        </w:rPr>
      </w:pPr>
      <w:r>
        <w:rPr>
          <w:rFonts w:ascii="Arial" w:cs="Arial" w:eastAsia="Arial" w:hAnsi="Arial"/>
          <w:sz w:val="18"/>
          <w:szCs w:val="18"/>
          <w:color w:val="auto"/>
        </w:rPr>
        <w:t>All of our therapeutic antibodies are manufactured by starting with cells which are stored in a cell bank. We have one master cell bank for each antibody manufactured in accordance with cGMP and multiple working cell banks and believe we would have adequate backup should any cell bank be lost in a catastrophic event. However, it is possible that we could lose multiple cell banks and have our manufacturing severely impacted by the need to replace the cell banks.</w:t>
      </w:r>
    </w:p>
    <w:p>
      <w:pPr>
        <w:spacing w:after="0" w:line="187" w:lineRule="exact"/>
        <w:rPr>
          <w:sz w:val="20"/>
          <w:szCs w:val="20"/>
          <w:color w:val="auto"/>
        </w:rPr>
      </w:pPr>
    </w:p>
    <w:p>
      <w:pPr>
        <w:ind w:right="40" w:firstLine="567"/>
        <w:spacing w:after="0" w:line="289" w:lineRule="auto"/>
        <w:rPr>
          <w:sz w:val="20"/>
          <w:szCs w:val="20"/>
          <w:color w:val="auto"/>
        </w:rPr>
      </w:pPr>
      <w:r>
        <w:rPr>
          <w:rFonts w:ascii="Arial" w:cs="Arial" w:eastAsia="Arial" w:hAnsi="Arial"/>
          <w:sz w:val="16"/>
          <w:szCs w:val="16"/>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306"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undertake costly remediation efforts or seek more costly manufacturing alternatives. Accordingly, failures or difficulties faced at any level of our supply chain could adversely affect our business and delay or impede the development and commercialization of our product candidates or products and could have an adverse effect on our business, prospects, financial condition and results of operations.</w:t>
      </w:r>
    </w:p>
    <w:p>
      <w:pPr>
        <w:spacing w:after="0" w:line="180"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72" w:lineRule="exact"/>
        <w:rPr>
          <w:sz w:val="20"/>
          <w:szCs w:val="20"/>
          <w:color w:val="auto"/>
        </w:rPr>
      </w:pPr>
    </w:p>
    <w:p>
      <w:pPr>
        <w:ind w:firstLine="567"/>
        <w:spacing w:after="0" w:line="268" w:lineRule="auto"/>
        <w:rPr>
          <w:sz w:val="20"/>
          <w:szCs w:val="20"/>
          <w:color w:val="auto"/>
        </w:rPr>
      </w:pPr>
      <w:r>
        <w:rPr>
          <w:rFonts w:ascii="Arial" w:cs="Arial" w:eastAsia="Arial" w:hAnsi="Arial"/>
          <w:sz w:val="17"/>
          <w:szCs w:val="17"/>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290"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We expect to expand our development and regulatory capabilities, and as a result, we may encounter difficulties in managing our growth, which could disrupt our operations.</w:t>
      </w:r>
    </w:p>
    <w:p>
      <w:pPr>
        <w:spacing w:after="0" w:line="58" w:lineRule="exact"/>
        <w:rPr>
          <w:sz w:val="20"/>
          <w:szCs w:val="20"/>
          <w:color w:val="auto"/>
        </w:rPr>
      </w:pPr>
    </w:p>
    <w:p>
      <w:pPr>
        <w:ind w:right="120" w:firstLine="567"/>
        <w:spacing w:after="0" w:line="254" w:lineRule="auto"/>
        <w:rPr>
          <w:sz w:val="20"/>
          <w:szCs w:val="20"/>
          <w:color w:val="auto"/>
        </w:rPr>
      </w:pPr>
      <w:r>
        <w:rPr>
          <w:rFonts w:ascii="Arial" w:cs="Arial" w:eastAsia="Arial" w:hAnsi="Arial"/>
          <w:sz w:val="18"/>
          <w:szCs w:val="18"/>
          <w:color w:val="auto"/>
        </w:rPr>
        <w:t>We expect to experience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99"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We conduct certain operations through our Australian wholly-owned subsidiary. If we are unable to receive the research and development tax credit allowed by Australian regulations, our business and results of operations will suffer.</w:t>
      </w:r>
    </w:p>
    <w:p>
      <w:pPr>
        <w:spacing w:after="0" w:line="58" w:lineRule="exact"/>
        <w:rPr>
          <w:sz w:val="20"/>
          <w:szCs w:val="20"/>
          <w:color w:val="auto"/>
        </w:rPr>
      </w:pPr>
    </w:p>
    <w:p>
      <w:pPr>
        <w:jc w:val="both"/>
        <w:ind w:right="20" w:firstLine="445"/>
        <w:spacing w:after="0" w:line="248" w:lineRule="auto"/>
        <w:rPr>
          <w:sz w:val="20"/>
          <w:szCs w:val="20"/>
          <w:color w:val="auto"/>
        </w:rPr>
      </w:pPr>
      <w:r>
        <w:rPr>
          <w:rFonts w:ascii="Arial" w:cs="Arial" w:eastAsia="Arial" w:hAnsi="Arial"/>
          <w:sz w:val="18"/>
          <w:szCs w:val="18"/>
          <w:color w:val="auto"/>
        </w:rPr>
        <w:t>In March 2015, we formed a wholly-owned Australian subsidiary, AnaptysBio Pty Ltd, to develop and commercialize our imsidolimab and etokimab antibody program in Australia. We have no assurance that the results of any clinical trials that we conducted for our product candidates in Australia will be accepted by the FDA or foreign regulatory authorities for development and commercialization approvals.</w:t>
      </w:r>
    </w:p>
    <w:p>
      <w:pPr>
        <w:spacing w:after="0" w:line="182" w:lineRule="exact"/>
        <w:rPr>
          <w:sz w:val="20"/>
          <w:szCs w:val="20"/>
          <w:color w:val="auto"/>
        </w:rPr>
      </w:pPr>
    </w:p>
    <w:p>
      <w:pPr>
        <w:ind w:right="180" w:firstLine="445"/>
        <w:spacing w:after="0" w:line="262" w:lineRule="auto"/>
        <w:rPr>
          <w:sz w:val="20"/>
          <w:szCs w:val="20"/>
          <w:color w:val="auto"/>
        </w:rPr>
      </w:pPr>
      <w:r>
        <w:rPr>
          <w:rFonts w:ascii="Arial" w:cs="Arial" w:eastAsia="Arial" w:hAnsi="Arial"/>
          <w:sz w:val="17"/>
          <w:szCs w:val="17"/>
          <w:color w:val="auto"/>
        </w:rPr>
        <w:t>In addition, current Australian tax regulations provide for a refundable research and development (“R&amp;D”), tax credit equal to 43.5% of qualified expenditures. We have received $9.3 million USD in R&amp;D tax credits since the inception of our operations in Australia, and currently do not intend to submit for any additional tax credits. If we are ineligible or unable to retain the research and development tax credits received thus far and are required to repay all or a portion of the credit, our business and results of operation would be adversely affected.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vulnerable to disruption, damage and financial obligation as a result of system failures.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198" w:lineRule="exact"/>
        <w:rPr>
          <w:sz w:val="20"/>
          <w:szCs w:val="20"/>
          <w:color w:val="auto"/>
        </w:rPr>
      </w:pPr>
    </w:p>
    <w:p>
      <w:pPr>
        <w:ind w:right="100" w:firstLine="567"/>
        <w:spacing w:after="0" w:line="270" w:lineRule="auto"/>
        <w:rPr>
          <w:sz w:val="20"/>
          <w:szCs w:val="20"/>
          <w:color w:val="auto"/>
        </w:rPr>
      </w:pPr>
      <w:r>
        <w:rPr>
          <w:rFonts w:ascii="Arial" w:cs="Arial" w:eastAsia="Arial" w:hAnsi="Arial"/>
          <w:sz w:val="17"/>
          <w:szCs w:val="17"/>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285" w:lineRule="exact"/>
        <w:rPr>
          <w:sz w:val="20"/>
          <w:szCs w:val="20"/>
          <w:color w:val="auto"/>
        </w:rPr>
      </w:pPr>
    </w:p>
    <w:p>
      <w:pPr>
        <w:ind w:right="280"/>
        <w:spacing w:after="0" w:line="347" w:lineRule="auto"/>
        <w:rPr>
          <w:sz w:val="20"/>
          <w:szCs w:val="20"/>
          <w:color w:val="auto"/>
        </w:rPr>
      </w:pPr>
      <w:r>
        <w:rPr>
          <w:rFonts w:ascii="Arial" w:cs="Arial" w:eastAsia="Arial" w:hAnsi="Arial"/>
          <w:sz w:val="16"/>
          <w:szCs w:val="16"/>
          <w:b w:val="1"/>
          <w:bCs w:val="1"/>
          <w:color w:val="auto"/>
        </w:rPr>
        <w:t>Our operations, or the third parties upon whom we depend, are vulnerable to interruption by fire, earthquake, power loss, telecommunications failure, terrorist activity, health epidemics or pandemics and other events beyond our control, which could harm our business.</w:t>
      </w:r>
    </w:p>
    <w:p>
      <w:pPr>
        <w:spacing w:after="0" w:line="12" w:lineRule="exact"/>
        <w:rPr>
          <w:sz w:val="20"/>
          <w:szCs w:val="20"/>
          <w:color w:val="auto"/>
        </w:rPr>
      </w:pPr>
    </w:p>
    <w:p>
      <w:pPr>
        <w:ind w:firstLine="445"/>
        <w:spacing w:after="0" w:line="254" w:lineRule="auto"/>
        <w:rPr>
          <w:sz w:val="20"/>
          <w:szCs w:val="20"/>
          <w:color w:val="auto"/>
        </w:rPr>
      </w:pPr>
      <w:r>
        <w:rPr>
          <w:rFonts w:ascii="Arial" w:cs="Arial" w:eastAsia="Arial" w:hAnsi="Arial"/>
          <w:sz w:val="17"/>
          <w:szCs w:val="17"/>
          <w:color w:val="auto"/>
        </w:rPr>
        <w:t>Our facilities are located in San Diego, California, which is a seismically active region, and has also historically been subject to wildfires and electrical blackouts as a result of a shortage of available electrical power. We have not undertaken a systematic analysis of the potential consequences to our business and financial results from a major earthquake, fire, power loss, terrorist activity, health epidemics or pandemics such as the recent coronavirus outbreak or other disasters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or wildfire event, we could lose some of our antibody sequences, which would have an adverse effect on our ability to perform our obligations under our collaborations and discover new targets.</w:t>
      </w:r>
    </w:p>
    <w:p>
      <w:pPr>
        <w:spacing w:after="0" w:line="181"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Furthermore, integral parties in our supply chain are geographically concentrated and operating from single sites, increasing their vulnerability to natural disasters or other sudden, unforeseen and severe and/or serious adverse events. If such an event were to affect our supply chain, it could have a material adverse effect on our business.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17"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Our existing collaborations, including those with GSK and BMS, are important to our business, and future collaborations may also be important to us. If we are unable to maintain any of these collaborations, or if these collaborations are not successful, our business could be adversely affected.</w:t>
      </w:r>
    </w:p>
    <w:p>
      <w:pPr>
        <w:spacing w:after="0" w:line="72" w:lineRule="exact"/>
        <w:rPr>
          <w:sz w:val="20"/>
          <w:szCs w:val="20"/>
          <w:color w:val="auto"/>
        </w:rPr>
      </w:pPr>
    </w:p>
    <w:p>
      <w:pPr>
        <w:ind w:right="200" w:firstLine="567"/>
        <w:spacing w:after="0" w:line="255" w:lineRule="auto"/>
        <w:rPr>
          <w:sz w:val="20"/>
          <w:szCs w:val="20"/>
          <w:color w:val="auto"/>
        </w:rPr>
      </w:pPr>
      <w:r>
        <w:rPr>
          <w:rFonts w:ascii="Arial" w:cs="Arial" w:eastAsia="Arial" w:hAnsi="Arial"/>
          <w:sz w:val="18"/>
          <w:szCs w:val="18"/>
          <w:color w:val="auto"/>
        </w:rPr>
        <w:t>We have entered into collaborations with GSK and BMS to develop several of our product candidates. We have also entered into antibody generation and/or development collaborations with various collaborators, including GSK and BMS, under which we have generated therapeutic quality antibodies using our technology platform and conducted certain preclinical studies in collaboration. We are currently aware that GSK and BMS have advanced multiple antibodies generated through our collaboration into clinical trials. If our collaborators terminate any of our collaborations, we may not receive all or any of this funding, which would adversely affect our business or financial condition. Our operational obligations under each of our collaborations has ended.</w:t>
      </w:r>
    </w:p>
    <w:p>
      <w:pPr>
        <w:spacing w:after="0" w:line="192" w:lineRule="exact"/>
        <w:rPr>
          <w:sz w:val="20"/>
          <w:szCs w:val="20"/>
          <w:color w:val="auto"/>
        </w:rPr>
      </w:pPr>
    </w:p>
    <w:p>
      <w:pPr>
        <w:ind w:right="20" w:firstLine="567"/>
        <w:spacing w:after="0" w:line="271" w:lineRule="auto"/>
        <w:rPr>
          <w:sz w:val="20"/>
          <w:szCs w:val="20"/>
          <w:color w:val="auto"/>
        </w:rPr>
      </w:pPr>
      <w:r>
        <w:rPr>
          <w:rFonts w:ascii="Arial" w:cs="Arial" w:eastAsia="Arial" w:hAnsi="Arial"/>
          <w:sz w:val="17"/>
          <w:szCs w:val="17"/>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30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delay development programs, create uncertainty as to ownership of intellectual property rights, distract management from other business activities and generate substantial expense.</w:t>
      </w:r>
    </w:p>
    <w:p>
      <w:pPr>
        <w:spacing w:after="0" w:line="274"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We may not succeed in establishing and maintaining additional development and commercialization collaborations, which could adversely affect our ability to develop and commercialize product candidates.</w:t>
      </w:r>
    </w:p>
    <w:p>
      <w:pPr>
        <w:spacing w:after="0" w:line="58"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In addition to our current licensing arrangements with GSK and BMS, a part of our strategy is to enter into additional strategic product development and commercialization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collaborations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or to be commercially viable. Even if we are successful in our efforts to establish new collaborations, the terms that we agree upon may not be favorable to us, and we may not be able to maintain such collaborations if, for example, development or approval of a product candidate is delayed or sales of an approved product candidate are disappointing. Any delay in entering into new collaboration agreements related to our product candidates could delay the development and commercialization of our product candidates and reduce their competitiveness if they reach the market.</w:t>
      </w:r>
    </w:p>
    <w:p>
      <w:pPr>
        <w:spacing w:after="0" w:line="18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Moreover, if we fail to establish and maintain additional collaborations related to our product candidates:</w:t>
      </w:r>
    </w:p>
    <w:p>
      <w:pPr>
        <w:spacing w:after="0" w:line="11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development of certain of our current or future product candidates may be terminated or delayed;</w:t>
      </w:r>
    </w:p>
    <w:p>
      <w:pPr>
        <w:spacing w:after="0" w:line="11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current or future product candidates would increase significantly and we may need to seek additional financing;</w:t>
      </w:r>
    </w:p>
    <w:p>
      <w:pPr>
        <w:spacing w:after="0" w:line="62"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sales and marketing expertise, for which we have not budgeted;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and commercialization of any such product candidates.</w:t>
      </w:r>
    </w:p>
    <w:p>
      <w:pPr>
        <w:spacing w:after="0" w:line="329"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If third parties on which we depend to conduct our planned preclinical studies and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7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rely on third party clinical investigators, CROs, CMOs, and consultants to design, conduct, supervise and monitor key activities relating to, discovery, manufacturing, non-clinical studies and clinical trials of our product candidates, and we intend to do the same for future activities relating to existing and future programs. Because we rely on third parties and do not 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spacing w:after="0" w:line="181" w:lineRule="exact"/>
        <w:rPr>
          <w:sz w:val="20"/>
          <w:szCs w:val="20"/>
          <w:color w:val="auto"/>
        </w:rPr>
      </w:pPr>
    </w:p>
    <w:p>
      <w:pPr>
        <w:ind w:right="80" w:firstLine="567"/>
        <w:spacing w:after="0" w:line="255" w:lineRule="auto"/>
        <w:rPr>
          <w:sz w:val="20"/>
          <w:szCs w:val="20"/>
          <w:color w:val="auto"/>
        </w:rPr>
      </w:pPr>
      <w:r>
        <w:rPr>
          <w:rFonts w:ascii="Arial" w:cs="Arial" w:eastAsia="Arial" w:hAnsi="Arial"/>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rely completely on third parties to manufacture our nonclinical, clinical and future commercial drug supplies of any approved products.</w:t>
      </w:r>
    </w:p>
    <w:p>
      <w:pPr>
        <w:spacing w:after="0" w:line="144" w:lineRule="exact"/>
        <w:rPr>
          <w:sz w:val="20"/>
          <w:szCs w:val="20"/>
          <w:color w:val="auto"/>
        </w:rPr>
      </w:pPr>
    </w:p>
    <w:p>
      <w:pPr>
        <w:ind w:right="40" w:firstLine="567"/>
        <w:spacing w:after="0" w:line="269" w:lineRule="auto"/>
        <w:rPr>
          <w:sz w:val="20"/>
          <w:szCs w:val="20"/>
          <w:color w:val="auto"/>
        </w:rPr>
      </w:pPr>
      <w:r>
        <w:rPr>
          <w:rFonts w:ascii="Arial" w:cs="Arial" w:eastAsia="Arial" w:hAnsi="Arial"/>
          <w:sz w:val="17"/>
          <w:szCs w:val="17"/>
          <w:color w:val="auto"/>
        </w:rPr>
        <w:t>We outsource the manufacture of our product candidates. We do not currently have the infrastructure or internal capability to manufacture supplies of our product candidates for use in development and commercialization. If we were to experience an unexpected loss of supply of our product candidates for any reason, whether as a result of manufacturing, supply or storage issues or otherwise, our business would be harmed, and we could experience delays, disruptions, suspensions or terminations of, or be required to restart or repeat, any pending or ongoing clinical trials. Although we generally do not begin a clinical trial unless we believe we have a sufficient supply of a product candidate to complete the clinical trial, we may be required to manufacture additional supplies of our product candidates to the extent our estimates of the amounts required prove inaccurate, we suffer unexpected losses of product candidate supplies, or we are required to have fresh product candidate supplies manufactured to satisfy regulatory requirements or specifications. Any significant delay or discontinuation in the supply of a product candidate, or the raw material components thereof, due to the need to replace a contract manufacturer or other third-party manufacturer, could considerably harm our business and ability to generate revenue and delay completion of our clinical trials, product testing and potential regulatory approval of our product candidates.</w:t>
      </w:r>
    </w:p>
    <w:p>
      <w:pPr>
        <w:spacing w:after="0" w:line="185" w:lineRule="exact"/>
        <w:rPr>
          <w:sz w:val="20"/>
          <w:szCs w:val="20"/>
          <w:color w:val="auto"/>
        </w:rPr>
      </w:pPr>
    </w:p>
    <w:p>
      <w:pPr>
        <w:ind w:right="200" w:firstLine="567"/>
        <w:spacing w:after="0" w:line="311" w:lineRule="auto"/>
        <w:rPr>
          <w:sz w:val="20"/>
          <w:szCs w:val="20"/>
          <w:color w:val="auto"/>
        </w:rPr>
      </w:pPr>
      <w:r>
        <w:rPr>
          <w:rFonts w:ascii="Arial" w:cs="Arial" w:eastAsia="Arial" w:hAnsi="Arial"/>
          <w:sz w:val="16"/>
          <w:szCs w:val="16"/>
          <w:color w:val="auto"/>
        </w:rPr>
        <w:t>Any delays in our preclinical or clinical development could lead to delays or cancellations of forecasted manufacturing batches, which would typically result in significant fees owed by us to the manufacture and an uncertainty as to when the manufacturer will have the availability for a new time slot to manufacture the batch, which could lead to further delays in the development of the product candidate and have an adverse effect on our business.</w:t>
      </w:r>
    </w:p>
    <w:p>
      <w:pPr>
        <w:spacing w:after="0" w:line="149" w:lineRule="exact"/>
        <w:rPr>
          <w:sz w:val="20"/>
          <w:szCs w:val="20"/>
          <w:color w:val="auto"/>
        </w:rPr>
      </w:pPr>
    </w:p>
    <w:p>
      <w:pPr>
        <w:ind w:right="80" w:firstLine="567"/>
        <w:spacing w:after="0" w:line="255" w:lineRule="auto"/>
        <w:rPr>
          <w:sz w:val="20"/>
          <w:szCs w:val="20"/>
          <w:color w:val="auto"/>
        </w:rPr>
      </w:pPr>
      <w:r>
        <w:rPr>
          <w:rFonts w:ascii="Arial" w:cs="Arial" w:eastAsia="Arial" w:hAnsi="Arial"/>
          <w:sz w:val="18"/>
          <w:szCs w:val="18"/>
          <w:color w:val="auto"/>
        </w:rPr>
        <w:t>Reliance on third-party manufacturers entails additional risks, including the possible breach of the manufacturing agreement by the third party, and the possible termination or nonrenewal of the agreement by the manufacturer at a time that is costly or inconvenient for us. If our contract manufacturers were to breach or terminate their manufacturing arrangements with us, the development or commercialization of the affected product candidates could be significantly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spacing w:after="0" w:line="296"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We depend on a small number of suppliers for the raw materials necessary to produce our product candidates. The loss of these suppliers, or their failure to supply us with these raw materials, would materially and adversely affect our business.</w:t>
      </w:r>
    </w:p>
    <w:p>
      <w:pPr>
        <w:spacing w:after="0" w:line="58" w:lineRule="exact"/>
        <w:rPr>
          <w:sz w:val="20"/>
          <w:szCs w:val="20"/>
          <w:color w:val="auto"/>
        </w:rPr>
      </w:pPr>
    </w:p>
    <w:p>
      <w:pPr>
        <w:ind w:firstLine="567"/>
        <w:spacing w:after="0" w:line="293" w:lineRule="auto"/>
        <w:rPr>
          <w:sz w:val="20"/>
          <w:szCs w:val="20"/>
          <w:color w:val="auto"/>
        </w:rPr>
      </w:pPr>
      <w:r>
        <w:rPr>
          <w:rFonts w:ascii="Arial" w:cs="Arial" w:eastAsia="Arial" w:hAnsi="Arial"/>
          <w:sz w:val="16"/>
          <w:szCs w:val="16"/>
          <w:color w:val="auto"/>
        </w:rPr>
        <w:t>We depend on the availability of key raw materials for our product candidates from a small number of third-party suppliers.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We do not have any control over the availability of raw materials. If we or our manufacturers are unable to purchase these raw materials on acceptable terms, at sufficient quality levels, or in adequate quantities, if at all, the development of our product candidates would be delayed or there would be a shortage in supply, which would impair our ability to meet our development objectives for our product candidates or generate revenues from the sale of any approved products.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Even if our product candidates receive regulatory approval, they will be subject to significant post-marketing regulatory requirements.</w:t>
      </w:r>
    </w:p>
    <w:p>
      <w:pPr>
        <w:spacing w:after="0" w:line="133" w:lineRule="exact"/>
        <w:rPr>
          <w:sz w:val="20"/>
          <w:szCs w:val="20"/>
          <w:color w:val="auto"/>
        </w:rPr>
      </w:pPr>
    </w:p>
    <w:p>
      <w:pPr>
        <w:ind w:right="80" w:firstLine="567"/>
        <w:spacing w:after="0" w:line="272" w:lineRule="auto"/>
        <w:rPr>
          <w:sz w:val="20"/>
          <w:szCs w:val="20"/>
          <w:color w:val="auto"/>
        </w:rPr>
      </w:pPr>
      <w:r>
        <w:rPr>
          <w:rFonts w:ascii="Arial" w:cs="Arial" w:eastAsia="Arial" w:hAnsi="Arial"/>
          <w:sz w:val="17"/>
          <w:szCs w:val="17"/>
          <w:color w:val="auto"/>
        </w:rPr>
        <w:t>Any regulatory approvals that we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9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extensive and ongoing regulatory requirements. These requirements include submissions of safety and other post-marketing information and reports, registration, as well as continued compliance with cGMPs and good clinical practices (“GCPs”) for any clinical trials that we conduct post-approval. 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foreign regulatory requirements may, either before or after product approval, if any, subject our company to administrative or judicially imposed sanctions, including:</w:t>
      </w:r>
    </w:p>
    <w:p>
      <w:pPr>
        <w:spacing w:after="0" w:line="7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refusal to approve pending BLAs or supplements to approved BLAs.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occurrence of any event or penalty described above may inhibit our ability to commercialize our product candidates and generate revenue.</w:t>
      </w:r>
    </w:p>
    <w:p>
      <w:pPr>
        <w:spacing w:after="0" w:line="248" w:lineRule="exact"/>
        <w:rPr>
          <w:sz w:val="20"/>
          <w:szCs w:val="20"/>
          <w:color w:val="auto"/>
        </w:rPr>
      </w:pPr>
    </w:p>
    <w:p>
      <w:pPr>
        <w:ind w:right="140" w:firstLine="567"/>
        <w:spacing w:after="0" w:line="275" w:lineRule="auto"/>
        <w:rPr>
          <w:sz w:val="20"/>
          <w:szCs w:val="20"/>
          <w:color w:val="auto"/>
        </w:rPr>
      </w:pPr>
      <w:r>
        <w:rPr>
          <w:rFonts w:ascii="Arial" w:cs="Arial" w:eastAsia="Arial" w:hAnsi="Arial"/>
          <w:sz w:val="17"/>
          <w:szCs w:val="17"/>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176" w:lineRule="exact"/>
        <w:rPr>
          <w:sz w:val="20"/>
          <w:szCs w:val="20"/>
          <w:color w:val="auto"/>
        </w:rPr>
      </w:pPr>
    </w:p>
    <w:p>
      <w:pPr>
        <w:ind w:firstLine="567"/>
        <w:spacing w:after="0" w:line="287"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 care programs.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1" w:name="page52"/>
    <w:bookmarkEnd w:id="51"/>
    <w:p>
      <w:pPr>
        <w:spacing w:after="0" w:line="200" w:lineRule="exact"/>
        <w:rPr>
          <w:sz w:val="20"/>
          <w:szCs w:val="20"/>
          <w:color w:val="auto"/>
        </w:rPr>
      </w:pPr>
    </w:p>
    <w:p>
      <w:pPr>
        <w:spacing w:after="0" w:line="210"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Our failure to obtain regulatory approval in international jurisdictions would prevent us from marketing our product candidates outside the United States.</w:t>
      </w:r>
    </w:p>
    <w:p>
      <w:pPr>
        <w:spacing w:after="0" w:line="58" w:lineRule="exact"/>
        <w:rPr>
          <w:sz w:val="20"/>
          <w:szCs w:val="20"/>
          <w:color w:val="auto"/>
        </w:rPr>
      </w:pPr>
    </w:p>
    <w:p>
      <w:pPr>
        <w:ind w:right="20" w:firstLine="567"/>
        <w:spacing w:after="0" w:line="293" w:lineRule="auto"/>
        <w:rPr>
          <w:sz w:val="20"/>
          <w:szCs w:val="20"/>
          <w:color w:val="auto"/>
        </w:rPr>
      </w:pPr>
      <w:r>
        <w:rPr>
          <w:rFonts w:ascii="Arial" w:cs="Arial" w:eastAsia="Arial" w:hAnsi="Arial"/>
          <w:sz w:val="16"/>
          <w:szCs w:val="16"/>
          <w:color w:val="auto"/>
        </w:rPr>
        <w:t>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164" w:lineRule="exact"/>
        <w:rPr>
          <w:sz w:val="20"/>
          <w:szCs w:val="20"/>
          <w:color w:val="auto"/>
        </w:rPr>
      </w:pPr>
    </w:p>
    <w:p>
      <w:pPr>
        <w:ind w:right="40" w:firstLine="567"/>
        <w:spacing w:after="0" w:line="301" w:lineRule="auto"/>
        <w:rPr>
          <w:sz w:val="20"/>
          <w:szCs w:val="20"/>
          <w:color w:val="auto"/>
        </w:rPr>
      </w:pPr>
      <w:r>
        <w:rPr>
          <w:rFonts w:ascii="Arial" w:cs="Arial" w:eastAsia="Arial" w:hAnsi="Arial"/>
          <w:sz w:val="16"/>
          <w:szCs w:val="16"/>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261" w:lineRule="exact"/>
        <w:rPr>
          <w:sz w:val="20"/>
          <w:szCs w:val="20"/>
          <w:color w:val="auto"/>
        </w:rPr>
      </w:pPr>
    </w:p>
    <w:p>
      <w:pPr>
        <w:ind w:right="620"/>
        <w:spacing w:after="0" w:line="329" w:lineRule="auto"/>
        <w:rPr>
          <w:sz w:val="20"/>
          <w:szCs w:val="20"/>
          <w:color w:val="auto"/>
        </w:rPr>
      </w:pPr>
      <w:r>
        <w:rPr>
          <w:rFonts w:ascii="Arial" w:cs="Arial" w:eastAsia="Arial" w:hAnsi="Arial"/>
          <w:sz w:val="16"/>
          <w:szCs w:val="16"/>
          <w:b w:val="1"/>
          <w:bCs w:val="1"/>
          <w:color w:val="auto"/>
        </w:rPr>
        <w:t>We plan to seek Orphan Drug Designation for imsidolimab or certain of our other product candidates and we may not be able to obtain or maintain Orphan Drug Designation or obtain the benefits associated with Orphan Drug status, including market exclusivity.</w:t>
      </w:r>
    </w:p>
    <w:p>
      <w:pPr>
        <w:spacing w:after="0" w:line="121" w:lineRule="exact"/>
        <w:rPr>
          <w:sz w:val="20"/>
          <w:szCs w:val="20"/>
          <w:color w:val="auto"/>
        </w:rPr>
      </w:pPr>
    </w:p>
    <w:p>
      <w:pPr>
        <w:ind w:firstLine="567"/>
        <w:spacing w:after="0" w:line="269" w:lineRule="auto"/>
        <w:rPr>
          <w:sz w:val="20"/>
          <w:szCs w:val="20"/>
          <w:color w:val="auto"/>
        </w:rPr>
      </w:pPr>
      <w:r>
        <w:rPr>
          <w:rFonts w:ascii="Arial" w:cs="Arial" w:eastAsia="Arial" w:hAnsi="Arial"/>
          <w:sz w:val="16"/>
          <w:szCs w:val="16"/>
          <w:color w:val="auto"/>
        </w:rPr>
        <w:t>Regulatory authorities in some jurisdictions, including the United States and the European Union (“EU”) may designate biologics for relatively small patient populations as orphan drugs. Under the Orphan Drug Act, the FDA may designate a biologic as an Orphan Drug if it is intended to treat a rare disease or condition, which is generally defined as a patient population of fewer than 200,000 individuals in the United States. We recently received Orphan Drug Designation from the FDA for imsidolimab for our GPP indication and plan to seek Orphan Drug Designation for imsidolimab in other indications and for certain of our other product candidates. Generally, if a biologic with an Orphan Drug Designation subsequently receives the first marketing approval for the indication for which it has such designation, the biologic is entitled to a period of marketing exclusivity, which precludes the FDA with respect to the United States or the European Medicines Agency (the “EMA”,) with respect to the EU from approving another marketing application for a drug containing the same active moiety for the same indication for that time period. The applicable period is seven years in the United States and ten years in the EU. The EU exclusivity period can be reduced to six years if a biologic no longer meets the criteria for Orphan Drug Designation or if the biologic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the Orphan Drug Designation does not convey any advantage in, or shorten the duration of, the regulatory review or approval process. Also, regulatory approval for any product candidate may be withdrawn and other candidates may obtain approval before us.</w:t>
      </w:r>
    </w:p>
    <w:p>
      <w:pPr>
        <w:spacing w:after="0" w:line="168" w:lineRule="exact"/>
        <w:rPr>
          <w:sz w:val="20"/>
          <w:szCs w:val="20"/>
          <w:color w:val="auto"/>
        </w:rPr>
      </w:pPr>
    </w:p>
    <w:p>
      <w:pPr>
        <w:jc w:val="both"/>
        <w:ind w:right="200" w:firstLine="567"/>
        <w:spacing w:after="0" w:line="284" w:lineRule="auto"/>
        <w:rPr>
          <w:sz w:val="20"/>
          <w:szCs w:val="20"/>
          <w:color w:val="auto"/>
        </w:rPr>
      </w:pPr>
      <w:r>
        <w:rPr>
          <w:rFonts w:ascii="Arial" w:cs="Arial" w:eastAsia="Arial" w:hAnsi="Arial"/>
          <w:sz w:val="16"/>
          <w:szCs w:val="16"/>
          <w:color w:val="auto"/>
        </w:rPr>
        <w:t>We have not been granted Orphan Drug Designation for imsidolimab for any indication other than GPP, and there can be no assurance that any of our other product candidates will be designated as an orphan drug. For example, we plan to seek FDA Orphan Drug Designation for imsidolimab for the treatment of PPP, which will likely require that we demonstrate to FDA that PPP is a distinct disease from psoriasis generally (a non-rare disease) or that use of imsidolimab may be appropriate for the treatment of PPP but not appropriate for use in the general psoriasis population.</w:t>
      </w:r>
    </w:p>
    <w:p>
      <w:pPr>
        <w:spacing w:after="0" w:line="155" w:lineRule="exact"/>
        <w:rPr>
          <w:sz w:val="20"/>
          <w:szCs w:val="20"/>
          <w:color w:val="auto"/>
        </w:rPr>
      </w:pPr>
    </w:p>
    <w:p>
      <w:pPr>
        <w:ind w:firstLine="567"/>
        <w:spacing w:after="0" w:line="239" w:lineRule="auto"/>
        <w:rPr>
          <w:sz w:val="20"/>
          <w:szCs w:val="20"/>
          <w:color w:val="auto"/>
        </w:rPr>
      </w:pPr>
      <w:r>
        <w:rPr>
          <w:rFonts w:ascii="Arial" w:cs="Arial" w:eastAsia="Arial" w:hAnsi="Arial"/>
          <w:sz w:val="18"/>
          <w:szCs w:val="18"/>
          <w:color w:val="auto"/>
        </w:rPr>
        <w:t>Even if we obtain Orphan Drug Designation for imsidolimab in indications other than GPP, or for any of our other product candidates, we may not receive Orphan Drug exclusivity, and such exclusivity, if obtained, may not effectively protect the candidate from competition because different drugs or biologics can be approved for the same condition and only the first biologic with an Orphan Drug Designation to receive regulatory approval for a particular indication will receive marketing exclusivity. Even after a drug or biological with Orphan Drug Designation is approved, the FDA can subsequently approve another biologic containing the same active moiety (which in the case of an antibody is the principal molecular structure) for the same condition if the FDA concludes that the later biologic is clinically superior in that it is shown to be safer, more effective or makes a major contribution to patient care.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drugs we develop may become subject to unfavorable third-party reimbursement practices and pricing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98" w:lineRule="exact"/>
        <w:rPr>
          <w:sz w:val="20"/>
          <w:szCs w:val="20"/>
          <w:color w:val="auto"/>
        </w:rPr>
      </w:pPr>
    </w:p>
    <w:p>
      <w:pPr>
        <w:ind w:right="40" w:firstLine="567"/>
        <w:spacing w:after="0" w:line="289" w:lineRule="auto"/>
        <w:rPr>
          <w:sz w:val="20"/>
          <w:szCs w:val="20"/>
          <w:color w:val="auto"/>
        </w:rPr>
      </w:pPr>
      <w:r>
        <w:rPr>
          <w:rFonts w:ascii="Arial" w:cs="Arial" w:eastAsia="Arial" w:hAnsi="Arial"/>
          <w:sz w:val="16"/>
          <w:szCs w:val="16"/>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 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we obtain marketing approval. If coverage and reimbursement are not available or reimbursement is available only at limited levels, we may not successfully commercialize any product candidate for which we obtain marketing approval.</w:t>
      </w:r>
    </w:p>
    <w:p>
      <w:pPr>
        <w:spacing w:after="0" w:line="166" w:lineRule="exact"/>
        <w:rPr>
          <w:sz w:val="20"/>
          <w:szCs w:val="20"/>
          <w:color w:val="auto"/>
        </w:rPr>
      </w:pPr>
    </w:p>
    <w:p>
      <w:pPr>
        <w:ind w:firstLine="567"/>
        <w:spacing w:after="0" w:line="291"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66" w:lineRule="exact"/>
        <w:rPr>
          <w:sz w:val="20"/>
          <w:szCs w:val="20"/>
          <w:color w:val="auto"/>
        </w:rPr>
      </w:pPr>
    </w:p>
    <w:p>
      <w:pPr>
        <w:ind w:right="20" w:firstLine="567"/>
        <w:spacing w:after="0" w:line="271" w:lineRule="auto"/>
        <w:rPr>
          <w:sz w:val="20"/>
          <w:szCs w:val="20"/>
          <w:color w:val="auto"/>
        </w:rPr>
      </w:pPr>
      <w:r>
        <w:rPr>
          <w:rFonts w:ascii="Arial" w:cs="Arial" w:eastAsia="Arial" w:hAnsi="Arial"/>
          <w:sz w:val="17"/>
          <w:szCs w:val="17"/>
          <w:color w:val="auto"/>
        </w:rPr>
        <w:t>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 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and the timing of achieving a reimbursement determination will be.</w:t>
      </w:r>
    </w:p>
    <w:p>
      <w:pPr>
        <w:spacing w:after="0" w:line="178" w:lineRule="exact"/>
        <w:rPr>
          <w:sz w:val="20"/>
          <w:szCs w:val="20"/>
          <w:color w:val="auto"/>
        </w:rPr>
      </w:pPr>
    </w:p>
    <w:p>
      <w:pPr>
        <w:ind w:firstLine="445"/>
        <w:spacing w:after="0" w:line="288"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including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68" w:lineRule="exact"/>
        <w:rPr>
          <w:sz w:val="20"/>
          <w:szCs w:val="20"/>
          <w:color w:val="auto"/>
        </w:rPr>
      </w:pPr>
    </w:p>
    <w:p>
      <w:pPr>
        <w:ind w:firstLine="567"/>
        <w:spacing w:after="0" w:line="293" w:lineRule="auto"/>
        <w:rPr>
          <w:sz w:val="20"/>
          <w:szCs w:val="20"/>
          <w:color w:val="auto"/>
        </w:rPr>
      </w:pPr>
      <w:r>
        <w:rPr>
          <w:rFonts w:ascii="Arial" w:cs="Arial" w:eastAsia="Arial" w:hAnsi="Arial"/>
          <w:sz w:val="16"/>
          <w:szCs w:val="16"/>
          <w:color w:val="auto"/>
        </w:rPr>
        <w:t>Moreover, increasing efforts by governmental and third-party payors, in the United States and internationally, to cap or reduce health 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 care, the increasing influence of health maintenance organizations and additional legislative changes. The downward pressure on health care costs in general, particularly prescription drugs and surgical procedures and other treatments, has become very intense. As a result, increasingly high barriers are being erected to the entry of new products into the health care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spacing w:after="0" w:line="306" w:lineRule="exact"/>
        <w:rPr>
          <w:sz w:val="20"/>
          <w:szCs w:val="20"/>
          <w:color w:val="auto"/>
        </w:rPr>
      </w:pPr>
    </w:p>
    <w:p>
      <w:pPr>
        <w:ind w:right="140" w:firstLine="567"/>
        <w:spacing w:after="0" w:line="279" w:lineRule="auto"/>
        <w:rPr>
          <w:sz w:val="20"/>
          <w:szCs w:val="20"/>
          <w:color w:val="auto"/>
        </w:rPr>
      </w:pPr>
      <w:r>
        <w:rPr>
          <w:rFonts w:ascii="Arial" w:cs="Arial" w:eastAsia="Arial" w:hAnsi="Arial"/>
          <w:sz w:val="17"/>
          <w:szCs w:val="17"/>
          <w:color w:val="auto"/>
        </w:rPr>
        <w:t>In addition to CMS and private payors, professional organizations such as the American Medical Association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171" w:lineRule="exact"/>
        <w:rPr>
          <w:sz w:val="20"/>
          <w:szCs w:val="20"/>
          <w:color w:val="auto"/>
        </w:rPr>
      </w:pPr>
    </w:p>
    <w:p>
      <w:pPr>
        <w:ind w:right="180" w:firstLine="567"/>
        <w:spacing w:after="0" w:line="259" w:lineRule="auto"/>
        <w:rPr>
          <w:sz w:val="20"/>
          <w:szCs w:val="20"/>
          <w:color w:val="auto"/>
        </w:rPr>
      </w:pPr>
      <w:r>
        <w:rPr>
          <w:rFonts w:ascii="Arial" w:cs="Arial" w:eastAsia="Arial" w:hAnsi="Arial"/>
          <w:sz w:val="18"/>
          <w:szCs w:val="18"/>
          <w:color w:val="auto"/>
        </w:rPr>
        <w:t>Furthermore, some of our target indications, such as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will need to implement a coverage and reimbursement strategy for any approved product candidate that accounts for the smaller potential market size.</w:t>
      </w:r>
    </w:p>
    <w:p>
      <w:pPr>
        <w:spacing w:after="0" w:line="187" w:lineRule="exact"/>
        <w:rPr>
          <w:sz w:val="20"/>
          <w:szCs w:val="20"/>
          <w:color w:val="auto"/>
        </w:rPr>
      </w:pPr>
    </w:p>
    <w:p>
      <w:pPr>
        <w:ind w:right="300" w:firstLine="567"/>
        <w:spacing w:after="0" w:line="257" w:lineRule="auto"/>
        <w:rPr>
          <w:sz w:val="20"/>
          <w:szCs w:val="20"/>
          <w:color w:val="auto"/>
        </w:rPr>
      </w:pPr>
      <w:r>
        <w:rPr>
          <w:rFonts w:ascii="Arial" w:cs="Arial" w:eastAsia="Arial" w:hAnsi="Arial"/>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29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Recently enacted legislation may increase the difficulty and cost for us to obtain marketing approval of and commercialize our product candidates and affect the prices we may obtain.</w:t>
      </w:r>
    </w:p>
    <w:p>
      <w:pPr>
        <w:spacing w:after="0" w:line="166"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Some of the provisions of the ACA have yet to be implemented, and there have been judicial and Congressional challenges to certain aspects of the ACA. In addition, the current administration and Congress have previously sought, and will likely continue to seek, legislative and regulatory changes, including repeal and replacement of all or certain provisions of the ACA. While Congress has not passed repeal legislation,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the current administration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amends the ACA, effective January 1, 2019, to increase from 50% to 70% the point-of-sale discount that is owed by pharmaceutical manufacturers who participate in Medicare Part D and to close the coverage gap in most Medicare drug plans, commonly referred to as the “donut hole”. Congress may consider other legislation to repeal or replace elements of the ACA.</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difficulties from changes to current regulations and future legislation.</w:t>
      </w:r>
    </w:p>
    <w:p>
      <w:pPr>
        <w:spacing w:after="0" w:line="121" w:lineRule="exact"/>
        <w:rPr>
          <w:sz w:val="20"/>
          <w:szCs w:val="20"/>
          <w:color w:val="auto"/>
        </w:rPr>
      </w:pPr>
    </w:p>
    <w:p>
      <w:pPr>
        <w:ind w:right="120" w:firstLine="567"/>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ind w:right="40" w:firstLine="567"/>
        <w:spacing w:after="0" w:line="271" w:lineRule="auto"/>
        <w:rPr>
          <w:sz w:val="20"/>
          <w:szCs w:val="20"/>
          <w:color w:val="auto"/>
        </w:rPr>
      </w:pPr>
      <w:r>
        <w:rPr>
          <w:rFonts w:ascii="Arial" w:cs="Arial" w:eastAsia="Arial" w:hAnsi="Arial"/>
          <w:sz w:val="17"/>
          <w:szCs w:val="17"/>
          <w:color w:val="auto"/>
        </w:rPr>
        <w:t>More recently, President Trump has signed an executive order and made statements that suggest he plans to seek repeal of all or portions of the ACA. There is uncertainty with respect to which legislation, if any, will be enacted and the impact President Trump’s Administration may have, if any, and any changes likely will take time to unfold, and could have an impact on coverage and reimbursement for health care items and services covered by plans that were authorized by the ACA. However, we cannot predict the ultimate content, timing or effect of any health care reform legislation or the impact of potential legislation on us. In addition, other legislative changes have been proposed and adopted since the ACA was enacted. These changes included aggregate reductions to Medicare payments to providers of up to 2% per fiscal year, effective April 1, 2013, which, due to subsequent legislative amendments, will stay in effect through 2027 unless additional Congressional action is taken. In January 2013, President Obama signed into law the American Taxpayer Relief Act of 2012, which, among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4" w:name="page55"/>
    <w:bookmarkEnd w:id="54"/>
    <w:p>
      <w:pPr>
        <w:spacing w:after="0" w:line="306"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things, reduced Medicare payments to several providers, and increased the statute of limitations period for the government to recover overpayments to providers from three to five years. These new laws may result in additional reductions in Medicare and other health care funding, which could have a material adverse effect on customers for our drugs, if approved, and accordingly, our financial operations.</w:t>
      </w:r>
    </w:p>
    <w:p>
      <w:pPr>
        <w:spacing w:after="0" w:line="165" w:lineRule="exact"/>
        <w:rPr>
          <w:sz w:val="20"/>
          <w:szCs w:val="20"/>
          <w:color w:val="auto"/>
        </w:rPr>
      </w:pPr>
    </w:p>
    <w:p>
      <w:pPr>
        <w:ind w:right="40" w:firstLine="567"/>
        <w:spacing w:after="0" w:line="269" w:lineRule="auto"/>
        <w:rPr>
          <w:sz w:val="20"/>
          <w:szCs w:val="20"/>
          <w:color w:val="auto"/>
        </w:rPr>
      </w:pPr>
      <w:r>
        <w:rPr>
          <w:rFonts w:ascii="Arial" w:cs="Arial" w:eastAsia="Arial" w:hAnsi="Arial"/>
          <w:sz w:val="17"/>
          <w:szCs w:val="17"/>
          <w:color w:val="auto"/>
        </w:rPr>
        <w:t>Likewise, the annual Medicare Physician Fee Schedule update, which, until recently, was based on a target-setting formula system called the Sustainable Growth Rate (“SGR”) was adjusted to reflect the comparison of actual expenditures to target expenditures. Because one of the factors for calculating the SGR was linked to the growth in the U.S. gross domestic product (“GDP”) the SGR formula often resulted in a negative payment update when growth in Medicare beneficiaries’ use of services exceeded GDP growth. Congress repeatedly intervened to delay the implementation of negative SGR payment updates. For example, on April 1, 2014, with the enactment of the Protecting Access to Medicare Act of 2014, Congress prevented the 24 percent cut that was to occur by continuing the previously implemented 0.5 percent payment increase through December 31, 2014 and maintaining a zero percent payment update from January 1, 2015 through March 31, 2015. However, on April 14, 2015, Congress passed the Medicare Access and CHIP Reauthorization Act of 2015, which was signed into law by President Obama on April 16, 2015. This law repeals the SGR methodology from the physician payment formula, institutes a 0% update to the Medicare Physician Fee Schedule for the January 1 to July 1, 2015 period, a 0.5% payment update for July 2015 through the end of 2019, and a 0% payment update for 2020 through 2025, along with a merit-based incentive payment system beginning January 1, 2019, that will replace current incentive programs. For 2026 and subsequent years, the payment update will be either 0.75% or 0.25%, depending on which Alternate Payment Model the physician participates.</w:t>
      </w:r>
    </w:p>
    <w:p>
      <w:pPr>
        <w:spacing w:after="0" w:line="179" w:lineRule="exact"/>
        <w:rPr>
          <w:sz w:val="20"/>
          <w:szCs w:val="20"/>
          <w:color w:val="auto"/>
        </w:rPr>
      </w:pPr>
    </w:p>
    <w:p>
      <w:pPr>
        <w:ind w:right="140" w:firstLine="567"/>
        <w:spacing w:after="0" w:line="301" w:lineRule="auto"/>
        <w:rPr>
          <w:sz w:val="20"/>
          <w:szCs w:val="20"/>
          <w:color w:val="auto"/>
        </w:rPr>
      </w:pPr>
      <w:r>
        <w:rPr>
          <w:rFonts w:ascii="Arial" w:cs="Arial" w:eastAsia="Arial" w:hAnsi="Arial"/>
          <w:sz w:val="16"/>
          <w:szCs w:val="16"/>
          <w:color w:val="auto"/>
        </w:rPr>
        <w:t>We expect that the ACA, as well as other health 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 care reforms may prevent us from being able to generate revenue, attain profitability, or commercialize our product candidates.</w:t>
      </w:r>
    </w:p>
    <w:p>
      <w:pPr>
        <w:spacing w:after="0" w:line="157" w:lineRule="exact"/>
        <w:rPr>
          <w:sz w:val="20"/>
          <w:szCs w:val="20"/>
          <w:color w:val="auto"/>
        </w:rPr>
      </w:pPr>
    </w:p>
    <w:p>
      <w:pPr>
        <w:ind w:right="60" w:firstLine="567"/>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9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58"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286"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Our relationships with customers and third-party payors will be subject to applicable anti-kickback, fraud and abuse, transparency and other health care laws and regulations, which could expose us to, among other things, criminal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sanctions, civil penalties, contractual damages, reputational harm, administrative burdens and diminished profits and future earnings.</w:t>
      </w:r>
    </w:p>
    <w:p>
      <w:pPr>
        <w:spacing w:after="0" w:line="133" w:lineRule="exact"/>
        <w:rPr>
          <w:sz w:val="20"/>
          <w:szCs w:val="20"/>
          <w:color w:val="auto"/>
        </w:rPr>
      </w:pPr>
    </w:p>
    <w:p>
      <w:pPr>
        <w:ind w:right="120" w:firstLine="567"/>
        <w:spacing w:after="0" w:line="257" w:lineRule="auto"/>
        <w:rPr>
          <w:sz w:val="20"/>
          <w:szCs w:val="20"/>
          <w:color w:val="auto"/>
        </w:rPr>
      </w:pPr>
      <w:r>
        <w:rPr>
          <w:rFonts w:ascii="Arial" w:cs="Arial" w:eastAsia="Arial" w:hAnsi="Arial"/>
          <w:sz w:val="18"/>
          <w:szCs w:val="18"/>
          <w:color w:val="auto"/>
        </w:rPr>
        <w:t>Health care providers and third-party payors play a primary role in the recommendation and prescription of any product candidates for which we obtain marketing approval. Our future arrangements with third-party payors and customers may expose us to broadly applicable fraud and abuse and other health care laws and regulations that may constrain the business or financial arrangements and relationships through which we market, sell and distribute our products for which we obtain marketing approval. Restrictions under applicable federal and state health care laws and regulations include the following:</w:t>
      </w:r>
    </w:p>
    <w:p>
      <w:pPr>
        <w:spacing w:after="0" w:line="80" w:lineRule="exact"/>
        <w:rPr>
          <w:sz w:val="20"/>
          <w:szCs w:val="20"/>
          <w:color w:val="auto"/>
        </w:rPr>
      </w:pPr>
    </w:p>
    <w:p>
      <w:pPr>
        <w:ind w:left="660" w:right="140" w:hanging="328"/>
        <w:spacing w:after="0" w:line="259"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 care program such as Medicare and Medicaid;</w:t>
      </w:r>
    </w:p>
    <w:p>
      <w:pPr>
        <w:spacing w:after="0" w:line="78" w:lineRule="exact"/>
        <w:rPr>
          <w:rFonts w:ascii="Arial" w:cs="Arial" w:eastAsia="Arial" w:hAnsi="Arial"/>
          <w:sz w:val="18"/>
          <w:szCs w:val="18"/>
          <w:color w:val="auto"/>
        </w:rPr>
      </w:pPr>
    </w:p>
    <w:p>
      <w:pPr>
        <w:ind w:left="660" w:right="40" w:hanging="328"/>
        <w:spacing w:after="0" w:line="259"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660" w:right="80" w:hanging="328"/>
        <w:spacing w:after="0" w:line="342" w:lineRule="auto"/>
        <w:tabs>
          <w:tab w:leader="none" w:pos="6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(“HIPAA”) imposes criminal and civil liability for, among other things, executing or attempting to execute a scheme to defraud any health care benefit program or making false statements relating to health care matters;</w:t>
      </w:r>
    </w:p>
    <w:p>
      <w:pPr>
        <w:spacing w:after="0" w:line="15" w:lineRule="exact"/>
        <w:rPr>
          <w:rFonts w:ascii="Arial" w:cs="Arial" w:eastAsia="Arial" w:hAnsi="Arial"/>
          <w:sz w:val="16"/>
          <w:szCs w:val="16"/>
          <w:color w:val="auto"/>
        </w:rPr>
      </w:pPr>
    </w:p>
    <w:p>
      <w:pPr>
        <w:jc w:val="both"/>
        <w:ind w:left="660" w:right="60" w:hanging="328"/>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75" w:lineRule="exact"/>
        <w:rPr>
          <w:rFonts w:ascii="Arial" w:cs="Arial" w:eastAsia="Arial" w:hAnsi="Arial"/>
          <w:sz w:val="18"/>
          <w:szCs w:val="18"/>
          <w:color w:val="auto"/>
        </w:rPr>
      </w:pPr>
    </w:p>
    <w:p>
      <w:pPr>
        <w:ind w:left="660" w:hanging="328"/>
        <w:spacing w:after="0" w:line="275"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held by physicians and their immediate family members. The information was initially made publicly available on a searchable website in September 2014 and is disclosed on an annual basis; and</w:t>
      </w:r>
    </w:p>
    <w:p>
      <w:pPr>
        <w:spacing w:after="0" w:line="68" w:lineRule="exact"/>
        <w:rPr>
          <w:rFonts w:ascii="Arial" w:cs="Arial" w:eastAsia="Arial" w:hAnsi="Arial"/>
          <w:sz w:val="17"/>
          <w:szCs w:val="17"/>
          <w:color w:val="auto"/>
        </w:rPr>
      </w:pPr>
    </w:p>
    <w:p>
      <w:pPr>
        <w:ind w:left="660" w:right="100" w:hanging="328"/>
        <w:spacing w:after="0" w:line="342" w:lineRule="auto"/>
        <w:tabs>
          <w:tab w:leader="none" w:pos="6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sales or marketing arrangements and claims involving health care items or services reimbursed by non-governmental third-party payors, including private insurers.</w:t>
      </w:r>
    </w:p>
    <w:p>
      <w:pPr>
        <w:spacing w:after="0" w:line="124" w:lineRule="exact"/>
        <w:rPr>
          <w:sz w:val="20"/>
          <w:szCs w:val="20"/>
          <w:color w:val="auto"/>
        </w:rPr>
      </w:pPr>
    </w:p>
    <w:p>
      <w:pPr>
        <w:ind w:right="60" w:firstLine="567"/>
        <w:spacing w:after="0" w:line="289" w:lineRule="auto"/>
        <w:rPr>
          <w:sz w:val="20"/>
          <w:szCs w:val="20"/>
          <w:color w:val="auto"/>
        </w:rPr>
      </w:pPr>
      <w:r>
        <w:rPr>
          <w:rFonts w:ascii="Arial" w:cs="Arial" w:eastAsia="Arial" w:hAnsi="Arial"/>
          <w:sz w:val="16"/>
          <w:szCs w:val="16"/>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 care providers or marketing expenditures. For example, several states now require prescription drug companies to report certain expenses relating to the marketing and promotion of drug products and to report gifts and payments to individual health 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or prohibit prescription drug price gouging. And states such as California, Connecticut, Nevada, and Massachusetts require pharmaceutical companies to implement compliance programs and/or marketing codes. Other states are considering similar proposals. Compliance with these laws is difficult and time consuming, and companies that do not comply with these state laws face civil penalties.</w:t>
      </w:r>
    </w:p>
    <w:p>
      <w:pPr>
        <w:spacing w:after="0" w:line="166" w:lineRule="exact"/>
        <w:rPr>
          <w:sz w:val="20"/>
          <w:szCs w:val="20"/>
          <w:color w:val="auto"/>
        </w:rPr>
      </w:pPr>
    </w:p>
    <w:p>
      <w:pPr>
        <w:ind w:firstLine="567"/>
        <w:spacing w:after="0" w:line="296" w:lineRule="auto"/>
        <w:rPr>
          <w:sz w:val="20"/>
          <w:szCs w:val="20"/>
          <w:color w:val="auto"/>
        </w:rPr>
      </w:pPr>
      <w:r>
        <w:rPr>
          <w:rFonts w:ascii="Arial" w:cs="Arial" w:eastAsia="Arial" w:hAnsi="Arial"/>
          <w:sz w:val="16"/>
          <w:szCs w:val="16"/>
          <w:color w:val="auto"/>
        </w:rPr>
        <w:t>State and foreign laws also govern the privacy and security of health information in some circumstances, many of which differ from each other in significant ways and often are not preempted by HIPAA, thus complicating compliance efforts. For example, the collection and use of health data in the EU is governed by the General Data Protection Regulation (GDPR), which became fully applicable in May 2018. The GDPR extends the geographical scope of EU Data protection law to non-EU entities under certain conditions, tightens existing EU data protection principles and creates new obligations for companies and new rights for individuals. The GDPR is new and guidance, interpretation and application under the GDPR are still developing.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30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Failure to comply with the GDPR may result in substantial fines and other administrative penalties. The GDPR may increase our responsibility and liability in relation to personal data that we process and we may be required to put in place additional</w:t>
      </w:r>
    </w:p>
    <w:p>
      <w:pPr>
        <w:spacing w:after="0" w:line="1"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mechanisms ensuring compliance with the GDPR. The GDPR is new and the pending EU ePrivacy Regulation is expected to establish, new requirements applicable to the handling of personal data and imposes penalties for non-compliance of up to the greater of €20 million or 4% of worldwide revenue. In addition, the GDPR increases the scrutiny of transfers of personal data from clinical trial sites located in the European Economic Area to the United States and other jurisdictions that the European Commission does not recognize as having “adequate” data protection laws. For example, following a decision of the Court of Justice of the EU in October 2015, the transfer of personal data to U.S. companies that had certified as members of the U.S. Safe Harbor Scheme, was declared invalid. In July 2016, the European Commission adopted the EU-U.S. Privacy Shield Framework, or the Privacy Shield Framework, which replaced the U.S. Safe Harbor Scheme. On July 16, 2020, the Court of Justice of the European Union issued a decision that declared the Privacy Shield Framework invalid, and will also result in additional compliance obligations for companies that implement standard contractual clauses to ensure a valid basis for the transfer of personal data outside of Europe. Additionally, in June 2018, California passed the California Consumer Privacy Act (“CCPA”), which provides new data privacy rights for consumers and new operational requirements for companies effective in 2020. The costs of compliance with, and other burdens imposed by, the GDPR, CCPA and other U.S., EU and worldwide laws may impose onerous requirements on our business and, if our efforts to comply with such laws are not successful, our business could be adversely affected.</w:t>
      </w:r>
    </w:p>
    <w:p>
      <w:pPr>
        <w:spacing w:after="0" w:line="175" w:lineRule="exact"/>
        <w:rPr>
          <w:sz w:val="20"/>
          <w:szCs w:val="20"/>
          <w:color w:val="auto"/>
        </w:rPr>
      </w:pPr>
    </w:p>
    <w:p>
      <w:pPr>
        <w:ind w:right="180" w:firstLine="567"/>
        <w:spacing w:after="0" w:line="288" w:lineRule="auto"/>
        <w:rPr>
          <w:sz w:val="20"/>
          <w:szCs w:val="20"/>
          <w:color w:val="auto"/>
        </w:rPr>
      </w:pPr>
      <w:r>
        <w:rPr>
          <w:rFonts w:ascii="Arial" w:cs="Arial" w:eastAsia="Arial" w:hAnsi="Arial"/>
          <w:sz w:val="16"/>
          <w:szCs w:val="16"/>
          <w:color w:val="auto"/>
        </w:rPr>
        <w:t>Efforts to ensure that our current and future business arrangements with third parties will comply with applicable health care laws and regulations will involve substantial costs. It is possible that governmental authorities will conclude that our business practices may not comply with current or future statutes, regulations or case law involving applicable fraud and abuse or other health 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 care programs, such as Medicare and Medicaid,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 care providers or entities with whom we expect to do business is found to be not in compliance with applicable laws, they may be subject to criminal, civil or administrative sanctions, including exclusions from government funded health care programs.</w:t>
      </w:r>
    </w:p>
    <w:p>
      <w:pPr>
        <w:spacing w:after="0" w:line="27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Our employees may engage in misconduct or other improper activities, including noncompliance with regulatory standards and requirements and insider trading.</w:t>
      </w:r>
    </w:p>
    <w:p>
      <w:pPr>
        <w:spacing w:after="0" w:line="58"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obtain or protect intellectual property rights, we may not be able to compete effectively in our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98" w:lineRule="exact"/>
        <w:rPr>
          <w:sz w:val="20"/>
          <w:szCs w:val="20"/>
          <w:color w:val="auto"/>
        </w:rPr>
      </w:pPr>
    </w:p>
    <w:p>
      <w:pPr>
        <w:ind w:right="20" w:firstLine="567"/>
        <w:spacing w:after="0" w:line="286" w:lineRule="auto"/>
        <w:rPr>
          <w:sz w:val="20"/>
          <w:szCs w:val="20"/>
          <w:color w:val="auto"/>
        </w:rPr>
      </w:pPr>
      <w:r>
        <w:rPr>
          <w:rFonts w:ascii="Arial" w:cs="Arial" w:eastAsia="Arial" w:hAnsi="Arial"/>
          <w:sz w:val="16"/>
          <w:szCs w:val="16"/>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174" w:lineRule="exact"/>
        <w:rPr>
          <w:sz w:val="20"/>
          <w:szCs w:val="20"/>
          <w:color w:val="auto"/>
        </w:rPr>
      </w:pPr>
    </w:p>
    <w:p>
      <w:pPr>
        <w:ind w:firstLine="567"/>
        <w:spacing w:after="0" w:line="288" w:lineRule="auto"/>
        <w:rPr>
          <w:sz w:val="20"/>
          <w:szCs w:val="20"/>
          <w:color w:val="auto"/>
        </w:rPr>
      </w:pPr>
      <w:r>
        <w:rPr>
          <w:rFonts w:ascii="Arial" w:cs="Arial" w:eastAsia="Arial" w:hAnsi="Arial"/>
          <w:sz w:val="16"/>
          <w:szCs w:val="16"/>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168" w:lineRule="exact"/>
        <w:rPr>
          <w:sz w:val="20"/>
          <w:szCs w:val="20"/>
          <w:color w:val="auto"/>
        </w:rPr>
      </w:pPr>
    </w:p>
    <w:p>
      <w:pPr>
        <w:ind w:right="60" w:firstLine="567"/>
        <w:spacing w:after="0" w:line="254" w:lineRule="auto"/>
        <w:rPr>
          <w:sz w:val="20"/>
          <w:szCs w:val="20"/>
          <w:color w:val="auto"/>
        </w:rPr>
      </w:pPr>
      <w:r>
        <w:rPr>
          <w:rFonts w:ascii="Arial" w:cs="Arial" w:eastAsia="Arial" w:hAnsi="Arial"/>
          <w:sz w:val="18"/>
          <w:szCs w:val="18"/>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95" w:lineRule="exact"/>
        <w:rPr>
          <w:sz w:val="20"/>
          <w:szCs w:val="20"/>
          <w:color w:val="auto"/>
        </w:rPr>
      </w:pPr>
    </w:p>
    <w:p>
      <w:pPr>
        <w:ind w:right="60" w:firstLine="567"/>
        <w:spacing w:after="0" w:line="269" w:lineRule="auto"/>
        <w:rPr>
          <w:sz w:val="20"/>
          <w:szCs w:val="20"/>
          <w:color w:val="auto"/>
        </w:rPr>
      </w:pPr>
      <w:r>
        <w:rPr>
          <w:rFonts w:ascii="Arial" w:cs="Arial" w:eastAsia="Arial" w:hAnsi="Arial"/>
          <w:sz w:val="17"/>
          <w:szCs w:val="17"/>
          <w:color w:val="auto"/>
        </w:rPr>
        <w:t>Because patent applications in the United States and most other countries are confidential for a period of time after filing, and some remain so until issued, we cannot be certain that we or our licensors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306" w:lineRule="exact"/>
        <w:rPr>
          <w:sz w:val="20"/>
          <w:szCs w:val="20"/>
          <w:color w:val="auto"/>
        </w:rPr>
      </w:pPr>
    </w:p>
    <w:p>
      <w:pPr>
        <w:ind w:firstLine="567"/>
        <w:spacing w:after="0" w:line="289" w:lineRule="auto"/>
        <w:rPr>
          <w:sz w:val="20"/>
          <w:szCs w:val="20"/>
          <w:color w:val="auto"/>
        </w:rPr>
      </w:pPr>
      <w:r>
        <w:rPr>
          <w:rFonts w:ascii="Arial" w:cs="Arial" w:eastAsia="Arial" w:hAnsi="Arial"/>
          <w:sz w:val="16"/>
          <w:szCs w:val="16"/>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protect our intellectual property rights throughout the world.</w:t>
      </w:r>
    </w:p>
    <w:p>
      <w:pPr>
        <w:spacing w:after="0" w:line="121" w:lineRule="exact"/>
        <w:rPr>
          <w:sz w:val="20"/>
          <w:szCs w:val="20"/>
          <w:color w:val="auto"/>
        </w:rPr>
      </w:pPr>
    </w:p>
    <w:p>
      <w:pPr>
        <w:ind w:right="40" w:firstLine="567"/>
        <w:spacing w:after="0" w:line="269"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would be prohibitively expensive, and our or our licensors’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or collaborators may not be able to prevent third parties from practicing our and our licensors’ or collaborators’ inventions in all countries outside the United States, or from selling or importing products made using our and our licensors’ or collaborators’ inventions in and into the United States or other jurisdictions. Competitors may use our and our licensors’ or collaborators’ technologies in jurisdictions where we have not obtained patent protection to develop their own products and, further, may export otherwise infringing products to territories where we and our licensors or collaborators have patent protection, but enforcement is not as strong as that in the United States. These products may compete with our product candidates, and our and our licensors’ or collaborators’ patents or other intellectual property rights may not be effective or sufficient to prevent them from competing.</w:t>
      </w:r>
    </w:p>
    <w:p>
      <w:pPr>
        <w:spacing w:after="0" w:line="185" w:lineRule="exact"/>
        <w:rPr>
          <w:sz w:val="20"/>
          <w:szCs w:val="20"/>
          <w:color w:val="auto"/>
        </w:rPr>
      </w:pPr>
    </w:p>
    <w:p>
      <w:pPr>
        <w:ind w:right="100" w:firstLine="567"/>
        <w:spacing w:after="0" w:line="28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or collaborators to stop the infringement of our and our licensors’ or collaborators’ patents or marketing of competing products in violation of our and our licensors’ or collaborators’ proprietary rights generally. Proceedings to enforce our and our licensors’ or collaborators’ patent rights in foreign jurisdictions could result in substantial costs and divert our and our licensors’ or collaborators’ efforts and attention from other aspects of our business, could put our and our licensors’ or collaborators’ patents at risk of being invalidated or interpreted narrowly and our and our licensors’ or collaborators’ patent applications at risk of not issuing and could provoke third parties to assert claims against us or our licensors or collaborators. We or our licensors or collaborators may not prevail in any lawsuits that we or our licensors or collaborators initiate, and the damages or other remedies awarded, if any, may not be commercially meaningful.</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patent law could diminish the value of patents in general, thereby impairing our ability to protect our product candidates.</w:t>
      </w:r>
    </w:p>
    <w:p>
      <w:pPr>
        <w:spacing w:after="0" w:line="133" w:lineRule="exact"/>
        <w:rPr>
          <w:sz w:val="20"/>
          <w:szCs w:val="20"/>
          <w:color w:val="auto"/>
        </w:rPr>
      </w:pPr>
    </w:p>
    <w:p>
      <w:pPr>
        <w:ind w:firstLine="567"/>
        <w:spacing w:after="0" w:line="263"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184" w:lineRule="exact"/>
        <w:rPr>
          <w:sz w:val="20"/>
          <w:szCs w:val="20"/>
          <w:color w:val="auto"/>
        </w:rPr>
      </w:pPr>
    </w:p>
    <w:p>
      <w:pPr>
        <w:ind w:firstLine="567"/>
        <w:spacing w:after="0" w:line="279" w:lineRule="auto"/>
        <w:rPr>
          <w:sz w:val="20"/>
          <w:szCs w:val="20"/>
          <w:color w:val="auto"/>
        </w:rPr>
      </w:pPr>
      <w:r>
        <w:rPr>
          <w:rFonts w:ascii="Arial" w:cs="Arial" w:eastAsia="Arial" w:hAnsi="Arial"/>
          <w:sz w:val="17"/>
          <w:szCs w:val="17"/>
          <w:color w:val="auto"/>
        </w:rPr>
        <w:t>Patent reform legislation could increase the uncertainties and costs surrounding the prosecution of our and our licensors’ or collaborators’ patent applications and the enforcement or defense of our or our licensors’ or collaborators’ issued patents. On September 16, 2011, the Leahy-Smith America Invents Act (the “Leahy-Smith Act”) was signed into law. The Leahy-Smith Act includes a number of significant changes to U.S. patent law. These include provisions that affect the way patent applications are prosecuted and may also affect patent litigation.</w:t>
      </w:r>
    </w:p>
    <w:p>
      <w:pPr>
        <w:spacing w:after="0" w:line="171" w:lineRule="exact"/>
        <w:rPr>
          <w:sz w:val="20"/>
          <w:szCs w:val="20"/>
          <w:color w:val="auto"/>
        </w:rPr>
      </w:pPr>
    </w:p>
    <w:p>
      <w:pPr>
        <w:ind w:right="360" w:firstLine="567"/>
        <w:spacing w:after="0" w:line="277" w:lineRule="auto"/>
        <w:rPr>
          <w:sz w:val="20"/>
          <w:szCs w:val="20"/>
          <w:color w:val="auto"/>
        </w:rPr>
      </w:pPr>
      <w:r>
        <w:rPr>
          <w:rFonts w:ascii="Arial" w:cs="Arial" w:eastAsia="Arial" w:hAnsi="Arial"/>
          <w:sz w:val="18"/>
          <w:szCs w:val="18"/>
          <w:color w:val="auto"/>
        </w:rPr>
        <w:t>An important change introduced by the AIA is that, as of March 16, 2013, the United States transitioned to a “first-to-file” system for deciding which party should be granted a patent when two or more patent applications are filed by different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9" w:name="page60"/>
    <w:bookmarkEnd w:id="59"/>
    <w:p>
      <w:pPr>
        <w:spacing w:after="0" w:line="30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87" w:lineRule="exact"/>
        <w:rPr>
          <w:sz w:val="20"/>
          <w:szCs w:val="20"/>
          <w:color w:val="auto"/>
        </w:rPr>
      </w:pPr>
    </w:p>
    <w:p>
      <w:pPr>
        <w:ind w:right="60" w:firstLine="567"/>
        <w:spacing w:after="0" w:line="271" w:lineRule="auto"/>
        <w:rPr>
          <w:sz w:val="20"/>
          <w:szCs w:val="20"/>
          <w:color w:val="auto"/>
        </w:rPr>
      </w:pPr>
      <w:r>
        <w:rPr>
          <w:rFonts w:ascii="Arial" w:cs="Arial" w:eastAsia="Arial" w:hAnsi="Arial"/>
          <w:sz w:val="17"/>
          <w:szCs w:val="17"/>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Leahy-Smith Act and its implementation could increase the uncertainties and costs surrounding the prosecution of our patent applications and the enforcement or defense of our issued patents.</w:t>
      </w:r>
    </w:p>
    <w:p>
      <w:pPr>
        <w:spacing w:after="0" w:line="178" w:lineRule="exact"/>
        <w:rPr>
          <w:sz w:val="20"/>
          <w:szCs w:val="20"/>
          <w:color w:val="auto"/>
        </w:rPr>
      </w:pPr>
    </w:p>
    <w:p>
      <w:pPr>
        <w:ind w:right="60" w:firstLine="567"/>
        <w:spacing w:after="0" w:line="269" w:lineRule="auto"/>
        <w:rPr>
          <w:sz w:val="20"/>
          <w:szCs w:val="20"/>
          <w:color w:val="auto"/>
        </w:rPr>
      </w:pPr>
      <w:r>
        <w:rPr>
          <w:rFonts w:ascii="Arial" w:cs="Arial" w:eastAsia="Arial" w:hAnsi="Arial"/>
          <w:sz w:val="17"/>
          <w:szCs w:val="17"/>
          <w:color w:val="auto"/>
        </w:rPr>
        <w:t>Moreover, future and recent past changes in the patent laws in the U.S. and abroad could impact or could increase the uncertainties and costs surrounding the prosecution of our and our licensors’ or collaborators’ patent applications and the enforcement or defense of our or our collaborators’ issued patents, which could have an impact on our business and financial conditions. For example, over the past decade, the Supreme Court and the U.S. Court of Appeals for the Federal Circuit have rendered decisions in several patent cases such as Association for Molecular Pathology v. Myriad Genetics, Inc. (Myriad I), BRCA1- &amp; BRCA2-Based Hereditary Cancer Test Patent Litig., (Myriad II), Mayo Collaborative Services v. Prometheus Laboratories, Inc., and Alice Corporation Pty. Ltd. v. CLS Bank International, either narrowing the scope of patent protection available in certain circumstances or weakening the rights of patent owners in certain situations. In addition to increasing uncertainty with regard to our and our licensors’ or collaborators’ ability to obtain patents in the future, these type of changes in the patent laws have created uncertainty with respect to the value of patents, once obtained. Depending on decisions by Congress, the federal courts, and the USPTO, the laws and regulations governing patents could change in unpredictable ways that would weaken our and our licensors’ or collaborators’ ability to obtain new patents or to enforce existing patents and patents that we and our licensors or collaborators may obtain in the future.</w:t>
      </w:r>
    </w:p>
    <w:p>
      <w:pPr>
        <w:spacing w:after="0" w:line="286"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2" w:lineRule="exact"/>
        <w:rPr>
          <w:sz w:val="20"/>
          <w:szCs w:val="20"/>
          <w:color w:val="auto"/>
        </w:rPr>
      </w:pPr>
    </w:p>
    <w:p>
      <w:pPr>
        <w:ind w:firstLine="567"/>
        <w:spacing w:after="0" w:line="290" w:lineRule="auto"/>
        <w:rPr>
          <w:sz w:val="20"/>
          <w:szCs w:val="20"/>
          <w:color w:val="auto"/>
        </w:rPr>
      </w:pPr>
      <w:r>
        <w:rPr>
          <w:rFonts w:ascii="Arial" w:cs="Arial" w:eastAsia="Arial" w:hAnsi="Arial"/>
          <w:sz w:val="16"/>
          <w:szCs w:val="16"/>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collaborators fail to maintain the patents and patent applications covering our product candidates, our competitors might be able to enter the market, which would have an adverse effect on our business.</w:t>
      </w:r>
    </w:p>
    <w:p>
      <w:pPr>
        <w:spacing w:after="0" w:line="26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Our reliance on third parties requires us to share our trade secrets, which increases the possibility that a competitor will discover them or that our trade secrets will be misappropriated or disclosed.</w:t>
      </w:r>
    </w:p>
    <w:p>
      <w:pPr>
        <w:spacing w:after="0" w:line="58" w:lineRule="exact"/>
        <w:rPr>
          <w:sz w:val="20"/>
          <w:szCs w:val="20"/>
          <w:color w:val="auto"/>
        </w:rPr>
      </w:pPr>
    </w:p>
    <w:p>
      <w:pPr>
        <w:ind w:right="180" w:firstLine="567"/>
        <w:spacing w:after="0" w:line="296" w:lineRule="auto"/>
        <w:rPr>
          <w:sz w:val="20"/>
          <w:szCs w:val="20"/>
          <w:color w:val="auto"/>
        </w:rPr>
      </w:pPr>
      <w:r>
        <w:rPr>
          <w:rFonts w:ascii="Arial" w:cs="Arial" w:eastAsia="Arial" w:hAnsi="Arial"/>
          <w:sz w:val="16"/>
          <w:szCs w:val="16"/>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0" w:name="page61"/>
    <w:bookmarkEnd w:id="60"/>
    <w:p>
      <w:pPr>
        <w:spacing w:after="0" w:line="19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171" w:lineRule="exact"/>
        <w:rPr>
          <w:sz w:val="20"/>
          <w:szCs w:val="20"/>
          <w:color w:val="auto"/>
        </w:rPr>
      </w:pPr>
    </w:p>
    <w:p>
      <w:pPr>
        <w:ind w:firstLine="567"/>
        <w:spacing w:after="0" w:line="270"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285"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We may become involved in lawsuits to protect or enforce our intellectual property, which could be expensive, time-consuming and unsuccessful and have an adverse effect on the success of our business.</w:t>
      </w:r>
    </w:p>
    <w:p>
      <w:pPr>
        <w:spacing w:after="0" w:line="58" w:lineRule="exact"/>
        <w:rPr>
          <w:sz w:val="20"/>
          <w:szCs w:val="20"/>
          <w:color w:val="auto"/>
        </w:rPr>
      </w:pPr>
    </w:p>
    <w:p>
      <w:pPr>
        <w:ind w:firstLine="567"/>
        <w:spacing w:after="0" w:line="288" w:lineRule="auto"/>
        <w:rPr>
          <w:sz w:val="20"/>
          <w:szCs w:val="20"/>
          <w:color w:val="auto"/>
        </w:rPr>
      </w:pPr>
      <w:r>
        <w:rPr>
          <w:rFonts w:ascii="Arial" w:cs="Arial" w:eastAsia="Arial" w:hAnsi="Arial"/>
          <w:sz w:val="16"/>
          <w:szCs w:val="16"/>
          <w:color w:val="auto"/>
        </w:rPr>
        <w:t>Third parties may infringe our or our licensors’ or collaborators’ patents or misappropriate or otherwise violate our or our licensors’ or collaborators’ intellectual property rights. In the future, we or our licensors or collaborators may initiate legal proceedings to enforce or defend our or our licensors’ or collaborators’ intellectual property rights, to protect our or our licensors’ or collaborators’ trade secrets or to determine the validity or scope of intellectual property rights we own or control. Also, third parties may initiate legal proceedings against us or our licensors or collaborators to challenge the validity or scope of intellectual property rights we own or control. These proceedings can be expensive and time-consuming, and many of our or our licensors’ or collaborators’ adversaries in these proceedings may have the ability to dedicate substantially greater resources to prosecuting these legal actions than we or our licensors or collaborators. In addition, in an infringement proceeding, a court may decide that a patent owned by or licensed to us is invalid or unenforceable, or may refuse to stop the other party from using the technology at issue on the grounds that our or our licensors’ or collaborators’ patents do not cover the technology in question. Furthermore, an adverse result in any litigation or administrative proceeding could put one or more of our or our licensors’ or collaborators’ patents at risk of being invalidated, held unenforceable or interpreted narrowly.</w:t>
      </w:r>
    </w:p>
    <w:p>
      <w:pPr>
        <w:spacing w:after="0" w:line="168" w:lineRule="exact"/>
        <w:rPr>
          <w:sz w:val="20"/>
          <w:szCs w:val="20"/>
          <w:color w:val="auto"/>
        </w:rPr>
      </w:pPr>
    </w:p>
    <w:p>
      <w:pPr>
        <w:ind w:right="40" w:firstLine="567"/>
        <w:spacing w:after="0" w:line="259" w:lineRule="auto"/>
        <w:rPr>
          <w:sz w:val="20"/>
          <w:szCs w:val="20"/>
          <w:color w:val="auto"/>
        </w:rPr>
      </w:pPr>
      <w:r>
        <w:rPr>
          <w:rFonts w:ascii="Arial" w:cs="Arial" w:eastAsia="Arial" w:hAnsi="Arial"/>
          <w:sz w:val="18"/>
          <w:szCs w:val="18"/>
          <w:color w:val="auto"/>
        </w:rPr>
        <w:t>Accordingly, despite our or our licensors’ or collaborators’ efforts, we or our licensors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187" w:lineRule="exact"/>
        <w:rPr>
          <w:sz w:val="20"/>
          <w:szCs w:val="20"/>
          <w:color w:val="auto"/>
        </w:rPr>
      </w:pPr>
    </w:p>
    <w:p>
      <w:pPr>
        <w:ind w:right="20" w:firstLine="567"/>
        <w:spacing w:after="0" w:line="289" w:lineRule="auto"/>
        <w:rPr>
          <w:sz w:val="20"/>
          <w:szCs w:val="20"/>
          <w:color w:val="auto"/>
        </w:rPr>
      </w:pPr>
      <w:r>
        <w:rPr>
          <w:rFonts w:ascii="Arial" w:cs="Arial" w:eastAsia="Arial" w:hAnsi="Arial"/>
          <w:sz w:val="16"/>
          <w:szCs w:val="16"/>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Such proceedings may be provoked by third parties or by us or our licensors or collaborators to protect or enforce our or our licensors’ or collaborators’ patents or patent applications. Additionally, third-party preissuance submission of prior art to the USPTO or other foreign jurisdictions may jeopardize the issuance or scope of our or our licensors’ or collaborators’ patent applications. An unfavorable outcome in any such proceedings could require us or our licensors or collaborators to cease using the related technology, or to attempt to license rights to it from the prevailing party. Our business could be harmed if the prevailing party does not offer us or our licensors or collaborators a license on commercially reasonable terms or at all, and we could be forced to stop commercializing our product candidates. Even if we or our licensors or collaborators obtain a license, it may be non-exclusive, thereby giving our competitors access to the same technologies licensed to us or our licensors or collaborators.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1" w:name="page62"/>
    <w:bookmarkEnd w:id="61"/>
    <w:p>
      <w:pPr>
        <w:spacing w:after="0" w:line="306" w:lineRule="exact"/>
        <w:rPr>
          <w:sz w:val="20"/>
          <w:szCs w:val="20"/>
          <w:color w:val="auto"/>
        </w:rPr>
      </w:pPr>
    </w:p>
    <w:p>
      <w:pPr>
        <w:ind w:right="80" w:firstLine="567"/>
        <w:spacing w:after="0" w:line="279" w:lineRule="auto"/>
        <w:rPr>
          <w:sz w:val="20"/>
          <w:szCs w:val="20"/>
          <w:color w:val="auto"/>
        </w:rPr>
      </w:pPr>
      <w:r>
        <w:rPr>
          <w:rFonts w:ascii="Arial" w:cs="Arial" w:eastAsia="Arial" w:hAnsi="Arial"/>
          <w:sz w:val="17"/>
          <w:szCs w:val="17"/>
          <w:color w:val="auto"/>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71" w:lineRule="exact"/>
        <w:rPr>
          <w:sz w:val="20"/>
          <w:szCs w:val="20"/>
          <w:color w:val="auto"/>
        </w:rPr>
      </w:pPr>
    </w:p>
    <w:p>
      <w:pPr>
        <w:ind w:right="60" w:firstLine="567"/>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291" w:lineRule="exact"/>
        <w:rPr>
          <w:sz w:val="20"/>
          <w:szCs w:val="20"/>
          <w:color w:val="auto"/>
        </w:rPr>
      </w:pPr>
    </w:p>
    <w:p>
      <w:pPr>
        <w:ind w:right="1400"/>
        <w:spacing w:after="0" w:line="282" w:lineRule="auto"/>
        <w:rPr>
          <w:sz w:val="20"/>
          <w:szCs w:val="20"/>
          <w:color w:val="auto"/>
        </w:rPr>
      </w:pPr>
      <w:r>
        <w:rPr>
          <w:rFonts w:ascii="Arial" w:cs="Arial" w:eastAsia="Arial" w:hAnsi="Arial"/>
          <w:sz w:val="18"/>
          <w:szCs w:val="18"/>
          <w:b w:val="1"/>
          <w:bCs w:val="1"/>
          <w:color w:val="auto"/>
        </w:rPr>
        <w:t>If we breach the license agreements related to our product candidates, we could lose the ability to continue the development and commercialization of our product candidates.</w:t>
      </w:r>
    </w:p>
    <w:p>
      <w:pPr>
        <w:spacing w:after="0" w:line="58"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Our commercial success depends upon our ability, and the ability of our licensors and collaborators, to develop, manufacture, market and sell our product candidates and use our and our licensors’ or collaborators’ wholly-owned technologies without infringing the proprietary rights of third parties. A third party may hold intellectual property, including patent rights that are important or necessary to the development of our products. As a result, we are a party to a number of technology licenses that are important to our business and expect to enter into additional licenses in the future. For example, we have in-licensed the rights to certain intellectual property relating to SHM under our in-license agreement with the Medical Research Council, which is the subject of issued patents and pending patent applications in certain countries. If we fail to comply with the obligations under these agreements,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1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collaboration relationships we might enter into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660" w:right="62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collaborators;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700" w:firstLine="567"/>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274"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2" w:lineRule="exact"/>
        <w:rPr>
          <w:sz w:val="20"/>
          <w:szCs w:val="20"/>
          <w:color w:val="auto"/>
        </w:rPr>
      </w:pPr>
    </w:p>
    <w:p>
      <w:pPr>
        <w:ind w:right="240" w:firstLine="567"/>
        <w:spacing w:after="0" w:line="277" w:lineRule="auto"/>
        <w:rPr>
          <w:sz w:val="20"/>
          <w:szCs w:val="20"/>
          <w:color w:val="auto"/>
        </w:rPr>
      </w:pPr>
      <w:r>
        <w:rPr>
          <w:rFonts w:ascii="Arial" w:cs="Arial" w:eastAsia="Arial" w:hAnsi="Arial"/>
          <w:sz w:val="18"/>
          <w:szCs w:val="18"/>
          <w:color w:val="auto"/>
        </w:rPr>
        <w:t>Third parties may initiate legal proceedings against us or our licensors or collaborators alleging that we or our licensors or collaborators infringe their intellectual property rights, or we or our licensors or collaborators may initiate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2" w:name="page63"/>
    <w:bookmarkEnd w:id="62"/>
    <w:p>
      <w:pPr>
        <w:spacing w:after="0" w:line="198"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against third parties to challenge the validity or scope of intellectual property rights controlled by third parties, including in oppositions, interferences, reexaminations, post-grant reviews, inter partes reviews or derivation proceedings in the United States or other jurisdictions. These proceedings can be expensive and time-consuming, and many of our or our licensors’ or collaborators’ adversaries in these proceedings may have the ability to dedicate substantially greater resources to prosecuting these legal actions than we or our licensors or collaborators.</w:t>
      </w:r>
    </w:p>
    <w:p>
      <w:pPr>
        <w:spacing w:after="0" w:line="171" w:lineRule="exact"/>
        <w:rPr>
          <w:sz w:val="20"/>
          <w:szCs w:val="20"/>
          <w:color w:val="auto"/>
        </w:rPr>
      </w:pPr>
    </w:p>
    <w:p>
      <w:pPr>
        <w:ind w:right="200" w:firstLine="567"/>
        <w:spacing w:after="0" w:line="270"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285"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58"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92"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which license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protect our confidential information and trade secrets would harm our business and competitive position.</w:t>
      </w:r>
    </w:p>
    <w:p>
      <w:pPr>
        <w:spacing w:after="0" w:line="121" w:lineRule="exact"/>
        <w:rPr>
          <w:sz w:val="20"/>
          <w:szCs w:val="20"/>
          <w:color w:val="auto"/>
        </w:rPr>
      </w:pPr>
    </w:p>
    <w:p>
      <w:pPr>
        <w:ind w:right="60" w:firstLine="567"/>
        <w:spacing w:after="0" w:line="269" w:lineRule="auto"/>
        <w:rPr>
          <w:sz w:val="20"/>
          <w:szCs w:val="20"/>
          <w:color w:val="auto"/>
        </w:rPr>
      </w:pPr>
      <w:r>
        <w:rPr>
          <w:rFonts w:ascii="Arial" w:cs="Arial" w:eastAsia="Arial" w:hAnsi="Arial"/>
          <w:sz w:val="17"/>
          <w:szCs w:val="17"/>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200" w:lineRule="exact"/>
        <w:rPr>
          <w:sz w:val="20"/>
          <w:szCs w:val="20"/>
          <w:color w:val="auto"/>
        </w:rPr>
      </w:pPr>
    </w:p>
    <w:p>
      <w:pPr>
        <w:spacing w:after="0" w:line="21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If we do not obtain protection under the Hatch-Waxman Amendments and similar foreign legislation for extending the term of patents covering each of our product candidates, our business may be harmed.</w:t>
      </w:r>
    </w:p>
    <w:p>
      <w:pPr>
        <w:spacing w:after="0" w:line="58" w:lineRule="exact"/>
        <w:rPr>
          <w:sz w:val="20"/>
          <w:szCs w:val="20"/>
          <w:color w:val="auto"/>
        </w:rPr>
      </w:pPr>
    </w:p>
    <w:p>
      <w:pPr>
        <w:ind w:right="20" w:firstLine="567"/>
        <w:spacing w:after="0" w:line="290" w:lineRule="auto"/>
        <w:rPr>
          <w:sz w:val="20"/>
          <w:szCs w:val="20"/>
          <w:color w:val="auto"/>
        </w:rPr>
      </w:pPr>
      <w:r>
        <w:rPr>
          <w:rFonts w:ascii="Arial" w:cs="Arial" w:eastAsia="Arial" w:hAnsi="Arial"/>
          <w:sz w:val="16"/>
          <w:szCs w:val="16"/>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stock has been and may continue to be volatile, and you could lose all or part of your investment.</w:t>
      </w:r>
    </w:p>
    <w:p>
      <w:pPr>
        <w:spacing w:after="0" w:line="121" w:lineRule="exact"/>
        <w:rPr>
          <w:sz w:val="20"/>
          <w:szCs w:val="20"/>
          <w:color w:val="auto"/>
        </w:rPr>
      </w:pPr>
    </w:p>
    <w:p>
      <w:pPr>
        <w:ind w:right="280" w:firstLine="567"/>
        <w:spacing w:after="0" w:line="308" w:lineRule="auto"/>
        <w:rPr>
          <w:sz w:val="20"/>
          <w:szCs w:val="20"/>
          <w:color w:val="auto"/>
        </w:rPr>
      </w:pPr>
      <w:r>
        <w:rPr>
          <w:rFonts w:ascii="Arial" w:cs="Arial" w:eastAsia="Arial" w:hAnsi="Arial"/>
          <w:sz w:val="17"/>
          <w:szCs w:val="17"/>
          <w:color w:val="auto"/>
        </w:rPr>
        <w:t>The trading price of our common stock may be highly volatile and subject to wide fluctuations in response to various factors, some of which we cannot control. In addition to the factors discussed in this “Risk Factors” section and elsewhere in this report, these factors include:</w:t>
      </w:r>
    </w:p>
    <w:p>
      <w:pPr>
        <w:spacing w:after="0" w:line="38"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 of competitive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collaborations, joint ventures, collaborations or capital commitments;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of our product candidates or those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with respect to our existing collaboration agreements and announcements of new collaboration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disputes, breaches and terminations of our manufacturing agreements, collaborations agreements or other important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198"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conditions in the biotechnology sector;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ind w:firstLine="567"/>
        <w:spacing w:after="0" w:line="238" w:lineRule="auto"/>
        <w:rPr>
          <w:sz w:val="20"/>
          <w:szCs w:val="20"/>
          <w:color w:val="auto"/>
        </w:rPr>
      </w:pPr>
      <w:r>
        <w:rPr>
          <w:rFonts w:ascii="Arial" w:cs="Arial" w:eastAsia="Arial" w:hAnsi="Arial"/>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following periods of volatility in the overall market and the market price of a particular company’s securities, securities class action litigation has often been instituted against these companies. We are currently subject to securities litigation, which is described in Item 1, “Legal Proceedings.” This or any future securities litigation could result in substantial costs and a diversion of our management’s attention and resources. The realization of any of the above risks or any of a broad range of other risks, including those described in this “Risk Factors” section, could have a dramatic and adverse impact on the market price of our common stock.</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broad discretion in the use of the net proceeds from our public offerings and may not use them effectively.</w:t>
      </w:r>
    </w:p>
    <w:p>
      <w:pPr>
        <w:spacing w:after="0" w:line="121" w:lineRule="exact"/>
        <w:rPr>
          <w:sz w:val="20"/>
          <w:szCs w:val="20"/>
          <w:color w:val="auto"/>
        </w:rPr>
      </w:pPr>
    </w:p>
    <w:p>
      <w:pPr>
        <w:ind w:right="180" w:firstLine="567"/>
        <w:spacing w:after="0" w:line="279" w:lineRule="auto"/>
        <w:rPr>
          <w:sz w:val="20"/>
          <w:szCs w:val="20"/>
          <w:color w:val="auto"/>
        </w:rPr>
      </w:pPr>
      <w:r>
        <w:rPr>
          <w:rFonts w:ascii="Arial" w:cs="Arial" w:eastAsia="Arial" w:hAnsi="Arial"/>
          <w:sz w:val="17"/>
          <w:szCs w:val="17"/>
          <w:color w:val="auto"/>
        </w:rPr>
        <w:t>Our management has broad discretion in the application of the net proceeds from our public offerings, and you will be relying on the judgment of our management regarding the application of these proceeds. Our management might not apply the net proceeds from our public offerings in ways that ultimately increase the value of your investment. If we do not invest or apply the net proceeds from our public offerings in ways that enhance stockholder value, we may fail to achieve expected financial results, which could cause our stock price to decline.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securities litigation, which is expensive and could divert management attention.</w:t>
      </w:r>
    </w:p>
    <w:p>
      <w:pPr>
        <w:spacing w:after="0" w:line="121" w:lineRule="exact"/>
        <w:rPr>
          <w:sz w:val="20"/>
          <w:szCs w:val="20"/>
          <w:color w:val="auto"/>
        </w:rPr>
      </w:pPr>
    </w:p>
    <w:p>
      <w:pPr>
        <w:ind w:right="20" w:firstLine="567"/>
        <w:spacing w:after="0" w:line="262" w:lineRule="auto"/>
        <w:rPr>
          <w:sz w:val="20"/>
          <w:szCs w:val="20"/>
          <w:color w:val="auto"/>
        </w:rPr>
      </w:pPr>
      <w:r>
        <w:rPr>
          <w:rFonts w:ascii="Arial" w:cs="Arial" w:eastAsia="Arial" w:hAnsi="Arial"/>
          <w:sz w:val="17"/>
          <w:szCs w:val="17"/>
          <w:color w:val="auto"/>
        </w:rPr>
        <w:t>The market price of our common stock is volatile and, in the past, companies that have experienced volatility in the market price of their stock have been subject to securities class action litigation. We have been, and may in the future be, the target of this type of litigation. We are currently subject to securities litigation, which is described in Item 1, “Legal Proceedings.” Regardless of the outcome, these matters or future litigation against us could result in substantial costs and divert our management’s attention from other business concerns, which could seriously harm our business.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incur increased costs and devote substantial management time as a result of operating as a public company.</w:t>
      </w:r>
    </w:p>
    <w:p>
      <w:pPr>
        <w:spacing w:after="0" w:line="121" w:lineRule="exact"/>
        <w:rPr>
          <w:sz w:val="20"/>
          <w:szCs w:val="20"/>
          <w:color w:val="auto"/>
        </w:rPr>
      </w:pPr>
    </w:p>
    <w:p>
      <w:pPr>
        <w:ind w:right="20" w:firstLine="567"/>
        <w:spacing w:after="0" w:line="270" w:lineRule="auto"/>
        <w:rPr>
          <w:sz w:val="20"/>
          <w:szCs w:val="20"/>
          <w:color w:val="auto"/>
        </w:rPr>
      </w:pPr>
      <w:r>
        <w:rPr>
          <w:rFonts w:ascii="Arial" w:cs="Arial" w:eastAsia="Arial" w:hAnsi="Arial"/>
          <w:sz w:val="17"/>
          <w:szCs w:val="17"/>
          <w:color w:val="auto"/>
        </w:rPr>
        <w:t>As a public company, we incur significant legal, accounting and other expenses that we did not incur as a private company, and these expenses have increased and will continue to increase. 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Moreover, these rules and regulations substantially increase our legal and financial compliance costs and make some activities more time-consuming and costly. The increased costs increase our net loss.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and future requirements. The impact of these requirements could also make it more difficult for us to attract and retain qualified persons to serve on our board of directors, our board committees or as executive officers.</w:t>
      </w:r>
    </w:p>
    <w:p>
      <w:pPr>
        <w:spacing w:after="0" w:line="181"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In addition,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may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Irrespective of compliance with Section 404, any failure of our internal control over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30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reporting could have a material adverse effect on our reported operating results and harm our reputation. Internal control deficiencies could also result in a restatement of our financial results.</w:t>
      </w:r>
    </w:p>
    <w:p>
      <w:pPr>
        <w:spacing w:after="0" w:line="274" w:lineRule="exact"/>
        <w:rPr>
          <w:sz w:val="20"/>
          <w:szCs w:val="20"/>
          <w:color w:val="auto"/>
        </w:rPr>
      </w:pPr>
    </w:p>
    <w:p>
      <w:pPr>
        <w:ind w:right="420"/>
        <w:spacing w:after="0" w:line="312" w:lineRule="auto"/>
        <w:rPr>
          <w:sz w:val="20"/>
          <w:szCs w:val="20"/>
          <w:color w:val="auto"/>
        </w:rPr>
      </w:pPr>
      <w:r>
        <w:rPr>
          <w:rFonts w:ascii="Arial" w:cs="Arial" w:eastAsia="Arial" w:hAnsi="Arial"/>
          <w:sz w:val="17"/>
          <w:szCs w:val="17"/>
          <w:b w:val="1"/>
          <w:b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36" w:lineRule="exact"/>
        <w:rPr>
          <w:sz w:val="20"/>
          <w:szCs w:val="20"/>
          <w:color w:val="auto"/>
        </w:rPr>
      </w:pPr>
    </w:p>
    <w:p>
      <w:pPr>
        <w:ind w:firstLine="567"/>
        <w:spacing w:after="0" w:line="290" w:lineRule="auto"/>
        <w:rPr>
          <w:sz w:val="20"/>
          <w:szCs w:val="20"/>
          <w:color w:val="auto"/>
        </w:rPr>
      </w:pPr>
      <w:r>
        <w:rPr>
          <w:rFonts w:ascii="Arial" w:cs="Arial" w:eastAsia="Arial" w:hAnsi="Arial"/>
          <w:sz w:val="16"/>
          <w:szCs w:val="16"/>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We also have registered all shares of common stock that we may issue under our equity incentive plans or that are issuable upon exercise of outstanding options.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Such sales may also result in material dilution to our existing stockholders, and new investors could gain rights, preferences and privileges senior to the holders of our common stock.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disclosure controls and procedures may not prevent or detect all errors or acts of fraud.</w:t>
      </w:r>
    </w:p>
    <w:p>
      <w:pPr>
        <w:spacing w:after="0" w:line="121" w:lineRule="exact"/>
        <w:rPr>
          <w:sz w:val="20"/>
          <w:szCs w:val="20"/>
          <w:color w:val="auto"/>
        </w:rPr>
      </w:pPr>
    </w:p>
    <w:p>
      <w:pPr>
        <w:ind w:right="80" w:firstLine="567"/>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8"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 so any returns will be limited to the value of our stock.</w:t>
      </w:r>
    </w:p>
    <w:p>
      <w:pPr>
        <w:spacing w:after="0" w:line="121" w:lineRule="exact"/>
        <w:rPr>
          <w:sz w:val="20"/>
          <w:szCs w:val="20"/>
          <w:color w:val="auto"/>
        </w:rPr>
      </w:pPr>
    </w:p>
    <w:p>
      <w:pPr>
        <w:ind w:right="140" w:firstLine="567"/>
        <w:spacing w:after="0" w:line="263"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88" w:lineRule="exact"/>
        <w:rPr>
          <w:sz w:val="20"/>
          <w:szCs w:val="20"/>
          <w:color w:val="auto"/>
        </w:rPr>
      </w:pPr>
    </w:p>
    <w:p>
      <w:pPr>
        <w:ind w:right="480"/>
        <w:spacing w:after="0" w:line="312" w:lineRule="auto"/>
        <w:rPr>
          <w:sz w:val="20"/>
          <w:szCs w:val="20"/>
          <w:color w:val="auto"/>
        </w:rPr>
      </w:pPr>
      <w:r>
        <w:rPr>
          <w:rFonts w:ascii="Arial" w:cs="Arial" w:eastAsia="Arial" w:hAnsi="Arial"/>
          <w:sz w:val="17"/>
          <w:szCs w:val="17"/>
          <w:b w:val="1"/>
          <w:b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36" w:lineRule="exact"/>
        <w:rPr>
          <w:sz w:val="20"/>
          <w:szCs w:val="20"/>
          <w:color w:val="auto"/>
        </w:rPr>
      </w:pPr>
    </w:p>
    <w:p>
      <w:pPr>
        <w:ind w:right="80" w:firstLine="567"/>
        <w:spacing w:after="0" w:line="263" w:lineRule="auto"/>
        <w:rPr>
          <w:sz w:val="20"/>
          <w:szCs w:val="20"/>
          <w:color w:val="auto"/>
        </w:rPr>
      </w:pPr>
      <w:r>
        <w:rPr>
          <w:rFonts w:ascii="Arial" w:cs="Arial" w:eastAsia="Arial" w:hAnsi="Arial"/>
          <w:sz w:val="18"/>
          <w:szCs w:val="18"/>
          <w:color w:val="auto"/>
        </w:rPr>
        <w:t>Our restated certificate of incorporation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7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6" w:name="page67"/>
    <w:bookmarkEnd w:id="66"/>
    <w:p>
      <w:pPr>
        <w:spacing w:after="0" w:line="198" w:lineRule="exact"/>
        <w:rPr>
          <w:sz w:val="20"/>
          <w:szCs w:val="20"/>
          <w:color w:val="auto"/>
        </w:rPr>
      </w:pPr>
    </w:p>
    <w:p>
      <w:pPr>
        <w:ind w:left="660" w:right="14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17"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70" w:lineRule="exact"/>
        <w:rPr>
          <w:sz w:val="20"/>
          <w:szCs w:val="20"/>
          <w:color w:val="auto"/>
        </w:rPr>
      </w:pPr>
    </w:p>
    <w:p>
      <w:pPr>
        <w:jc w:val="both"/>
        <w:ind w:right="160" w:firstLine="567"/>
        <w:spacing w:after="0" w:line="342" w:lineRule="auto"/>
        <w:rPr>
          <w:sz w:val="20"/>
          <w:szCs w:val="20"/>
          <w:color w:val="auto"/>
        </w:rPr>
      </w:pPr>
      <w:r>
        <w:rPr>
          <w:rFonts w:ascii="Arial" w:cs="Arial" w:eastAsia="Arial" w:hAnsi="Arial"/>
          <w:sz w:val="16"/>
          <w:szCs w:val="16"/>
          <w:color w:val="auto"/>
        </w:rPr>
        <w:t>In addition,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spacing w:after="0" w:line="22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58"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trial results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9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We plan to use potential future operating losses and our federal and state net operating loss (“NOL”) carryforwards to offset taxable income from revenue generated from operations or corporate collaborations. However, our ability to use NOL carryforwards could be limited as a result of additional issuances of equity securities.</w:t>
      </w:r>
    </w:p>
    <w:p>
      <w:pPr>
        <w:spacing w:after="0" w:line="72" w:lineRule="exact"/>
        <w:rPr>
          <w:sz w:val="20"/>
          <w:szCs w:val="20"/>
          <w:color w:val="auto"/>
        </w:rPr>
      </w:pPr>
    </w:p>
    <w:p>
      <w:pPr>
        <w:ind w:right="60" w:firstLine="567"/>
        <w:spacing w:after="0" w:line="287" w:lineRule="auto"/>
        <w:rPr>
          <w:sz w:val="20"/>
          <w:szCs w:val="20"/>
          <w:color w:val="auto"/>
        </w:rPr>
      </w:pPr>
      <w:r>
        <w:rPr>
          <w:rFonts w:ascii="Arial" w:cs="Arial" w:eastAsia="Arial" w:hAnsi="Arial"/>
          <w:sz w:val="16"/>
          <w:szCs w:val="16"/>
          <w:color w:val="auto"/>
        </w:rPr>
        <w:t>We plan to use our current year operating losses to offset taxable income from any revenue generated from operations or corporate collaborations. To the extent we have taxable income, we plan to use our NOL carryforwards to offset income that would otherwise be taxable. However, under the Tax Reform Act of 1986, the benefits from the use of our NOL carryforwards may be impaired or limited under Section 382 of the Internal Revenue Code of 1984, as amended (the “Code”), if we incur a cumulative ownership change of more than 50%, as interpreted by the U.S. Internal Revenue Service, over a three-year period. In September 2015, we completed a Section 382 and 383 ownership change analysis through December 31, 2014 and determined that there was an ownership change in 2007 that may limit the utilization of approximately $5.3 million and $5.4 million in federal and state NOLs, respectively, and $0.2 million in both federal and state research tax credits. We extended the analysis period of the study through December 31, 2018, noting an additional ownership change during fiscal 2017 that may limit the utilization of federal and state NOLs. Our use of federal NOL carryforwards could be limited further by the provisions of Section 382 of the Code depending upon the timing and amount of additional equity securities that we have issued or will issue.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64" w:lineRule="exact"/>
        <w:rPr>
          <w:sz w:val="20"/>
          <w:szCs w:val="20"/>
          <w:color w:val="auto"/>
        </w:rPr>
      </w:pPr>
    </w:p>
    <w:p>
      <w:pPr>
        <w:ind w:right="60" w:firstLine="567"/>
        <w:spacing w:after="0" w:line="253" w:lineRule="auto"/>
        <w:rPr>
          <w:sz w:val="20"/>
          <w:szCs w:val="20"/>
          <w:color w:val="auto"/>
        </w:rPr>
      </w:pPr>
      <w:r>
        <w:rPr>
          <w:rFonts w:ascii="Arial" w:cs="Arial" w:eastAsia="Arial" w:hAnsi="Arial"/>
          <w:sz w:val="18"/>
          <w:szCs w:val="18"/>
          <w:color w:val="auto"/>
        </w:rPr>
        <w:t>On December 22, 2017, the President of the United States signed into law the Tax Reform Act. The legislation significantly changes U.S. tax law by, among other things, lowering the corporate income tax rates. The Tax Reform Act permanently reduces the U.S. corporate income tax rate from a maximum of 35% to a flat 21% rate, effective January 1, 2018. Additionally, the Tax Reform Act will no longer allow deductions for compensation in excess of $1 million for certain employees, even if paid as commissions or performance-based compensation. We may be subject to these limitations as provided for under Section 162(m) of the Internal Revenue Code in the future. The Tax Reform Act also limits the amount taxpayers are able to deduct for federal NOL carryforwards generated in taxable years beginning after December 31, 2017 to 80% of the taxpayer’s taxable income. The law also generally repeals all carrybacks. However, any NOLs generated in taxable years after December 31, 2017 can be carried forward indefinitely. Losses arising in taxable years beginning before December 31, 2017 may still be carried back two years and are subject to their current expiration period. As of December 31, 2019,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7" w:name="page68"/>
    <w:bookmarkEnd w:id="67"/>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have federal NOLs of approximately $239.4 million, which expire beginning December 31, 2028 through December 31, 2037, if not used to reduce income taxes payable in the future. The federal net operating loss carryover includes $95.5 million of net operating losses generated in 2019. Federal net operating losses generated in 2019 carryover indefinitely and may generally be used to offset up to 80% of future taxable income in the year it is utilized.</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8" w:name="page69"/>
    <w:bookmarkEnd w:id="68"/>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exhibits filed or furnished as part of this Quarterly Report on Form 10-Q are set forth on the Exhibit Index, below.</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10200" w:type="dxa"/>
            <w:vAlign w:val="bottom"/>
          </w:tcPr>
          <w:p>
            <w:pPr>
              <w:ind w:left="39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32"/>
        </w:trPr>
        <w:tc>
          <w:tcPr>
            <w:tcW w:w="980" w:type="dxa"/>
            <w:vAlign w:val="bottom"/>
          </w:tcPr>
          <w:p>
            <w:pPr>
              <w:ind w:left="240"/>
              <w:spacing w:after="0"/>
              <w:rPr>
                <w:sz w:val="20"/>
                <w:szCs w:val="20"/>
                <w:color w:val="auto"/>
              </w:rPr>
            </w:pPr>
            <w:r>
              <w:rPr>
                <w:rFonts w:ascii="Arial" w:cs="Arial" w:eastAsia="Arial" w:hAnsi="Arial"/>
                <w:sz w:val="16"/>
                <w:szCs w:val="16"/>
                <w:b w:val="1"/>
                <w:bCs w:val="1"/>
                <w:color w:val="auto"/>
              </w:rPr>
              <w:t>Exhibit</w:t>
            </w:r>
          </w:p>
        </w:tc>
        <w:tc>
          <w:tcPr>
            <w:tcW w:w="10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220"/>
              <w:spacing w:after="0"/>
              <w:rPr>
                <w:sz w:val="20"/>
                <w:szCs w:val="20"/>
                <w:color w:val="auto"/>
              </w:rPr>
            </w:pPr>
            <w:r>
              <w:rPr>
                <w:rFonts w:ascii="Arial" w:cs="Arial" w:eastAsia="Arial" w:hAnsi="Arial"/>
                <w:sz w:val="16"/>
                <w:szCs w:val="16"/>
                <w:b w:val="1"/>
                <w:bCs w:val="1"/>
                <w:color w:val="auto"/>
              </w:rPr>
              <w:t>Number</w:t>
            </w:r>
          </w:p>
        </w:tc>
        <w:tc>
          <w:tcPr>
            <w:tcW w:w="10200" w:type="dxa"/>
            <w:vAlign w:val="bottom"/>
          </w:tcPr>
          <w:p>
            <w:pPr>
              <w:ind w:left="4540"/>
              <w:spacing w:after="0"/>
              <w:rPr>
                <w:sz w:val="20"/>
                <w:szCs w:val="20"/>
                <w:color w:val="auto"/>
              </w:rPr>
            </w:pPr>
            <w:r>
              <w:rPr>
                <w:rFonts w:ascii="Arial" w:cs="Arial" w:eastAsia="Arial" w:hAnsi="Arial"/>
                <w:sz w:val="16"/>
                <w:szCs w:val="16"/>
                <w:b w:val="1"/>
                <w:bCs w:val="1"/>
                <w:color w:val="auto"/>
              </w:rPr>
              <w:t>Exhibit Description</w:t>
            </w:r>
          </w:p>
        </w:tc>
        <w:tc>
          <w:tcPr>
            <w:tcW w:w="0" w:type="dxa"/>
            <w:vAlign w:val="bottom"/>
          </w:tcPr>
          <w:p>
            <w:pPr>
              <w:spacing w:after="0"/>
              <w:rPr>
                <w:sz w:val="1"/>
                <w:szCs w:val="1"/>
                <w:color w:val="auto"/>
              </w:rPr>
            </w:pPr>
          </w:p>
        </w:tc>
      </w:tr>
      <w:tr>
        <w:trPr>
          <w:trHeight w:val="351"/>
        </w:trPr>
        <w:tc>
          <w:tcPr>
            <w:tcW w:w="980" w:type="dxa"/>
            <w:vAlign w:val="bottom"/>
          </w:tcPr>
          <w:p>
            <w:pPr>
              <w:spacing w:after="0"/>
              <w:rPr>
                <w:sz w:val="20"/>
                <w:szCs w:val="20"/>
                <w:color w:val="auto"/>
              </w:rPr>
            </w:pPr>
            <w:r>
              <w:rPr>
                <w:rFonts w:ascii="Arial" w:cs="Arial" w:eastAsia="Arial" w:hAnsi="Arial"/>
                <w:sz w:val="16"/>
                <w:szCs w:val="16"/>
                <w:color w:val="auto"/>
              </w:rPr>
              <w:t>31.1</w:t>
            </w:r>
          </w:p>
        </w:tc>
        <w:tc>
          <w:tcPr>
            <w:tcW w:w="10200" w:type="dxa"/>
            <w:vAlign w:val="bottom"/>
          </w:tcPr>
          <w:p>
            <w:pPr>
              <w:ind w:left="200"/>
              <w:spacing w:after="0"/>
              <w:rPr>
                <w:rFonts w:ascii="Arial" w:cs="Arial" w:eastAsia="Arial" w:hAnsi="Arial"/>
                <w:sz w:val="16"/>
                <w:szCs w:val="16"/>
                <w:u w:val="single" w:color="auto"/>
                <w:color w:val="0000FF"/>
                <w:w w:val="92"/>
              </w:rPr>
            </w:pPr>
            <w:hyperlink w:anchor="page71">
              <w:r>
                <w:rPr>
                  <w:rFonts w:ascii="Arial" w:cs="Arial" w:eastAsia="Arial" w:hAnsi="Arial"/>
                  <w:sz w:val="16"/>
                  <w:szCs w:val="16"/>
                  <w:u w:val="single" w:color="auto"/>
                  <w:color w:val="0000FF"/>
                  <w:w w:val="92"/>
                </w:rPr>
                <w:t>Certification of Principal Executive Officer, pursuant to Rule 13a-14(a)/15d-14(a), as adopted pursuant to Section 302 of the Sarbanes-Oxley Act of 2002.</w:t>
              </w:r>
            </w:hyperlink>
          </w:p>
        </w:tc>
        <w:tc>
          <w:tcPr>
            <w:tcW w:w="0" w:type="dxa"/>
            <w:vAlign w:val="bottom"/>
          </w:tcPr>
          <w:p>
            <w:pPr>
              <w:spacing w:after="0"/>
              <w:rPr>
                <w:sz w:val="1"/>
                <w:szCs w:val="1"/>
                <w:color w:val="auto"/>
              </w:rPr>
            </w:pPr>
          </w:p>
        </w:tc>
      </w:tr>
      <w:tr>
        <w:trPr>
          <w:trHeight w:val="310"/>
        </w:trPr>
        <w:tc>
          <w:tcPr>
            <w:tcW w:w="980" w:type="dxa"/>
            <w:vAlign w:val="bottom"/>
          </w:tcPr>
          <w:p>
            <w:pPr>
              <w:spacing w:after="0"/>
              <w:rPr>
                <w:sz w:val="20"/>
                <w:szCs w:val="20"/>
                <w:color w:val="auto"/>
              </w:rPr>
            </w:pPr>
            <w:r>
              <w:rPr>
                <w:rFonts w:ascii="Arial" w:cs="Arial" w:eastAsia="Arial" w:hAnsi="Arial"/>
                <w:sz w:val="16"/>
                <w:szCs w:val="16"/>
                <w:color w:val="auto"/>
              </w:rPr>
              <w:t>31.2</w:t>
            </w:r>
          </w:p>
        </w:tc>
        <w:tc>
          <w:tcPr>
            <w:tcW w:w="10200" w:type="dxa"/>
            <w:vAlign w:val="bottom"/>
          </w:tcPr>
          <w:p>
            <w:pPr>
              <w:ind w:left="200"/>
              <w:spacing w:after="0"/>
              <w:rPr>
                <w:rFonts w:ascii="Arial" w:cs="Arial" w:eastAsia="Arial" w:hAnsi="Arial"/>
                <w:sz w:val="16"/>
                <w:szCs w:val="16"/>
                <w:u w:val="single" w:color="auto"/>
                <w:color w:val="0000FF"/>
                <w:w w:val="92"/>
              </w:rPr>
            </w:pPr>
            <w:hyperlink w:anchor="page72">
              <w:r>
                <w:rPr>
                  <w:rFonts w:ascii="Arial" w:cs="Arial" w:eastAsia="Arial" w:hAnsi="Arial"/>
                  <w:sz w:val="16"/>
                  <w:szCs w:val="16"/>
                  <w:u w:val="single" w:color="auto"/>
                  <w:color w:val="0000FF"/>
                  <w:w w:val="92"/>
                </w:rPr>
                <w:t>Certification of Principal Financial Officer, pursuant to Rule 13a-14(a)/15d-14(a), as adopted pursuant to Section 302 of the Sarbanes-Oxley Act of 2002.</w:t>
              </w:r>
            </w:hyperlink>
          </w:p>
        </w:tc>
        <w:tc>
          <w:tcPr>
            <w:tcW w:w="0" w:type="dxa"/>
            <w:vAlign w:val="bottom"/>
          </w:tcPr>
          <w:p>
            <w:pPr>
              <w:spacing w:after="0"/>
              <w:rPr>
                <w:sz w:val="1"/>
                <w:szCs w:val="1"/>
                <w:color w:val="auto"/>
              </w:rPr>
            </w:pPr>
          </w:p>
        </w:tc>
      </w:tr>
      <w:tr>
        <w:trPr>
          <w:trHeight w:val="270"/>
        </w:trPr>
        <w:tc>
          <w:tcPr>
            <w:tcW w:w="980" w:type="dxa"/>
            <w:vAlign w:val="bottom"/>
          </w:tcPr>
          <w:p>
            <w:pPr>
              <w:spacing w:after="0"/>
              <w:rPr>
                <w:sz w:val="20"/>
                <w:szCs w:val="20"/>
                <w:color w:val="auto"/>
              </w:rPr>
            </w:pPr>
            <w:r>
              <w:rPr>
                <w:rFonts w:ascii="Arial" w:cs="Arial" w:eastAsia="Arial" w:hAnsi="Arial"/>
                <w:sz w:val="16"/>
                <w:szCs w:val="16"/>
                <w:color w:val="auto"/>
              </w:rPr>
              <w:t>32.1*</w:t>
            </w:r>
          </w:p>
        </w:tc>
        <w:tc>
          <w:tcPr>
            <w:tcW w:w="10200" w:type="dxa"/>
            <w:vAlign w:val="bottom"/>
          </w:tcPr>
          <w:p>
            <w:pPr>
              <w:ind w:left="200"/>
              <w:spacing w:after="0"/>
              <w:rPr>
                <w:rFonts w:ascii="Arial" w:cs="Arial" w:eastAsia="Arial" w:hAnsi="Arial"/>
                <w:sz w:val="16"/>
                <w:szCs w:val="16"/>
                <w:u w:val="single" w:color="auto"/>
                <w:color w:val="0000FF"/>
                <w:w w:val="95"/>
              </w:rPr>
            </w:pPr>
            <w:hyperlink w:anchor="page73">
              <w:r>
                <w:rPr>
                  <w:rFonts w:ascii="Arial" w:cs="Arial" w:eastAsia="Arial" w:hAnsi="Arial"/>
                  <w:sz w:val="16"/>
                  <w:szCs w:val="16"/>
                  <w:u w:val="single" w:color="auto"/>
                  <w:color w:val="0000FF"/>
                  <w:w w:val="95"/>
                </w:rPr>
                <w:t>Certification of Chief Executive Officer,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311"/>
        </w:trPr>
        <w:tc>
          <w:tcPr>
            <w:tcW w:w="980" w:type="dxa"/>
            <w:vAlign w:val="bottom"/>
          </w:tcPr>
          <w:p>
            <w:pPr>
              <w:spacing w:after="0"/>
              <w:rPr>
                <w:sz w:val="20"/>
                <w:szCs w:val="20"/>
                <w:color w:val="auto"/>
              </w:rPr>
            </w:pPr>
            <w:r>
              <w:rPr>
                <w:rFonts w:ascii="Arial" w:cs="Arial" w:eastAsia="Arial" w:hAnsi="Arial"/>
                <w:sz w:val="16"/>
                <w:szCs w:val="16"/>
                <w:color w:val="auto"/>
              </w:rPr>
              <w:t>32.2*</w:t>
            </w:r>
          </w:p>
        </w:tc>
        <w:tc>
          <w:tcPr>
            <w:tcW w:w="10200" w:type="dxa"/>
            <w:vAlign w:val="bottom"/>
          </w:tcPr>
          <w:p>
            <w:pPr>
              <w:ind w:left="200"/>
              <w:spacing w:after="0"/>
              <w:rPr>
                <w:rFonts w:ascii="Arial" w:cs="Arial" w:eastAsia="Arial" w:hAnsi="Arial"/>
                <w:sz w:val="16"/>
                <w:szCs w:val="16"/>
                <w:color w:val="0000FF"/>
                <w:w w:val="95"/>
              </w:rPr>
            </w:pPr>
            <w:hyperlink w:anchor="page74">
              <w:r>
                <w:rPr>
                  <w:rFonts w:ascii="Arial" w:cs="Arial" w:eastAsia="Arial" w:hAnsi="Arial"/>
                  <w:sz w:val="16"/>
                  <w:szCs w:val="16"/>
                  <w:u w:val="single" w:color="auto"/>
                  <w:color w:val="0000FF"/>
                  <w:w w:val="95"/>
                </w:rPr>
                <w:t>Certification of Chief Financial Officer, pursuant to 18 U.S.C. Section 1350, as adopted pursuant to Section 906 of the Sarbanes-Oxley Act of 2002</w:t>
              </w:r>
              <w:r>
                <w:rPr>
                  <w:rFonts w:ascii="Arial" w:cs="Arial" w:eastAsia="Arial" w:hAnsi="Arial"/>
                  <w:sz w:val="16"/>
                  <w:szCs w:val="16"/>
                  <w:color w:val="0000FF"/>
                  <w:w w:val="95"/>
                </w:rPr>
                <w:t>.</w:t>
              </w:r>
            </w:hyperlink>
          </w:p>
        </w:tc>
        <w:tc>
          <w:tcPr>
            <w:tcW w:w="0" w:type="dxa"/>
            <w:vAlign w:val="bottom"/>
          </w:tcPr>
          <w:p>
            <w:pPr>
              <w:spacing w:after="0"/>
              <w:rPr>
                <w:sz w:val="1"/>
                <w:szCs w:val="1"/>
                <w:color w:val="auto"/>
              </w:rPr>
            </w:pPr>
          </w:p>
        </w:tc>
      </w:tr>
      <w:tr>
        <w:trPr>
          <w:trHeight w:val="324"/>
        </w:trPr>
        <w:tc>
          <w:tcPr>
            <w:tcW w:w="980" w:type="dxa"/>
            <w:vAlign w:val="bottom"/>
            <w:vMerge w:val="restart"/>
          </w:tcPr>
          <w:p>
            <w:pPr>
              <w:spacing w:after="0"/>
              <w:rPr>
                <w:sz w:val="20"/>
                <w:szCs w:val="20"/>
                <w:color w:val="auto"/>
              </w:rPr>
            </w:pPr>
            <w:r>
              <w:rPr>
                <w:rFonts w:ascii="Arial" w:cs="Arial" w:eastAsia="Arial" w:hAnsi="Arial"/>
                <w:sz w:val="16"/>
                <w:szCs w:val="16"/>
                <w:color w:val="auto"/>
              </w:rPr>
              <w:t>101.INS</w:t>
            </w:r>
          </w:p>
        </w:tc>
        <w:tc>
          <w:tcPr>
            <w:tcW w:w="10200" w:type="dxa"/>
            <w:vAlign w:val="bottom"/>
          </w:tcPr>
          <w:p>
            <w:pPr>
              <w:ind w:left="200"/>
              <w:spacing w:after="0"/>
              <w:rPr>
                <w:sz w:val="20"/>
                <w:szCs w:val="20"/>
                <w:color w:val="auto"/>
              </w:rPr>
            </w:pPr>
            <w:r>
              <w:rPr>
                <w:rFonts w:ascii="Arial" w:cs="Arial" w:eastAsia="Arial" w:hAnsi="Arial"/>
                <w:sz w:val="16"/>
                <w:szCs w:val="16"/>
                <w:color w:val="auto"/>
                <w:w w:val="95"/>
              </w:rPr>
              <w:t>Inline XBRL Report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54"/>
        </w:trPr>
        <w:tc>
          <w:tcPr>
            <w:tcW w:w="980" w:type="dxa"/>
            <w:vAlign w:val="bottom"/>
            <w:vMerge w:val="continue"/>
          </w:tcPr>
          <w:p>
            <w:pPr>
              <w:spacing w:after="0"/>
              <w:rPr>
                <w:sz w:val="4"/>
                <w:szCs w:val="4"/>
                <w:color w:val="auto"/>
              </w:rPr>
            </w:pPr>
          </w:p>
        </w:tc>
        <w:tc>
          <w:tcPr>
            <w:tcW w:w="10200" w:type="dxa"/>
            <w:vAlign w:val="bottom"/>
            <w:vMerge w:val="restart"/>
          </w:tcPr>
          <w:p>
            <w:pPr>
              <w:ind w:left="200"/>
              <w:spacing w:after="0"/>
              <w:rPr>
                <w:sz w:val="20"/>
                <w:szCs w:val="20"/>
                <w:color w:val="auto"/>
              </w:rPr>
            </w:pPr>
            <w:r>
              <w:rPr>
                <w:rFonts w:ascii="Arial" w:cs="Arial" w:eastAsia="Arial" w:hAnsi="Arial"/>
                <w:sz w:val="16"/>
                <w:szCs w:val="16"/>
                <w:color w:val="auto"/>
              </w:rPr>
              <w:t>within the Inline XBRL document</w:t>
            </w:r>
          </w:p>
        </w:tc>
        <w:tc>
          <w:tcPr>
            <w:tcW w:w="0" w:type="dxa"/>
            <w:vAlign w:val="bottom"/>
          </w:tcPr>
          <w:p>
            <w:pPr>
              <w:spacing w:after="0"/>
              <w:rPr>
                <w:sz w:val="1"/>
                <w:szCs w:val="1"/>
                <w:color w:val="auto"/>
              </w:rPr>
            </w:pPr>
          </w:p>
        </w:tc>
      </w:tr>
      <w:tr>
        <w:trPr>
          <w:trHeight w:val="152"/>
        </w:trPr>
        <w:tc>
          <w:tcPr>
            <w:tcW w:w="980" w:type="dxa"/>
            <w:vAlign w:val="bottom"/>
          </w:tcPr>
          <w:p>
            <w:pPr>
              <w:spacing w:after="0"/>
              <w:rPr>
                <w:sz w:val="13"/>
                <w:szCs w:val="13"/>
                <w:color w:val="auto"/>
              </w:rPr>
            </w:pPr>
          </w:p>
        </w:tc>
        <w:tc>
          <w:tcPr>
            <w:tcW w:w="10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980" w:type="dxa"/>
            <w:vAlign w:val="bottom"/>
          </w:tcPr>
          <w:p>
            <w:pPr>
              <w:spacing w:after="0"/>
              <w:rPr>
                <w:sz w:val="20"/>
                <w:szCs w:val="20"/>
                <w:color w:val="auto"/>
              </w:rPr>
            </w:pPr>
            <w:r>
              <w:rPr>
                <w:rFonts w:ascii="Arial" w:cs="Arial" w:eastAsia="Arial" w:hAnsi="Arial"/>
                <w:sz w:val="16"/>
                <w:szCs w:val="16"/>
                <w:color w:val="auto"/>
              </w:rPr>
              <w:t>101.SCH</w:t>
            </w:r>
          </w:p>
        </w:tc>
        <w:tc>
          <w:tcPr>
            <w:tcW w:w="10200" w:type="dxa"/>
            <w:vAlign w:val="bottom"/>
          </w:tcPr>
          <w:p>
            <w:pPr>
              <w:ind w:left="200"/>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310"/>
        </w:trPr>
        <w:tc>
          <w:tcPr>
            <w:tcW w:w="980" w:type="dxa"/>
            <w:vAlign w:val="bottom"/>
          </w:tcPr>
          <w:p>
            <w:pPr>
              <w:spacing w:after="0"/>
              <w:rPr>
                <w:sz w:val="20"/>
                <w:szCs w:val="20"/>
                <w:color w:val="auto"/>
              </w:rPr>
            </w:pPr>
            <w:r>
              <w:rPr>
                <w:rFonts w:ascii="Arial" w:cs="Arial" w:eastAsia="Arial" w:hAnsi="Arial"/>
                <w:sz w:val="16"/>
                <w:szCs w:val="16"/>
                <w:color w:val="auto"/>
              </w:rPr>
              <w:t>101.CAL</w:t>
            </w:r>
          </w:p>
        </w:tc>
        <w:tc>
          <w:tcPr>
            <w:tcW w:w="10200" w:type="dxa"/>
            <w:vAlign w:val="bottom"/>
          </w:tcPr>
          <w:p>
            <w:pPr>
              <w:ind w:left="200"/>
              <w:spacing w:after="0"/>
              <w:rPr>
                <w:sz w:val="20"/>
                <w:szCs w:val="20"/>
                <w:color w:val="auto"/>
              </w:rPr>
            </w:pPr>
            <w:r>
              <w:rPr>
                <w:rFonts w:ascii="Arial" w:cs="Arial" w:eastAsia="Arial" w:hAnsi="Arial"/>
                <w:sz w:val="16"/>
                <w:szCs w:val="16"/>
                <w:color w:val="auto"/>
              </w:rPr>
              <w:t>Inline XBRL Taxonomy Calculation Linkbase Document</w:t>
            </w:r>
          </w:p>
        </w:tc>
        <w:tc>
          <w:tcPr>
            <w:tcW w:w="0" w:type="dxa"/>
            <w:vAlign w:val="bottom"/>
          </w:tcPr>
          <w:p>
            <w:pPr>
              <w:spacing w:after="0"/>
              <w:rPr>
                <w:sz w:val="1"/>
                <w:szCs w:val="1"/>
                <w:color w:val="auto"/>
              </w:rPr>
            </w:pPr>
          </w:p>
        </w:tc>
      </w:tr>
      <w:tr>
        <w:trPr>
          <w:trHeight w:val="310"/>
        </w:trPr>
        <w:tc>
          <w:tcPr>
            <w:tcW w:w="980" w:type="dxa"/>
            <w:vAlign w:val="bottom"/>
          </w:tcPr>
          <w:p>
            <w:pPr>
              <w:spacing w:after="0"/>
              <w:rPr>
                <w:sz w:val="20"/>
                <w:szCs w:val="20"/>
                <w:color w:val="auto"/>
              </w:rPr>
            </w:pPr>
            <w:r>
              <w:rPr>
                <w:rFonts w:ascii="Arial" w:cs="Arial" w:eastAsia="Arial" w:hAnsi="Arial"/>
                <w:sz w:val="16"/>
                <w:szCs w:val="16"/>
                <w:color w:val="auto"/>
              </w:rPr>
              <w:t>101.LAB</w:t>
            </w:r>
          </w:p>
        </w:tc>
        <w:tc>
          <w:tcPr>
            <w:tcW w:w="10200" w:type="dxa"/>
            <w:vAlign w:val="bottom"/>
          </w:tcPr>
          <w:p>
            <w:pPr>
              <w:ind w:left="200"/>
              <w:spacing w:after="0"/>
              <w:rPr>
                <w:sz w:val="20"/>
                <w:szCs w:val="20"/>
                <w:color w:val="auto"/>
              </w:rPr>
            </w:pPr>
            <w:r>
              <w:rPr>
                <w:rFonts w:ascii="Arial" w:cs="Arial" w:eastAsia="Arial" w:hAnsi="Arial"/>
                <w:sz w:val="16"/>
                <w:szCs w:val="16"/>
                <w:color w:val="auto"/>
              </w:rPr>
              <w:t>Inline XBRL Taxonomy Label Linkbase Document</w:t>
            </w:r>
          </w:p>
        </w:tc>
        <w:tc>
          <w:tcPr>
            <w:tcW w:w="0" w:type="dxa"/>
            <w:vAlign w:val="bottom"/>
          </w:tcPr>
          <w:p>
            <w:pPr>
              <w:spacing w:after="0"/>
              <w:rPr>
                <w:sz w:val="1"/>
                <w:szCs w:val="1"/>
                <w:color w:val="auto"/>
              </w:rPr>
            </w:pPr>
          </w:p>
        </w:tc>
      </w:tr>
      <w:tr>
        <w:trPr>
          <w:trHeight w:val="310"/>
        </w:trPr>
        <w:tc>
          <w:tcPr>
            <w:tcW w:w="980" w:type="dxa"/>
            <w:vAlign w:val="bottom"/>
          </w:tcPr>
          <w:p>
            <w:pPr>
              <w:spacing w:after="0"/>
              <w:rPr>
                <w:sz w:val="20"/>
                <w:szCs w:val="20"/>
                <w:color w:val="auto"/>
              </w:rPr>
            </w:pPr>
            <w:r>
              <w:rPr>
                <w:rFonts w:ascii="Arial" w:cs="Arial" w:eastAsia="Arial" w:hAnsi="Arial"/>
                <w:sz w:val="16"/>
                <w:szCs w:val="16"/>
                <w:color w:val="auto"/>
              </w:rPr>
              <w:t>101.PRE</w:t>
            </w:r>
          </w:p>
        </w:tc>
        <w:tc>
          <w:tcPr>
            <w:tcW w:w="10200" w:type="dxa"/>
            <w:vAlign w:val="bottom"/>
          </w:tcPr>
          <w:p>
            <w:pPr>
              <w:ind w:left="200"/>
              <w:spacing w:after="0"/>
              <w:rPr>
                <w:sz w:val="20"/>
                <w:szCs w:val="20"/>
                <w:color w:val="auto"/>
              </w:rPr>
            </w:pPr>
            <w:r>
              <w:rPr>
                <w:rFonts w:ascii="Arial" w:cs="Arial" w:eastAsia="Arial" w:hAnsi="Arial"/>
                <w:sz w:val="16"/>
                <w:szCs w:val="16"/>
                <w:color w:val="auto"/>
              </w:rPr>
              <w:t>Inline XBRL Presentation Linkbase Document</w:t>
            </w:r>
          </w:p>
        </w:tc>
        <w:tc>
          <w:tcPr>
            <w:tcW w:w="0" w:type="dxa"/>
            <w:vAlign w:val="bottom"/>
          </w:tcPr>
          <w:p>
            <w:pPr>
              <w:spacing w:after="0"/>
              <w:rPr>
                <w:sz w:val="1"/>
                <w:szCs w:val="1"/>
                <w:color w:val="auto"/>
              </w:rPr>
            </w:pPr>
          </w:p>
        </w:tc>
      </w:tr>
      <w:tr>
        <w:trPr>
          <w:trHeight w:val="310"/>
        </w:trPr>
        <w:tc>
          <w:tcPr>
            <w:tcW w:w="980" w:type="dxa"/>
            <w:vAlign w:val="bottom"/>
          </w:tcPr>
          <w:p>
            <w:pPr>
              <w:spacing w:after="0"/>
              <w:rPr>
                <w:sz w:val="20"/>
                <w:szCs w:val="20"/>
                <w:color w:val="auto"/>
              </w:rPr>
            </w:pPr>
            <w:r>
              <w:rPr>
                <w:rFonts w:ascii="Arial" w:cs="Arial" w:eastAsia="Arial" w:hAnsi="Arial"/>
                <w:sz w:val="16"/>
                <w:szCs w:val="16"/>
                <w:color w:val="auto"/>
              </w:rPr>
              <w:t>101.DEF</w:t>
            </w:r>
          </w:p>
        </w:tc>
        <w:tc>
          <w:tcPr>
            <w:tcW w:w="10200" w:type="dxa"/>
            <w:vAlign w:val="bottom"/>
          </w:tcPr>
          <w:p>
            <w:pPr>
              <w:ind w:left="200"/>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980" w:type="dxa"/>
            <w:vAlign w:val="bottom"/>
          </w:tcPr>
          <w:p>
            <w:pPr>
              <w:spacing w:after="0"/>
              <w:rPr>
                <w:sz w:val="20"/>
                <w:szCs w:val="20"/>
                <w:color w:val="auto"/>
              </w:rPr>
            </w:pPr>
            <w:r>
              <w:rPr>
                <w:rFonts w:ascii="Arial" w:cs="Arial" w:eastAsia="Arial" w:hAnsi="Arial"/>
                <w:sz w:val="16"/>
                <w:szCs w:val="16"/>
                <w:color w:val="auto"/>
              </w:rPr>
              <w:t>104</w:t>
            </w:r>
          </w:p>
        </w:tc>
        <w:tc>
          <w:tcPr>
            <w:tcW w:w="10200" w:type="dxa"/>
            <w:vAlign w:val="bottom"/>
          </w:tcPr>
          <w:p>
            <w:pPr>
              <w:ind w:left="200"/>
              <w:spacing w:after="0"/>
              <w:rPr>
                <w:sz w:val="20"/>
                <w:szCs w:val="20"/>
                <w:color w:val="auto"/>
              </w:rPr>
            </w:pPr>
            <w:r>
              <w:rPr>
                <w:rFonts w:ascii="Arial" w:cs="Arial" w:eastAsia="Arial" w:hAnsi="Arial"/>
                <w:sz w:val="16"/>
                <w:szCs w:val="16"/>
                <w:color w:val="auto"/>
              </w:rPr>
              <w:t>Cover Page Interactive Data File - (formatted in Inline XBRL and contained in Exhibit 101)</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9" w:name="page70"/>
    <w:bookmarkEnd w:id="69"/>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860" w:type="dxa"/>
            <w:vAlign w:val="bottom"/>
            <w:gridSpan w:val="2"/>
          </w:tcPr>
          <w:p>
            <w:pPr>
              <w:ind w:left="1480"/>
              <w:spacing w:after="0"/>
              <w:rPr>
                <w:sz w:val="20"/>
                <w:szCs w:val="20"/>
                <w:color w:val="auto"/>
              </w:rPr>
            </w:pPr>
            <w:r>
              <w:rPr>
                <w:rFonts w:ascii="Arial" w:cs="Arial" w:eastAsia="Arial" w:hAnsi="Arial"/>
                <w:sz w:val="18"/>
                <w:szCs w:val="18"/>
                <w:color w:val="auto"/>
              </w:rPr>
              <w:t>AnaptysBio, Inc.</w:t>
            </w:r>
          </w:p>
        </w:tc>
      </w:tr>
      <w:tr>
        <w:trPr>
          <w:trHeight w:val="486"/>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820" w:type="dxa"/>
            <w:vAlign w:val="bottom"/>
          </w:tcPr>
          <w:p>
            <w:pPr>
              <w:ind w:left="120"/>
              <w:spacing w:after="0"/>
              <w:rPr>
                <w:sz w:val="20"/>
                <w:szCs w:val="20"/>
                <w:color w:val="auto"/>
              </w:rPr>
            </w:pPr>
            <w:r>
              <w:rPr>
                <w:rFonts w:ascii="Arial" w:cs="Arial" w:eastAsia="Arial" w:hAnsi="Arial"/>
                <w:sz w:val="18"/>
                <w:szCs w:val="18"/>
                <w:color w:val="auto"/>
              </w:rPr>
              <w:t>August 10, 2020</w:t>
            </w:r>
          </w:p>
        </w:tc>
        <w:tc>
          <w:tcPr>
            <w:tcW w:w="1900" w:type="dxa"/>
            <w:vAlign w:val="bottom"/>
          </w:tcPr>
          <w:p>
            <w:pPr>
              <w:ind w:left="1480"/>
              <w:spacing w:after="0"/>
              <w:rPr>
                <w:sz w:val="20"/>
                <w:szCs w:val="20"/>
                <w:color w:val="auto"/>
              </w:rPr>
            </w:pPr>
            <w:r>
              <w:rPr>
                <w:rFonts w:ascii="Arial" w:cs="Arial" w:eastAsia="Arial" w:hAnsi="Arial"/>
                <w:sz w:val="18"/>
                <w:szCs w:val="18"/>
                <w:color w:val="auto"/>
              </w:rPr>
              <w:t>By:</w:t>
            </w:r>
          </w:p>
        </w:tc>
        <w:tc>
          <w:tcPr>
            <w:tcW w:w="5960" w:type="dxa"/>
            <w:vAlign w:val="bottom"/>
          </w:tcPr>
          <w:p>
            <w:pPr>
              <w:ind w:left="20"/>
              <w:spacing w:after="0"/>
              <w:rPr>
                <w:sz w:val="20"/>
                <w:szCs w:val="20"/>
                <w:color w:val="auto"/>
              </w:rPr>
            </w:pPr>
            <w:r>
              <w:rPr>
                <w:rFonts w:ascii="Arial" w:cs="Arial" w:eastAsia="Arial" w:hAnsi="Arial"/>
                <w:sz w:val="18"/>
                <w:szCs w:val="18"/>
                <w:color w:val="auto"/>
              </w:rPr>
              <w:t>/s/ Hamza Suria</w:t>
            </w:r>
          </w:p>
        </w:tc>
      </w:tr>
      <w:tr>
        <w:trPr>
          <w:trHeight w:val="27"/>
        </w:trPr>
        <w:tc>
          <w:tcPr>
            <w:tcW w:w="5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96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960" w:type="dxa"/>
            <w:vAlign w:val="bottom"/>
          </w:tcPr>
          <w:p>
            <w:pPr>
              <w:ind w:left="20"/>
              <w:spacing w:after="0"/>
              <w:rPr>
                <w:sz w:val="20"/>
                <w:szCs w:val="20"/>
                <w:color w:val="auto"/>
              </w:rPr>
            </w:pPr>
            <w:r>
              <w:rPr>
                <w:rFonts w:ascii="Arial" w:cs="Arial" w:eastAsia="Arial" w:hAnsi="Arial"/>
                <w:sz w:val="18"/>
                <w:szCs w:val="18"/>
                <w:color w:val="auto"/>
              </w:rPr>
              <w:t>Hamza Suria</w:t>
            </w:r>
          </w:p>
        </w:tc>
      </w:tr>
      <w:tr>
        <w:trPr>
          <w:trHeight w:val="270"/>
        </w:trPr>
        <w:tc>
          <w:tcPr>
            <w:tcW w:w="54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59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70"/>
        </w:trPr>
        <w:tc>
          <w:tcPr>
            <w:tcW w:w="54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59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86"/>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820" w:type="dxa"/>
            <w:vAlign w:val="bottom"/>
          </w:tcPr>
          <w:p>
            <w:pPr>
              <w:ind w:left="120"/>
              <w:spacing w:after="0"/>
              <w:rPr>
                <w:sz w:val="20"/>
                <w:szCs w:val="20"/>
                <w:color w:val="auto"/>
              </w:rPr>
            </w:pPr>
            <w:r>
              <w:rPr>
                <w:rFonts w:ascii="Arial" w:cs="Arial" w:eastAsia="Arial" w:hAnsi="Arial"/>
                <w:sz w:val="18"/>
                <w:szCs w:val="18"/>
                <w:color w:val="auto"/>
              </w:rPr>
              <w:t>August 10, 2020</w:t>
            </w:r>
          </w:p>
        </w:tc>
        <w:tc>
          <w:tcPr>
            <w:tcW w:w="1900" w:type="dxa"/>
            <w:vAlign w:val="bottom"/>
          </w:tcPr>
          <w:p>
            <w:pPr>
              <w:ind w:left="1480"/>
              <w:spacing w:after="0"/>
              <w:rPr>
                <w:sz w:val="20"/>
                <w:szCs w:val="20"/>
                <w:color w:val="auto"/>
              </w:rPr>
            </w:pPr>
            <w:r>
              <w:rPr>
                <w:rFonts w:ascii="Arial" w:cs="Arial" w:eastAsia="Arial" w:hAnsi="Arial"/>
                <w:sz w:val="18"/>
                <w:szCs w:val="18"/>
                <w:color w:val="auto"/>
              </w:rPr>
              <w:t>By:</w:t>
            </w:r>
          </w:p>
        </w:tc>
        <w:tc>
          <w:tcPr>
            <w:tcW w:w="5960" w:type="dxa"/>
            <w:vAlign w:val="bottom"/>
          </w:tcPr>
          <w:p>
            <w:pPr>
              <w:ind w:left="20"/>
              <w:spacing w:after="0"/>
              <w:rPr>
                <w:sz w:val="20"/>
                <w:szCs w:val="20"/>
                <w:color w:val="auto"/>
              </w:rPr>
            </w:pPr>
            <w:r>
              <w:rPr>
                <w:rFonts w:ascii="Arial" w:cs="Arial" w:eastAsia="Arial" w:hAnsi="Arial"/>
                <w:sz w:val="18"/>
                <w:szCs w:val="18"/>
                <w:color w:val="auto"/>
              </w:rPr>
              <w:t>/s/ Dennis Mulroy</w:t>
            </w:r>
          </w:p>
        </w:tc>
      </w:tr>
      <w:tr>
        <w:trPr>
          <w:trHeight w:val="27"/>
        </w:trPr>
        <w:tc>
          <w:tcPr>
            <w:tcW w:w="5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96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960" w:type="dxa"/>
            <w:vAlign w:val="bottom"/>
          </w:tcPr>
          <w:p>
            <w:pPr>
              <w:ind w:left="20"/>
              <w:spacing w:after="0"/>
              <w:rPr>
                <w:sz w:val="20"/>
                <w:szCs w:val="20"/>
                <w:color w:val="auto"/>
              </w:rPr>
            </w:pPr>
            <w:r>
              <w:rPr>
                <w:rFonts w:ascii="Arial" w:cs="Arial" w:eastAsia="Arial" w:hAnsi="Arial"/>
                <w:sz w:val="18"/>
                <w:szCs w:val="18"/>
                <w:color w:val="auto"/>
              </w:rPr>
              <w:t>Dennis Mulroy</w:t>
            </w:r>
          </w:p>
        </w:tc>
      </w:tr>
      <w:tr>
        <w:trPr>
          <w:trHeight w:val="270"/>
        </w:trPr>
        <w:tc>
          <w:tcPr>
            <w:tcW w:w="54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59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54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596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40"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 Hamza Suria, certify that:</w:t>
      </w:r>
    </w:p>
    <w:p>
      <w:pPr>
        <w:spacing w:after="0" w:line="158"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AnaptysBio, Inc.;</w:t>
      </w:r>
    </w:p>
    <w:p>
      <w:pPr>
        <w:spacing w:after="0" w:line="117" w:lineRule="exact"/>
        <w:rPr>
          <w:rFonts w:ascii="Arial" w:cs="Arial" w:eastAsia="Arial" w:hAnsi="Arial"/>
          <w:sz w:val="18"/>
          <w:szCs w:val="18"/>
          <w:color w:val="auto"/>
        </w:rPr>
      </w:pPr>
    </w:p>
    <w:p>
      <w:pPr>
        <w:ind w:left="180" w:right="100" w:hanging="172"/>
        <w:spacing w:after="0" w:line="342" w:lineRule="auto"/>
        <w:tabs>
          <w:tab w:leader="none" w:pos="198"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540" w:hanging="172"/>
        <w:spacing w:after="0" w:line="308" w:lineRule="auto"/>
        <w:tabs>
          <w:tab w:leader="none" w:pos="198"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80" w:right="20" w:hanging="172"/>
        <w:spacing w:after="0" w:line="263" w:lineRule="auto"/>
        <w:tabs>
          <w:tab w:leader="none" w:pos="19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20" w:right="80" w:hanging="169"/>
        <w:spacing w:after="0" w:line="263" w:lineRule="auto"/>
        <w:tabs>
          <w:tab w:leader="none" w:pos="443"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20" w:right="60" w:hanging="169"/>
        <w:spacing w:after="0" w:line="263" w:lineRule="auto"/>
        <w:tabs>
          <w:tab w:leader="none" w:pos="453"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20" w:right="120" w:hanging="169"/>
        <w:spacing w:after="0" w:line="308" w:lineRule="auto"/>
        <w:tabs>
          <w:tab w:leader="none" w:pos="443"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20" w:hanging="169"/>
        <w:spacing w:after="0" w:line="263" w:lineRule="auto"/>
        <w:tabs>
          <w:tab w:leader="none" w:pos="453"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80" w:right="480" w:hanging="172"/>
        <w:spacing w:after="0" w:line="308" w:lineRule="auto"/>
        <w:tabs>
          <w:tab w:leader="none" w:pos="198"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0" w:hanging="169"/>
        <w:spacing w:after="0" w:line="277" w:lineRule="auto"/>
        <w:tabs>
          <w:tab w:leader="none" w:pos="443"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20" w:right="80" w:hanging="169"/>
        <w:spacing w:after="0" w:line="277" w:lineRule="auto"/>
        <w:tabs>
          <w:tab w:leader="none" w:pos="453"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2020</w:t>
      </w:r>
    </w:p>
    <w:p>
      <w:pPr>
        <w:spacing w:after="0" w:line="37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31750</wp:posOffset>
            </wp:positionV>
            <wp:extent cx="28371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Hamza Suria</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Chief Executive Officer</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r>
        <w:rPr>
          <w:rFonts w:ascii="Arial" w:cs="Arial" w:eastAsia="Arial" w:hAnsi="Arial"/>
          <w:sz w:val="18"/>
          <w:szCs w:val="18"/>
          <w:i w:val="1"/>
          <w:iCs w:val="1"/>
          <w:color w:val="auto"/>
        </w:rPr>
        <w:t>)</w:t>
      </w:r>
    </w:p>
    <w:p>
      <w:pPr>
        <w:sectPr>
          <w:pgSz w:w="11900" w:h="16838" w:orient="portrait"/>
          <w:cols w:equalWidth="0" w:num="1">
            <w:col w:w="11240"/>
          </w:cols>
          <w:pgMar w:left="320" w:top="1417"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 Dennis Mulroy, certify that:</w:t>
      </w:r>
    </w:p>
    <w:p>
      <w:pPr>
        <w:spacing w:after="0" w:line="212"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AnaptysBio, Inc.;</w:t>
      </w:r>
    </w:p>
    <w:p>
      <w:pPr>
        <w:spacing w:after="0" w:line="157" w:lineRule="exact"/>
        <w:rPr>
          <w:rFonts w:ascii="Arial" w:cs="Arial" w:eastAsia="Arial" w:hAnsi="Arial"/>
          <w:sz w:val="18"/>
          <w:szCs w:val="18"/>
          <w:color w:val="auto"/>
        </w:rPr>
      </w:pPr>
    </w:p>
    <w:p>
      <w:pPr>
        <w:ind w:left="180" w:right="100" w:hanging="172"/>
        <w:spacing w:after="0" w:line="342" w:lineRule="auto"/>
        <w:tabs>
          <w:tab w:leader="none" w:pos="198"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540" w:hanging="172"/>
        <w:spacing w:after="0" w:line="308" w:lineRule="auto"/>
        <w:tabs>
          <w:tab w:leader="none" w:pos="198"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80" w:right="20" w:hanging="172"/>
        <w:spacing w:after="0" w:line="263" w:lineRule="auto"/>
        <w:tabs>
          <w:tab w:leader="none" w:pos="19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20" w:right="80" w:hanging="169"/>
        <w:spacing w:after="0" w:line="263" w:lineRule="auto"/>
        <w:tabs>
          <w:tab w:leader="none" w:pos="443"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20" w:right="60" w:hanging="169"/>
        <w:spacing w:after="0" w:line="263" w:lineRule="auto"/>
        <w:tabs>
          <w:tab w:leader="none" w:pos="453"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20" w:right="120" w:hanging="169"/>
        <w:spacing w:after="0" w:line="308" w:lineRule="auto"/>
        <w:tabs>
          <w:tab w:leader="none" w:pos="443"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20" w:hanging="169"/>
        <w:spacing w:after="0" w:line="263" w:lineRule="auto"/>
        <w:tabs>
          <w:tab w:leader="none" w:pos="453"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80" w:right="480" w:hanging="172"/>
        <w:spacing w:after="0" w:line="308" w:lineRule="auto"/>
        <w:tabs>
          <w:tab w:leader="none" w:pos="198"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0" w:hanging="169"/>
        <w:spacing w:after="0" w:line="277" w:lineRule="auto"/>
        <w:tabs>
          <w:tab w:leader="none" w:pos="443"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20" w:right="80" w:hanging="169"/>
        <w:spacing w:after="0" w:line="277" w:lineRule="auto"/>
        <w:tabs>
          <w:tab w:leader="none" w:pos="453"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2020</w:t>
      </w:r>
    </w:p>
    <w:p>
      <w:pPr>
        <w:spacing w:after="0" w:line="37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31750</wp:posOffset>
            </wp:positionV>
            <wp:extent cx="433768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37685" cy="8255"/>
                    </a:xfrm>
                    <a:prstGeom prst="rect">
                      <a:avLst/>
                    </a:prstGeom>
                    <a:noFill/>
                  </pic:spPr>
                </pic:pic>
              </a:graphicData>
            </a:graphic>
          </wp:anchor>
        </w:drawing>
      </w:r>
    </w:p>
    <w:p>
      <w:pPr>
        <w:spacing w:after="0" w:line="5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Dennis Mulroy</w:t>
      </w:r>
    </w:p>
    <w:p>
      <w:pPr>
        <w:spacing w:after="0" w:line="63" w:lineRule="exact"/>
        <w:rPr>
          <w:sz w:val="20"/>
          <w:szCs w:val="20"/>
          <w:color w:val="auto"/>
        </w:rPr>
      </w:pPr>
    </w:p>
    <w:p>
      <w:pPr>
        <w:ind w:left="442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417"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 Hamza Suria, Chief Executive Officer of AnaptysBio, Inc. (the "Company"), do hereby certify, pursuant to 18 U.S.C. Section 1350, as adopted pursuant to Section 906 of the Sarbanes-Oxley Act of 2002, that to the best of my knowledge:</w:t>
      </w:r>
    </w:p>
    <w:p>
      <w:pPr>
        <w:spacing w:after="0" w:line="62" w:lineRule="exact"/>
        <w:rPr>
          <w:sz w:val="20"/>
          <w:szCs w:val="20"/>
          <w:color w:val="auto"/>
        </w:rPr>
      </w:pPr>
    </w:p>
    <w:p>
      <w:pPr>
        <w:ind w:left="900" w:right="600" w:hanging="406"/>
        <w:spacing w:after="0" w:line="342" w:lineRule="auto"/>
        <w:tabs>
          <w:tab w:leader="none" w:pos="89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2020 (the “Report”), as filed with the Securities and Exchange Commission,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900" w:right="740" w:hanging="406"/>
        <w:spacing w:after="0" w:line="277" w:lineRule="auto"/>
        <w:tabs>
          <w:tab w:leader="none" w:pos="8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2020</w:t>
      </w:r>
    </w:p>
    <w:p>
      <w:pPr>
        <w:spacing w:after="0" w:line="37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31750</wp:posOffset>
            </wp:positionV>
            <wp:extent cx="28371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Hamza Suria</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Chief Executive Officer</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r>
        <w:rPr>
          <w:rFonts w:ascii="Arial" w:cs="Arial" w:eastAsia="Arial" w:hAnsi="Arial"/>
          <w:sz w:val="18"/>
          <w:szCs w:val="18"/>
          <w:i w:val="1"/>
          <w:iCs w:val="1"/>
          <w:color w:val="auto"/>
        </w:rPr>
        <w:t>)</w:t>
      </w:r>
    </w:p>
    <w:p>
      <w:pPr>
        <w:sectPr>
          <w:pgSz w:w="11900" w:h="16838" w:orient="portrait"/>
          <w:cols w:equalWidth="0" w:num="1">
            <w:col w:w="11240"/>
          </w:cols>
          <w:pgMar w:left="320" w:top="1417"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Dennis Mulroy, Chief Financial Officer of AnaptysBio, Inc. (the "Company"), do hereby certify, pursuant to 18 U.S.C. Section 1350, as adopted pursuant to Section 906 of the Sarbanes-Oxley Act of 2002, that to the best of my knowledge:</w:t>
      </w:r>
    </w:p>
    <w:p>
      <w:pPr>
        <w:spacing w:after="0" w:line="62" w:lineRule="exact"/>
        <w:rPr>
          <w:sz w:val="20"/>
          <w:szCs w:val="20"/>
          <w:color w:val="auto"/>
        </w:rPr>
      </w:pPr>
    </w:p>
    <w:p>
      <w:pPr>
        <w:ind w:left="900" w:right="600" w:hanging="406"/>
        <w:spacing w:after="0" w:line="342" w:lineRule="auto"/>
        <w:tabs>
          <w:tab w:leader="none" w:pos="895"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2020 (the “Report”), as filed with the Securities and Exchange Commission,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900" w:right="740" w:hanging="406"/>
        <w:spacing w:after="0" w:line="277" w:lineRule="auto"/>
        <w:tabs>
          <w:tab w:leader="none" w:pos="8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2020</w:t>
      </w:r>
    </w:p>
    <w:p>
      <w:pPr>
        <w:spacing w:after="0" w:line="37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31750</wp:posOffset>
            </wp:positionV>
            <wp:extent cx="42348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5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Dennis Mulroy</w:t>
      </w:r>
    </w:p>
    <w:p>
      <w:pPr>
        <w:spacing w:after="0" w:line="63"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2"/>
    </w:lvl>
  </w:abstractNum>
  <w:abstractNum w:abstractNumId="3">
    <w:nsid w:val="257130A3"/>
    <w:multiLevelType w:val="hybridMultilevel"/>
    <w:lvl w:ilvl="0">
      <w:lvlJc w:val="left"/>
      <w:lvlText w:val="%1."/>
      <w:numFmt w:val="decimal"/>
      <w:start w:val="4"/>
    </w:lvl>
  </w:abstractNum>
  <w:abstractNum w:abstractNumId="4">
    <w:nsid w:val="62BBD95A"/>
    <w:multiLevelType w:val="hybridMultilevel"/>
    <w:lvl w:ilvl="0">
      <w:lvlJc w:val="left"/>
      <w:lvlText w:val="(%1)"/>
      <w:numFmt w:val="lowerRoman"/>
      <w:start w:val="3"/>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1."/>
      <w:numFmt w:val="decimal"/>
      <w:start w:val="9"/>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2020-08-10T07:14:36Z</dcterms:created>
  <dcterms:modified xsi:type="dcterms:W3CDTF">2020-08-10T07:14:36Z</dcterms:modified>
</cp:coreProperties>
</file>