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80"/>
        <w:spacing w:after="0"/>
        <w:rPr>
          <w:sz w:val="20"/>
          <w:szCs w:val="20"/>
          <w:color w:val="auto"/>
        </w:rPr>
      </w:pPr>
      <w:r>
        <w:rPr>
          <w:rFonts w:ascii="Arial" w:cs="Arial" w:eastAsia="Arial" w:hAnsi="Arial"/>
          <w:sz w:val="20"/>
          <w:szCs w:val="20"/>
          <w:b w:val="1"/>
          <w:bCs w:val="1"/>
          <w:color w:val="auto"/>
        </w:rPr>
        <w:t>Date of Report: July 20, 2020</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520" w:space="720"/>
            <w:col w:w="2860" w:space="720"/>
            <w:col w:w="2420"/>
          </w:cols>
          <w:pgMar w:left="320" w:top="1440" w:right="3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60" w:space="720"/>
            <w:col w:w="2640" w:space="720"/>
            <w:col w:w="3300"/>
          </w:cols>
          <w:pgMar w:left="320" w:top="1440"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r>
        <w:trPr>
          <w:trHeight w:val="22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140" w:right="620" w:hanging="1133"/>
        <w:spacing w:after="0" w:line="25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On July 20, 2020, the Board of Directors (the “Board”) of AnaptysBio, Inc. (“AnaptysBio”) appointed Paul F. Lizzul, M.D., Ph.D., M.P.H., M.B.A., 45, as Chief Medical Officer, effective as of July 31, 2020. Dr. Lizzul previously served as Executive Medical Director of Amgen Inc. Before joining Amgen, he served as Chief Medical Officer of Sienna Biopharmaceuticals, Inc., Senior Medical Director and Head of Safety at Kythera Biopharmaceuticals, Inc., and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spacing w:after="0" w:line="1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his appointment as Chief Medical Officer, Dr. Lizzul entered into an employment agreement with us, setting forth the principal terms and conditions of his employment, including his current annual base salary of $400,000 and an annual target cash bonus opportunity of up to 40% of his base salary, which bonus is earned based on our achievement of performance goals established by the Chief Executive Officer of AnaptysBio, the achievement of which is evaluated by the Chief Executive Officer and the Board. The employment agreement also provides for a sign-on bonus of $100,000, 1/24th of which will vest on each monthly anniversary of July 31, 2020. In the event that that Dr. Lizzul’s employment is terminated by AnaptysBio for “cause” or by Dr. Lizzul without “good reason”, Dr. Lizzul will be required to pay back to AnaptysBio the unvested portion of the sign-on bonus. Dr. Lizzul’s employment is at will and may be terminated at any time, with or without cause. In the event that Dr. Lizzul is terminated without “cause” or resigns for “good reason” (each as defined in the applicable employment agreement), provided that he delivers a signed settlement and general release in favor of us and satisfies all conditions to make such release effective, (i) he will receive continued severance payments for nine months, and (ii) and if he elects continuation coverage under the Consolidated Omnibus Budget Reconciliation Act of 1985 (“COBRA”), we will pay directly to the insurance provider of our group health plans, the monthly premium for such continuation coverage for the officer and his family, for nine months, or such earlier date on which coverage with a new employer is obtained. However, pursuant to the terms of the employment agreement, if AnaptysBio experiences a change in control and Dr. Lizzul is terminated without “cause” or resigns for “good reason” (each as defined in the employment agreement) upon the occurrence of, or within 13 months following, such change of control, and provided that Dr. Lizzul delivers a signed settlement and general release in favor of AnaptysBio and satisfies all conditions to make such release effective, (i) Dr. Lizzul will receive severance payments and COBRA premiums, paid directly to the insurance provider of our group health plan for Dr. Lizzul and his family, for twelve months and (ii) his currently outstanding stock options will vest in full. Consistent with the terms of the employment agreements of the other executive officers of AnaptysBio, the employment agreement also contains a “better after-tax” provision, which provides that if any payment to Dr. Lizzul constitutes a parachute payment under Section 280G of the Code, the payment will either be (i) reduced or (ii) provided in full to Dr. Lizzul, whichever results in Dr. Lizzul receiving the greater amount after taking into consideration the payment of all taxes, including the excise tax under Section 4999 of the Code, in each case based upon the highest marginal rate for the applicable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ind w:right="160"/>
        <w:spacing w:after="0" w:line="275" w:lineRule="auto"/>
        <w:rPr>
          <w:sz w:val="20"/>
          <w:szCs w:val="20"/>
          <w:color w:val="auto"/>
        </w:rPr>
      </w:pPr>
      <w:r>
        <w:rPr>
          <w:rFonts w:ascii="Arial" w:cs="Arial" w:eastAsia="Arial" w:hAnsi="Arial"/>
          <w:sz w:val="18"/>
          <w:szCs w:val="18"/>
          <w:color w:val="auto"/>
        </w:rPr>
        <w:t>In connection with Dr. Lizzul’s appointment as Chief Medical Officer, AnaptysBio has granted Dr. Lizzul an option to purchase 90,000 shares of its common stock with an exercise price equal to the fair market value of its common stock on the date of grant, which will vest as to 25% of such option as of the first anniversary of Dr. Lizzul’s employment by AnaptysBio, and monthly thereafter for 36 months.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color w:val="auto"/>
        </w:rPr>
        <w:t>There are no arrangements or understandings between Dr. Lizzul and any other persons pursuant to which he was selected as Chief Medical Officer. There are also no family relationships between Dr. Lizzul and any director or executive officer of AnaptysBio and he has no direct or indirect material interest in any transaction required to be disclosed pursuant to Item 404(a) of Regulation S-K.</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press release announcing the foregoing leadership changes is filed as Exhibit 99.01 to this report.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Pr>
          <w:p>
            <w:pPr>
              <w:jc w:val="right"/>
              <w:ind w:right="1161"/>
              <w:spacing w:after="0"/>
              <w:rPr>
                <w:sz w:val="20"/>
                <w:szCs w:val="20"/>
                <w:color w:val="auto"/>
              </w:rPr>
            </w:pPr>
            <w:r>
              <w:rPr>
                <w:rFonts w:ascii="Arial" w:cs="Arial" w:eastAsia="Arial" w:hAnsi="Arial"/>
                <w:sz w:val="20"/>
                <w:szCs w:val="20"/>
                <w:color w:val="auto"/>
                <w:w w:val="91"/>
              </w:rPr>
              <w:t>(d) Exhibits</w:t>
            </w:r>
          </w:p>
        </w:tc>
        <w:tc>
          <w:tcPr>
            <w:tcW w:w="9040" w:type="dxa"/>
            <w:vAlign w:val="bottom"/>
          </w:tcPr>
          <w:p>
            <w:pPr>
              <w:spacing w:after="0"/>
              <w:rPr>
                <w:sz w:val="21"/>
                <w:szCs w:val="21"/>
                <w:color w:val="auto"/>
              </w:rPr>
            </w:pPr>
          </w:p>
        </w:tc>
      </w:tr>
      <w:tr>
        <w:trPr>
          <w:trHeight w:val="513"/>
        </w:trPr>
        <w:tc>
          <w:tcPr>
            <w:tcW w:w="2200" w:type="dxa"/>
            <w:vAlign w:val="bottom"/>
          </w:tcPr>
          <w:p>
            <w:pPr>
              <w:jc w:val="center"/>
              <w:ind w:left="161"/>
              <w:spacing w:after="0"/>
              <w:rPr>
                <w:sz w:val="20"/>
                <w:szCs w:val="20"/>
                <w:color w:val="auto"/>
              </w:rPr>
            </w:pPr>
            <w:r>
              <w:rPr>
                <w:rFonts w:ascii="Arial" w:cs="Arial" w:eastAsia="Arial" w:hAnsi="Arial"/>
                <w:sz w:val="20"/>
                <w:szCs w:val="20"/>
                <w:b w:val="1"/>
                <w:bCs w:val="1"/>
                <w:color w:val="auto"/>
                <w:w w:val="93"/>
              </w:rPr>
              <w:t>Exhibit Number</w:t>
            </w:r>
          </w:p>
        </w:tc>
        <w:tc>
          <w:tcPr>
            <w:tcW w:w="9040" w:type="dxa"/>
            <w:vAlign w:val="bottom"/>
          </w:tcPr>
          <w:p>
            <w:pPr>
              <w:ind w:left="280"/>
              <w:spacing w:after="0"/>
              <w:rPr>
                <w:sz w:val="20"/>
                <w:szCs w:val="20"/>
                <w:color w:val="auto"/>
              </w:rPr>
            </w:pPr>
            <w:r>
              <w:rPr>
                <w:rFonts w:ascii="Arial" w:cs="Arial" w:eastAsia="Arial" w:hAnsi="Arial"/>
                <w:sz w:val="20"/>
                <w:szCs w:val="20"/>
                <w:b w:val="1"/>
                <w:bCs w:val="1"/>
                <w:color w:val="auto"/>
              </w:rPr>
              <w:t>Exhibit Title or Description</w:t>
            </w:r>
          </w:p>
        </w:tc>
      </w:tr>
      <w:tr>
        <w:trPr>
          <w:trHeight w:val="283"/>
        </w:trPr>
        <w:tc>
          <w:tcPr>
            <w:tcW w:w="2200" w:type="dxa"/>
            <w:vAlign w:val="bottom"/>
          </w:tcPr>
          <w:p>
            <w:pPr>
              <w:jc w:val="center"/>
              <w:ind w:right="621"/>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99.01</w:t>
              </w:r>
            </w:hyperlink>
          </w:p>
        </w:tc>
        <w:tc>
          <w:tcPr>
            <w:tcW w:w="9040" w:type="dxa"/>
            <w:vAlign w:val="bottom"/>
          </w:tcPr>
          <w:p>
            <w:pPr>
              <w:ind w:left="280"/>
              <w:spacing w:after="0"/>
              <w:rPr>
                <w:sz w:val="20"/>
                <w:szCs w:val="20"/>
                <w:color w:val="auto"/>
              </w:rPr>
            </w:pPr>
            <w:r>
              <w:rPr>
                <w:rFonts w:ascii="Arial" w:cs="Arial" w:eastAsia="Arial" w:hAnsi="Arial"/>
                <w:sz w:val="20"/>
                <w:szCs w:val="20"/>
                <w:color w:val="auto"/>
              </w:rPr>
              <w:t>Press release dated July 31, 2020</w:t>
            </w:r>
          </w:p>
        </w:tc>
      </w:tr>
      <w:tr>
        <w:trPr>
          <w:trHeight w:val="283"/>
        </w:trPr>
        <w:tc>
          <w:tcPr>
            <w:tcW w:w="2200" w:type="dxa"/>
            <w:vAlign w:val="bottom"/>
          </w:tcPr>
          <w:p>
            <w:pPr>
              <w:jc w:val="right"/>
              <w:ind w:right="501"/>
              <w:spacing w:after="0"/>
              <w:rPr>
                <w:sz w:val="20"/>
                <w:szCs w:val="20"/>
                <w:color w:val="auto"/>
              </w:rPr>
            </w:pPr>
            <w:r>
              <w:rPr>
                <w:rFonts w:ascii="Arial" w:cs="Arial" w:eastAsia="Arial" w:hAnsi="Arial"/>
                <w:sz w:val="20"/>
                <w:szCs w:val="20"/>
                <w:color w:val="auto"/>
              </w:rPr>
              <w:t>104</w:t>
            </w:r>
          </w:p>
        </w:tc>
        <w:tc>
          <w:tcPr>
            <w:tcW w:w="9040" w:type="dxa"/>
            <w:vAlign w:val="bottom"/>
          </w:tcPr>
          <w:p>
            <w:pPr>
              <w:ind w:left="280"/>
              <w:spacing w:after="0"/>
              <w:rPr>
                <w:sz w:val="20"/>
                <w:szCs w:val="20"/>
                <w:color w:val="auto"/>
              </w:rPr>
            </w:pPr>
            <w:r>
              <w:rPr>
                <w:rFonts w:ascii="Arial" w:cs="Arial" w:eastAsia="Arial" w:hAnsi="Arial"/>
                <w:sz w:val="20"/>
                <w:szCs w:val="20"/>
                <w:color w:val="auto"/>
              </w:rPr>
              <w:t>The cover page of this Current Report on Form 8-K, formatted in Inline XBRL.</w:t>
            </w:r>
          </w:p>
        </w:tc>
      </w:tr>
      <w:tr>
        <w:trPr>
          <w:trHeight w:val="786"/>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 w:name="page4"/>
    <w:bookmarkEnd w:id="3"/>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20"/>
        <w:spacing w:after="0"/>
        <w:tabs>
          <w:tab w:leader="none" w:pos="4240" w:val="left"/>
          <w:tab w:leader="none" w:pos="4780" w:val="left"/>
        </w:tabs>
        <w:rPr>
          <w:sz w:val="20"/>
          <w:szCs w:val="20"/>
          <w:color w:val="auto"/>
        </w:rPr>
      </w:pPr>
      <w:r>
        <w:rPr>
          <w:rFonts w:ascii="Arial" w:cs="Arial" w:eastAsia="Arial" w:hAnsi="Arial"/>
          <w:sz w:val="20"/>
          <w:szCs w:val="20"/>
          <w:color w:val="auto"/>
        </w:rPr>
        <w:t>Date: July 31,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27305</wp:posOffset>
            </wp:positionV>
            <wp:extent cx="4097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7"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p>
      <w:pPr>
        <w:sectPr>
          <w:pgSz w:w="11900" w:h="16838" w:orient="portrait"/>
          <w:cols w:equalWidth="0" w:num="1">
            <w:col w:w="11240"/>
          </w:cols>
          <w:pgMar w:left="320" w:top="1440"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9"/>
          <w:szCs w:val="29"/>
          <w:b w:val="1"/>
          <w:bCs w:val="1"/>
          <w:color w:val="auto"/>
        </w:rPr>
        <w:t>AnaptysBio Appoints Dr. Paul F. Lizzul As Chief Medical Officer</w:t>
      </w:r>
    </w:p>
    <w:p>
      <w:pPr>
        <w:spacing w:after="0" w:line="41" w:lineRule="exact"/>
        <w:rPr>
          <w:sz w:val="20"/>
          <w:szCs w:val="20"/>
          <w:color w:val="auto"/>
        </w:rPr>
      </w:pPr>
    </w:p>
    <w:p>
      <w:pPr>
        <w:ind w:left="2280"/>
        <w:spacing w:after="0"/>
        <w:rPr>
          <w:sz w:val="20"/>
          <w:szCs w:val="20"/>
          <w:color w:val="auto"/>
        </w:rPr>
      </w:pPr>
      <w:r>
        <w:rPr>
          <w:rFonts w:ascii="Arial" w:cs="Arial" w:eastAsia="Arial" w:hAnsi="Arial"/>
          <w:sz w:val="22"/>
          <w:szCs w:val="22"/>
          <w:color w:val="auto"/>
        </w:rPr>
        <w:t>Dermatology Physician-Scientist To Lead Wholly-Owned Pipeline Advancement</w:t>
      </w:r>
    </w:p>
    <w:p>
      <w:pPr>
        <w:spacing w:after="0" w:line="214" w:lineRule="exact"/>
        <w:rPr>
          <w:sz w:val="20"/>
          <w:szCs w:val="20"/>
          <w:color w:val="auto"/>
        </w:rPr>
      </w:pPr>
    </w:p>
    <w:p>
      <w:pPr>
        <w:ind w:right="520"/>
        <w:spacing w:after="0" w:line="231" w:lineRule="auto"/>
        <w:rPr>
          <w:sz w:val="20"/>
          <w:szCs w:val="20"/>
          <w:color w:val="auto"/>
        </w:rPr>
      </w:pPr>
      <w:r>
        <w:rPr>
          <w:rFonts w:ascii="Arial" w:cs="Arial" w:eastAsia="Arial" w:hAnsi="Arial"/>
          <w:sz w:val="19"/>
          <w:szCs w:val="19"/>
          <w:b w:val="1"/>
          <w:bCs w:val="1"/>
          <w:color w:val="auto"/>
        </w:rPr>
        <w:t>SAN DIEGO</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20"/>
          <w:szCs w:val="20"/>
          <w:b w:val="1"/>
          <w:bCs w:val="1"/>
          <w:color w:val="auto"/>
        </w:rPr>
        <w:t>July 31</w:t>
      </w:r>
      <w:r>
        <w:rPr>
          <w:rFonts w:ascii="Arial" w:cs="Arial" w:eastAsia="Arial" w:hAnsi="Arial"/>
          <w:sz w:val="27"/>
          <w:szCs w:val="27"/>
          <w:b w:val="1"/>
          <w:bCs w:val="1"/>
          <w:color w:val="auto"/>
          <w:vertAlign w:val="superscript"/>
        </w:rPr>
        <w:t>st</w:t>
      </w:r>
      <w:r>
        <w:rPr>
          <w:rFonts w:ascii="Arial" w:cs="Arial" w:eastAsia="Arial" w:hAnsi="Arial"/>
          <w:sz w:val="20"/>
          <w:szCs w:val="20"/>
          <w:b w:val="1"/>
          <w:bCs w:val="1"/>
          <w:color w:val="auto"/>
        </w:rPr>
        <w:t>, 2020</w:t>
      </w:r>
      <w:r>
        <w:rPr>
          <w:rFonts w:ascii="Arial" w:cs="Arial" w:eastAsia="Arial" w:hAnsi="Arial"/>
          <w:sz w:val="19"/>
          <w:szCs w:val="19"/>
          <w:b w:val="1"/>
          <w:bCs w:val="1"/>
          <w:color w:val="auto"/>
        </w:rPr>
        <w:t xml:space="preserve"> </w:t>
      </w:r>
      <w:r>
        <w:rPr>
          <w:rFonts w:ascii="Arial" w:cs="Arial" w:eastAsia="Arial" w:hAnsi="Arial"/>
          <w:sz w:val="19"/>
          <w:szCs w:val="19"/>
          <w:color w:val="auto"/>
        </w:rPr>
        <w:t>- AnaptysBio, Inc. (Nasdaq: ANAB), a clinical-stage biotechnology company developing first-in-class</w:t>
      </w:r>
      <w:r>
        <w:rPr>
          <w:rFonts w:ascii="Arial" w:cs="Arial" w:eastAsia="Arial" w:hAnsi="Arial"/>
          <w:sz w:val="19"/>
          <w:szCs w:val="19"/>
          <w:b w:val="1"/>
          <w:bCs w:val="1"/>
          <w:color w:val="auto"/>
        </w:rPr>
        <w:t xml:space="preserve"> </w:t>
      </w:r>
      <w:r>
        <w:rPr>
          <w:rFonts w:ascii="Arial" w:cs="Arial" w:eastAsia="Arial" w:hAnsi="Arial"/>
          <w:sz w:val="19"/>
          <w:szCs w:val="19"/>
          <w:color w:val="auto"/>
        </w:rPr>
        <w:t>antibody product candidates focused on emerging immune control mechanisms applicable to inflammation and immuno-oncology indications, today announced the appointment of Paul F. Lizzul, M.D., Ph.D. as Chief Medical Officer.</w:t>
      </w:r>
    </w:p>
    <w:p>
      <w:pPr>
        <w:spacing w:after="0" w:line="209"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“Paul’s extensive expertise in the development of immune-modulating therapeutics will be instrumental to the advancement of AnaptysBio’s wholly-owned pipeline programs,” said Hamza Suria, president and chief executive officer of AnaptysBio. “Seven AnaptysBio-generated therapeutic antibodies have advanced to the clinic to date, and we will continue leveraging our capital-efficient business model to further expand AnaptysBio’s product pipeline.”</w:t>
      </w:r>
    </w:p>
    <w:p>
      <w:pPr>
        <w:spacing w:after="0" w:line="210" w:lineRule="exact"/>
        <w:rPr>
          <w:sz w:val="20"/>
          <w:szCs w:val="20"/>
          <w:color w:val="auto"/>
        </w:rPr>
      </w:pPr>
    </w:p>
    <w:p>
      <w:pPr>
        <w:jc w:val="both"/>
        <w:ind w:right="360"/>
        <w:spacing w:after="0" w:line="237" w:lineRule="auto"/>
        <w:rPr>
          <w:sz w:val="20"/>
          <w:szCs w:val="20"/>
          <w:color w:val="auto"/>
        </w:rPr>
      </w:pPr>
      <w:r>
        <w:rPr>
          <w:rFonts w:ascii="Arial" w:cs="Arial" w:eastAsia="Arial" w:hAnsi="Arial"/>
          <w:sz w:val="20"/>
          <w:szCs w:val="20"/>
          <w:color w:val="auto"/>
        </w:rPr>
        <w:t>“I am excited to join the dedicated team at AnaptysBio and lead the development of our first-in-class antibody pipeline,” said Dr. Lizzul. “Our wholly-owned clinical-stage programs, including etokimab, imsidolimab and ANB030, have the potential to meaningfully improve medical care for patients suffering from debilitating inflammatory diseases.”</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Dr. Lizzul joins AnaptysBio as Chief Medical Officer and will lead the company’s development organization, including clinical medicine, clinical operations, regulatory affairs, pharmacology and toxicology. Prior to AnaptysBio, he has served as Global Development Lead for Inflammation at Amgen, Chief Medical Officer of Sienna Biopharmaceuticals and Senior Medical Director at Kythera Biopharmaceuticals. Dr. Lizzul served as Assistant Professor of Dermatology and conducted clinical research at Tufts Medical Center. He is a board-certified dermatologist, a faculty member of the American Academy of Dermatology and has also served on the United States Food and Drug Administration (FDA) Dermatology and Ophthalmic Drugs Advisory Committee. Dr. Lizzul received his M.D., Ph.D. in molecular genetics and M.P.H. in epidemiology from the Robert Wood Johnson Medical School at Rutgers. He has also earned an M.B.A. in entrepreneurship from the Rutgers Business School.</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anti-IL-33 antibody etokimab, previously referred to as ANB020, for the treatment of chronic rhinosinusitis with nasal polyps, or CRSwNP, and eosinophilic asthma; its anti-IL-36R antibody imsidolimab, previously referred to as ANB019, for the treatment of rare inflammatory diseases, including generalized pustular psoriasis, or GPP, and palmoplantar pustulosis, or PPP;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GlaxoSmithKline, including an anti-PD-1 antagonist antibody (dostarlimab, GSK4057190A), an anti-TIM-3 antagonist antibody (cobolimab, GSK4069889A) and an anti-LAG-3 antagonist antibody (GSK4074386), and an inflammation collaboration with Bristol-Myers Squibb, including an anti-PD-1 checkpoint agonist antibody (CC-90006) currently in clinical development.</w:t>
      </w:r>
    </w:p>
    <w:p>
      <w:pPr>
        <w:sectPr>
          <w:pgSz w:w="11900" w:h="16838" w:orient="portrait"/>
          <w:cols w:equalWidth="0" w:num="1">
            <w:col w:w="11200"/>
          </w:cols>
          <w:pgMar w:left="320" w:top="1403" w:right="379" w:bottom="1440" w:gutter="0" w:footer="0" w:header="0"/>
        </w:sectPr>
      </w:pPr>
    </w:p>
    <w:bookmarkStart w:id="5" w:name="page6"/>
    <w:bookmarkEnd w:id="5"/>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3" w:lineRule="auto"/>
        <w:rPr>
          <w:sz w:val="20"/>
          <w:szCs w:val="20"/>
          <w:color w:val="auto"/>
        </w:rPr>
      </w:pPr>
      <w:r>
        <w:rPr>
          <w:rFonts w:ascii="Arial" w:cs="Arial" w:eastAsia="Arial" w:hAnsi="Arial"/>
          <w:sz w:val="20"/>
          <w:szCs w:val="20"/>
          <w:color w:val="auto"/>
        </w:rPr>
        <w:t>Dennis Mulroy</w:t>
      </w:r>
    </w:p>
    <w:p>
      <w:pPr>
        <w:spacing w:after="0" w:line="226" w:lineRule="auto"/>
        <w:rPr>
          <w:sz w:val="20"/>
          <w:szCs w:val="20"/>
          <w:color w:val="auto"/>
        </w:rPr>
      </w:pPr>
      <w:r>
        <w:rPr>
          <w:rFonts w:ascii="Arial" w:cs="Arial" w:eastAsia="Arial" w:hAnsi="Arial"/>
          <w:sz w:val="20"/>
          <w:szCs w:val="20"/>
          <w:color w:val="auto"/>
        </w:rPr>
        <w:t>AnaptysBio, Inc.</w:t>
      </w:r>
    </w:p>
    <w:p>
      <w:pPr>
        <w:spacing w:after="0" w:line="225" w:lineRule="auto"/>
        <w:rPr>
          <w:sz w:val="20"/>
          <w:szCs w:val="20"/>
          <w:color w:val="auto"/>
        </w:rPr>
      </w:pPr>
      <w:r>
        <w:rPr>
          <w:rFonts w:ascii="Arial" w:cs="Arial" w:eastAsia="Arial" w:hAnsi="Arial"/>
          <w:sz w:val="20"/>
          <w:szCs w:val="20"/>
          <w:color w:val="auto"/>
        </w:rPr>
        <w:t>858-732-0201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563C1"/>
        </w:rPr>
        <w:t>dmulroy@anaptysbio.com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2020-07-31T07:47:11Z</dcterms:created>
  <dcterms:modified xsi:type="dcterms:W3CDTF">2020-07-31T07:47:11Z</dcterms:modified>
</cp:coreProperties>
</file>