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-199390</wp:posOffset>
            </wp:positionV>
            <wp:extent cx="26244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165735</wp:posOffset>
            </wp:positionV>
            <wp:extent cx="26244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183515</wp:posOffset>
            </wp:positionV>
            <wp:extent cx="2624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28" w:lineRule="exact"/>
        <w:rPr>
          <w:sz w:val="24"/>
          <w:szCs w:val="24"/>
          <w:color w:val="auto"/>
        </w:rPr>
      </w:pPr>
    </w:p>
    <w:p>
      <w:pPr>
        <w:ind w:left="3460"/>
        <w:spacing w:after="0"/>
        <w:tabs>
          <w:tab w:leader="none" w:pos="6760" w:val="left"/>
          <w:tab w:leader="none" w:pos="7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13239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180340</wp:posOffset>
            </wp:positionV>
            <wp:extent cx="2624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ANAPTYSBIO, INC.</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180340</wp:posOffset>
            </wp:positionV>
            <wp:extent cx="2624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2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82" w:lineRule="exact"/>
        <w:rPr>
          <w:sz w:val="24"/>
          <w:szCs w:val="24"/>
          <w:color w:val="auto"/>
        </w:rPr>
      </w:pPr>
    </w:p>
    <w:p>
      <w:pPr>
        <w:sectPr>
          <w:pgSz w:w="11900" w:h="16838" w:orient="portrait"/>
          <w:cols w:equalWidth="0" w:num="2">
            <w:col w:w="7260" w:space="720"/>
            <w:col w:w="3440"/>
          </w:cols>
          <w:pgMar w:left="240" w:top="486" w:right="239" w:bottom="1440" w:gutter="0" w:footer="0" w:header="0"/>
          <w:type w:val="continuous"/>
        </w:sectPr>
      </w:pPr>
    </w:p>
    <w:p>
      <w:pPr>
        <w:ind w:left="216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1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30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6980" w:space="720"/>
            <w:col w:w="3720"/>
          </w:cols>
          <w:pgMar w:left="240" w:top="486" w:right="239" w:bottom="1440" w:gutter="0" w:footer="0" w:header="0"/>
          <w:type w:val="continuous"/>
        </w:sectPr>
      </w:pP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10421 Pacific Center Court, Suite 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362-6295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182245</wp:posOffset>
            </wp:positionV>
            <wp:extent cx="2624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p>
      <w:pPr>
        <w:spacing w:after="0" w:line="341"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2"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60"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8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8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20"/>
              <w:spacing w:after="0"/>
              <w:rPr>
                <w:sz w:val="20"/>
                <w:szCs w:val="20"/>
                <w:color w:val="auto"/>
              </w:rPr>
            </w:pPr>
            <w:r>
              <w:rPr>
                <w:rFonts w:ascii="Arial" w:cs="Arial" w:eastAsia="Arial" w:hAnsi="Arial"/>
                <w:sz w:val="18"/>
                <w:szCs w:val="18"/>
                <w:color w:val="auto"/>
              </w:rPr>
              <w:t>x</w:t>
            </w:r>
          </w:p>
        </w:tc>
      </w:tr>
      <w:tr>
        <w:trPr>
          <w:trHeight w:val="392"/>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5080" w:type="dxa"/>
            <w:vAlign w:val="bottom"/>
          </w:tcPr>
          <w:p>
            <w:pPr>
              <w:ind w:left="5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80" w:type="dxa"/>
            <w:vAlign w:val="bottom"/>
          </w:tcPr>
          <w:p>
            <w:pPr>
              <w:ind w:left="98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2"/>
        </w:trPr>
        <w:tc>
          <w:tcPr>
            <w:tcW w:w="21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380" w:type="dxa"/>
            <w:vAlign w:val="bottom"/>
          </w:tcPr>
          <w:p>
            <w:pPr>
              <w:ind w:left="98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20"/>
              <w:spacing w:after="0"/>
              <w:rPr>
                <w:sz w:val="20"/>
                <w:szCs w:val="20"/>
                <w:color w:val="auto"/>
              </w:rPr>
            </w:pPr>
            <w:r>
              <w:rPr>
                <w:rFonts w:ascii="Arial" w:cs="Arial" w:eastAsia="Arial" w:hAnsi="Arial"/>
                <w:sz w:val="18"/>
                <w:szCs w:val="18"/>
                <w:color w:val="auto"/>
              </w:rPr>
              <w:t>x</w:t>
            </w:r>
          </w:p>
        </w:tc>
      </w:tr>
    </w:tbl>
    <w:p>
      <w:pPr>
        <w:spacing w:after="0" w:line="67" w:lineRule="exact"/>
        <w:rPr>
          <w:sz w:val="24"/>
          <w:szCs w:val="24"/>
          <w:color w:val="auto"/>
        </w:rPr>
      </w:pPr>
    </w:p>
    <w:p>
      <w:pPr>
        <w:jc w:val="both"/>
        <w:ind w:right="140"/>
        <w:spacing w:after="0" w:line="26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 w:lineRule="exact"/>
        <w:rPr>
          <w:sz w:val="24"/>
          <w:szCs w:val="24"/>
          <w:color w:val="auto"/>
        </w:rPr>
      </w:pPr>
    </w:p>
    <w:p>
      <w:pPr>
        <w:spacing w:after="0" w:line="207" w:lineRule="exact"/>
        <w:tabs>
          <w:tab w:leader="none" w:pos="7640" w:val="left"/>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As of May 4, 2018, there were 23,497,680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177800</wp:posOffset>
            </wp:positionV>
            <wp:extent cx="2624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1" w:name="page2"/>
    <w:bookmarkEnd w:id="1"/>
    <w:p>
      <w:pPr>
        <w:jc w:val="center"/>
        <w:ind w:left="1520"/>
        <w:spacing w:after="0"/>
        <w:rPr>
          <w:sz w:val="20"/>
          <w:szCs w:val="20"/>
          <w:color w:val="auto"/>
        </w:rPr>
      </w:pPr>
      <w:r>
        <w:rPr>
          <w:rFonts w:ascii="Arial" w:cs="Arial" w:eastAsia="Arial" w:hAnsi="Arial"/>
          <w:sz w:val="22"/>
          <w:szCs w:val="22"/>
          <w:b w:val="1"/>
          <w:bCs w:val="1"/>
          <w:color w:val="auto"/>
        </w:rPr>
        <w:t>ANAPTYSBIO, INC.</w:t>
      </w:r>
    </w:p>
    <w:p>
      <w:pPr>
        <w:spacing w:after="0" w:line="28" w:lineRule="exact"/>
        <w:rPr>
          <w:sz w:val="20"/>
          <w:szCs w:val="20"/>
          <w:color w:val="auto"/>
        </w:rPr>
      </w:pPr>
    </w:p>
    <w:p>
      <w:pPr>
        <w:jc w:val="center"/>
        <w:ind w:left="152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23" w:lineRule="exact"/>
        <w:rPr>
          <w:sz w:val="20"/>
          <w:szCs w:val="20"/>
          <w:color w:val="auto"/>
        </w:rPr>
      </w:pPr>
    </w:p>
    <w:p>
      <w:pPr>
        <w:ind w:left="40"/>
        <w:spacing w:after="0"/>
        <w:tabs>
          <w:tab w:leader="none" w:pos="1620" w:val="left"/>
        </w:tabs>
        <w:rPr>
          <w:rFonts w:ascii="Arial" w:cs="Arial" w:eastAsia="Arial" w:hAnsi="Arial"/>
          <w:sz w:val="16"/>
          <w:szCs w:val="16"/>
          <w:u w:val="single" w:color="auto"/>
          <w:color w:val="0000EE"/>
        </w:rPr>
      </w:pPr>
      <w:hyperlink w:anchor="page3">
        <w:r>
          <w:rPr>
            <w:rFonts w:ascii="Arial" w:cs="Arial" w:eastAsia="Arial" w:hAnsi="Arial"/>
            <w:sz w:val="18"/>
            <w:szCs w:val="18"/>
            <w:color w:val="auto"/>
          </w:rPr>
          <w:t>Item 1.</w:t>
        </w:r>
      </w:hyperlink>
      <w:r>
        <w:rPr>
          <w:rFonts w:ascii="Arial" w:cs="Arial" w:eastAsia="Arial" w:hAnsi="Arial"/>
          <w:sz w:val="18"/>
          <w:szCs w:val="18"/>
          <w:color w:val="auto"/>
        </w:rPr>
        <w:tab/>
      </w:r>
      <w:hyperlink w:anchor="page3">
        <w:r>
          <w:rPr>
            <w:rFonts w:ascii="Arial" w:cs="Arial" w:eastAsia="Arial" w:hAnsi="Arial"/>
            <w:sz w:val="16"/>
            <w:szCs w:val="16"/>
            <w:u w:val="single" w:color="auto"/>
            <w:color w:val="0000EE"/>
          </w:rPr>
          <w:t>Consolidated Financial Statements (unaudited)</w:t>
        </w:r>
      </w:hyperlink>
    </w:p>
    <w:p>
      <w:pPr>
        <w:spacing w:after="0" w:line="144" w:lineRule="exact"/>
        <w:rPr>
          <w:sz w:val="20"/>
          <w:szCs w:val="20"/>
          <w:color w:val="auto"/>
        </w:rPr>
      </w:pPr>
    </w:p>
    <w:p>
      <w:pPr>
        <w:ind w:left="16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 as of March 31, 2018 and December 31,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spacing w:after="0" w:line="124" w:lineRule="exact"/>
        <w:rPr>
          <w:sz w:val="20"/>
          <w:szCs w:val="20"/>
          <w:color w:val="auto"/>
        </w:rPr>
      </w:pPr>
    </w:p>
    <w:p>
      <w:pPr>
        <w:ind w:left="1640"/>
        <w:spacing w:after="0" w:line="277"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Operations and Comprehensive Loss for the Three Months Ended March 31, 2018 and</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2017</w:t>
        </w:r>
      </w:hyperlink>
    </w:p>
    <w:p>
      <w:pPr>
        <w:spacing w:after="0" w:line="89" w:lineRule="exact"/>
        <w:rPr>
          <w:sz w:val="20"/>
          <w:szCs w:val="20"/>
          <w:color w:val="auto"/>
        </w:rPr>
      </w:pPr>
    </w:p>
    <w:p>
      <w:pPr>
        <w:ind w:left="1640" w:right="1400"/>
        <w:spacing w:after="0" w:line="407"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Cash Flows for the Three Months Ended March 31, 2018 and 2017</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Notes to the Unaudited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40"/>
        <w:spacing w:after="0"/>
        <w:tabs>
          <w:tab w:leader="none" w:pos="1620" w:val="left"/>
        </w:tabs>
        <w:rPr>
          <w:rFonts w:ascii="Arial" w:cs="Arial" w:eastAsia="Arial" w:hAnsi="Arial"/>
          <w:sz w:val="16"/>
          <w:szCs w:val="16"/>
          <w:u w:val="single" w:color="auto"/>
          <w:color w:val="0000EE"/>
        </w:rPr>
      </w:pPr>
      <w:hyperlink w:anchor="page18">
        <w:r>
          <w:rPr>
            <w:rFonts w:ascii="Arial" w:cs="Arial" w:eastAsia="Arial" w:hAnsi="Arial"/>
            <w:sz w:val="18"/>
            <w:szCs w:val="18"/>
            <w:color w:val="auto"/>
          </w:rPr>
          <w:t>Item 2.</w:t>
        </w:r>
      </w:hyperlink>
      <w:r>
        <w:rPr>
          <w:rFonts w:ascii="Arial" w:cs="Arial" w:eastAsia="Arial" w:hAnsi="Arial"/>
          <w:sz w:val="18"/>
          <w:szCs w:val="18"/>
          <w:color w:val="auto"/>
        </w:rPr>
        <w:tab/>
      </w:r>
      <w:hyperlink w:anchor="page18">
        <w:r>
          <w:rPr>
            <w:rFonts w:ascii="Arial" w:cs="Arial" w:eastAsia="Arial" w:hAnsi="Arial"/>
            <w:sz w:val="16"/>
            <w:szCs w:val="16"/>
            <w:u w:val="single" w:color="auto"/>
            <w:color w:val="0000EE"/>
          </w:rPr>
          <w:t>Management’s Discussion and Analysis of Financial Condition and Results of Operations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24" w:lineRule="exact"/>
        <w:rPr>
          <w:sz w:val="20"/>
          <w:szCs w:val="20"/>
          <w:color w:val="auto"/>
        </w:rPr>
      </w:pPr>
    </w:p>
    <w:p>
      <w:pPr>
        <w:ind w:left="40"/>
        <w:spacing w:after="0"/>
        <w:tabs>
          <w:tab w:leader="none" w:pos="1620" w:val="left"/>
        </w:tabs>
        <w:rPr>
          <w:rFonts w:ascii="Arial" w:cs="Arial" w:eastAsia="Arial" w:hAnsi="Arial"/>
          <w:sz w:val="16"/>
          <w:szCs w:val="16"/>
          <w:u w:val="single" w:color="auto"/>
          <w:color w:val="0000EE"/>
        </w:rPr>
      </w:pPr>
      <w:hyperlink w:anchor="page27">
        <w:r>
          <w:rPr>
            <w:rFonts w:ascii="Arial" w:cs="Arial" w:eastAsia="Arial" w:hAnsi="Arial"/>
            <w:sz w:val="18"/>
            <w:szCs w:val="18"/>
            <w:color w:val="auto"/>
          </w:rPr>
          <w:t>Item 3.</w:t>
        </w:r>
      </w:hyperlink>
      <w:r>
        <w:rPr>
          <w:rFonts w:ascii="Arial" w:cs="Arial" w:eastAsia="Arial" w:hAnsi="Arial"/>
          <w:sz w:val="18"/>
          <w:szCs w:val="18"/>
          <w:color w:val="auto"/>
        </w:rPr>
        <w:tab/>
      </w:r>
      <w:hyperlink w:anchor="page27">
        <w:r>
          <w:rPr>
            <w:rFonts w:ascii="Arial" w:cs="Arial" w:eastAsia="Arial" w:hAnsi="Arial"/>
            <w:sz w:val="16"/>
            <w:szCs w:val="16"/>
            <w:u w:val="single" w:color="auto"/>
            <w:color w:val="0000EE"/>
          </w:rPr>
          <w:t>Quantitative and Qualitative Disclosures About Market Risk</w:t>
        </w:r>
      </w:hyperlink>
    </w:p>
    <w:p>
      <w:pPr>
        <w:spacing w:after="0" w:line="144" w:lineRule="exact"/>
        <w:rPr>
          <w:sz w:val="20"/>
          <w:szCs w:val="20"/>
          <w:color w:val="auto"/>
        </w:rPr>
      </w:pPr>
    </w:p>
    <w:p>
      <w:pPr>
        <w:ind w:left="40"/>
        <w:spacing w:after="0"/>
        <w:tabs>
          <w:tab w:leader="none" w:pos="1620" w:val="left"/>
        </w:tabs>
        <w:rPr>
          <w:rFonts w:ascii="Arial" w:cs="Arial" w:eastAsia="Arial" w:hAnsi="Arial"/>
          <w:sz w:val="16"/>
          <w:szCs w:val="16"/>
          <w:u w:val="single" w:color="auto"/>
          <w:color w:val="0000EE"/>
        </w:rPr>
      </w:pPr>
      <w:hyperlink w:anchor="page27">
        <w:r>
          <w:rPr>
            <w:rFonts w:ascii="Arial" w:cs="Arial" w:eastAsia="Arial" w:hAnsi="Arial"/>
            <w:sz w:val="18"/>
            <w:szCs w:val="18"/>
            <w:color w:val="auto"/>
          </w:rPr>
          <w:t>Item 4.</w:t>
        </w:r>
      </w:hyperlink>
      <w:r>
        <w:rPr>
          <w:rFonts w:ascii="Arial" w:cs="Arial" w:eastAsia="Arial" w:hAnsi="Arial"/>
          <w:sz w:val="18"/>
          <w:szCs w:val="18"/>
          <w:color w:val="auto"/>
        </w:rPr>
        <w:tab/>
      </w:r>
      <w:hyperlink w:anchor="page27">
        <w:r>
          <w:rPr>
            <w:rFonts w:ascii="Arial" w:cs="Arial" w:eastAsia="Arial" w:hAnsi="Arial"/>
            <w:sz w:val="16"/>
            <w:szCs w:val="16"/>
            <w:u w:val="single" w:color="auto"/>
            <w:color w:val="0000EE"/>
          </w:rPr>
          <w:t>Controls and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53975</wp:posOffset>
            </wp:positionV>
            <wp:extent cx="934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p>
      <w:pPr>
        <w:spacing w:after="0" w:line="144" w:lineRule="exact"/>
        <w:rPr>
          <w:sz w:val="20"/>
          <w:szCs w:val="20"/>
          <w:color w:val="auto"/>
        </w:rPr>
      </w:pPr>
    </w:p>
    <w:p>
      <w:pPr>
        <w:ind w:left="440"/>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p>
      <w:pPr>
        <w:spacing w:after="0" w:line="360" w:lineRule="exact"/>
        <w:rPr>
          <w:sz w:val="20"/>
          <w:szCs w:val="20"/>
          <w:color w:val="auto"/>
        </w:rPr>
      </w:pPr>
    </w:p>
    <w:p>
      <w:pPr>
        <w:ind w:left="440"/>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p>
      <w:pPr>
        <w:spacing w:after="0" w:line="144" w:lineRule="exact"/>
        <w:rPr>
          <w:sz w:val="20"/>
          <w:szCs w:val="20"/>
          <w:color w:val="auto"/>
        </w:rPr>
      </w:pPr>
    </w:p>
    <w:p>
      <w:pPr>
        <w:ind w:left="440"/>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p>
      <w:pPr>
        <w:spacing w:after="0" w:line="144" w:lineRule="exact"/>
        <w:rPr>
          <w:sz w:val="20"/>
          <w:szCs w:val="20"/>
          <w:color w:val="auto"/>
        </w:rPr>
      </w:pPr>
    </w:p>
    <w:p>
      <w:pPr>
        <w:ind w:left="440"/>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18">
        <w:r>
          <w:rPr>
            <w:rFonts w:ascii="Arial" w:cs="Arial" w:eastAsia="Arial" w:hAnsi="Arial"/>
            <w:sz w:val="18"/>
            <w:szCs w:val="18"/>
            <w:color w:val="auto"/>
          </w:rPr>
          <w:t>16</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27">
        <w:r>
          <w:rPr>
            <w:rFonts w:ascii="Arial" w:cs="Arial" w:eastAsia="Arial" w:hAnsi="Arial"/>
            <w:sz w:val="18"/>
            <w:szCs w:val="18"/>
            <w:color w:val="auto"/>
          </w:rPr>
          <w:t>25</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27">
        <w:r>
          <w:rPr>
            <w:rFonts w:ascii="Arial" w:cs="Arial" w:eastAsia="Arial" w:hAnsi="Arial"/>
            <w:sz w:val="18"/>
            <w:szCs w:val="18"/>
            <w:color w:val="auto"/>
          </w:rPr>
          <w:t>25</w:t>
        </w:r>
      </w:hyperlink>
    </w:p>
    <w:p>
      <w:pPr>
        <w:spacing w:after="0" w:line="790" w:lineRule="exact"/>
        <w:rPr>
          <w:sz w:val="20"/>
          <w:szCs w:val="20"/>
          <w:color w:val="auto"/>
        </w:rPr>
      </w:pPr>
    </w:p>
    <w:p>
      <w:pPr>
        <w:sectPr>
          <w:pgSz w:w="11900" w:h="16838" w:orient="portrait"/>
          <w:cols w:equalWidth="0" w:num="2">
            <w:col w:w="9900" w:space="300"/>
            <w:col w:w="1220"/>
          </w:cols>
          <w:pgMar w:left="240" w:top="369" w:right="239" w:bottom="1440" w:gutter="0" w:footer="0" w:header="0"/>
        </w:sectPr>
      </w:pP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ind w:left="40"/>
              <w:spacing w:after="0"/>
              <w:rPr>
                <w:rFonts w:ascii="Arial" w:cs="Arial" w:eastAsia="Arial" w:hAnsi="Arial"/>
                <w:sz w:val="18"/>
                <w:szCs w:val="18"/>
                <w:color w:val="auto"/>
              </w:rPr>
            </w:pPr>
            <w:hyperlink w:anchor="page28">
              <w:r>
                <w:rPr>
                  <w:rFonts w:ascii="Arial" w:cs="Arial" w:eastAsia="Arial" w:hAnsi="Arial"/>
                  <w:sz w:val="18"/>
                  <w:szCs w:val="18"/>
                  <w:color w:val="auto"/>
                </w:rPr>
                <w:t>Item 1.</w:t>
              </w:r>
            </w:hyperlink>
          </w:p>
        </w:tc>
        <w:tc>
          <w:tcPr>
            <w:tcW w:w="6660" w:type="dxa"/>
            <w:vAlign w:val="bottom"/>
            <w:gridSpan w:val="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3120" w:type="dxa"/>
            <w:vAlign w:val="bottom"/>
            <w:vMerge w:val="restart"/>
          </w:tcPr>
          <w:p>
            <w:pPr>
              <w:jc w:val="right"/>
              <w:ind w:right="550"/>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102"/>
        </w:trPr>
        <w:tc>
          <w:tcPr>
            <w:tcW w:w="164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40" w:type="dxa"/>
            <w:vAlign w:val="bottom"/>
            <w:shd w:val="clear" w:color="auto" w:fill="CCEEFF"/>
          </w:tcPr>
          <w:p>
            <w:pPr>
              <w:ind w:left="40"/>
              <w:spacing w:after="0" w:line="202" w:lineRule="exact"/>
              <w:rPr>
                <w:rFonts w:ascii="Arial" w:cs="Arial" w:eastAsia="Arial" w:hAnsi="Arial"/>
                <w:sz w:val="18"/>
                <w:szCs w:val="18"/>
                <w:color w:val="auto"/>
              </w:rPr>
            </w:pPr>
            <w:hyperlink w:anchor="page28">
              <w:r>
                <w:rPr>
                  <w:rFonts w:ascii="Arial" w:cs="Arial" w:eastAsia="Arial" w:hAnsi="Arial"/>
                  <w:sz w:val="18"/>
                  <w:szCs w:val="18"/>
                  <w:color w:val="auto"/>
                </w:rPr>
                <w:t>Item 1A.</w:t>
              </w:r>
            </w:hyperlink>
          </w:p>
        </w:tc>
        <w:tc>
          <w:tcPr>
            <w:tcW w:w="6660" w:type="dxa"/>
            <w:vAlign w:val="bottom"/>
            <w:gridSpan w:val="8"/>
            <w:shd w:val="clear" w:color="auto" w:fill="CCEEFF"/>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3120" w:type="dxa"/>
            <w:vAlign w:val="bottom"/>
            <w:vMerge w:val="restart"/>
            <w:shd w:val="clear" w:color="auto" w:fill="CCEEFF"/>
          </w:tcPr>
          <w:p>
            <w:pPr>
              <w:jc w:val="right"/>
              <w:ind w:right="550"/>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109"/>
        </w:trPr>
        <w:tc>
          <w:tcPr>
            <w:tcW w:w="1640" w:type="dxa"/>
            <w:vAlign w:val="bottom"/>
            <w:tcBorders>
              <w:top w:val="single" w:sz="8" w:color="CCEEFF"/>
              <w:bottom w:val="single" w:sz="8" w:color="CCEEFF"/>
            </w:tcBorders>
            <w:shd w:val="clear" w:color="auto" w:fill="CCEEFF"/>
          </w:tcPr>
          <w:p>
            <w:pPr>
              <w:spacing w:after="0"/>
              <w:rPr>
                <w:sz w:val="9"/>
                <w:szCs w:val="9"/>
                <w:color w:val="auto"/>
              </w:rPr>
            </w:pPr>
          </w:p>
        </w:tc>
        <w:tc>
          <w:tcPr>
            <w:tcW w:w="600" w:type="dxa"/>
            <w:vAlign w:val="bottom"/>
            <w:tcBorders>
              <w:top w:val="single" w:sz="8" w:color="0000EE"/>
              <w:bottom w:val="single" w:sz="8" w:color="CCEEFF"/>
            </w:tcBorders>
            <w:shd w:val="clear" w:color="auto" w:fill="CCEEFF"/>
          </w:tcPr>
          <w:p>
            <w:pPr>
              <w:spacing w:after="0"/>
              <w:rPr>
                <w:sz w:val="9"/>
                <w:szCs w:val="9"/>
                <w:color w:val="auto"/>
              </w:rPr>
            </w:pPr>
          </w:p>
        </w:tc>
        <w:tc>
          <w:tcPr>
            <w:tcW w:w="300" w:type="dxa"/>
            <w:vAlign w:val="bottom"/>
            <w:tcBorders>
              <w:top w:val="single" w:sz="8" w:color="0000EE"/>
              <w:bottom w:val="single" w:sz="8" w:color="CCEEFF"/>
            </w:tcBorders>
            <w:shd w:val="clear" w:color="auto" w:fill="CCEEFF"/>
          </w:tcPr>
          <w:p>
            <w:pPr>
              <w:spacing w:after="0"/>
              <w:rPr>
                <w:sz w:val="9"/>
                <w:szCs w:val="9"/>
                <w:color w:val="auto"/>
              </w:rPr>
            </w:pPr>
          </w:p>
        </w:tc>
        <w:tc>
          <w:tcPr>
            <w:tcW w:w="4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440" w:type="dxa"/>
            <w:vAlign w:val="bottom"/>
            <w:tcBorders>
              <w:top w:val="single" w:sz="8" w:color="CCEEFF"/>
              <w:bottom w:val="single" w:sz="8" w:color="CCEEFF"/>
            </w:tcBorders>
            <w:shd w:val="clear" w:color="auto" w:fill="CCEEFF"/>
          </w:tcPr>
          <w:p>
            <w:pPr>
              <w:spacing w:after="0"/>
              <w:rPr>
                <w:sz w:val="9"/>
                <w:szCs w:val="9"/>
                <w:color w:val="auto"/>
              </w:rPr>
            </w:pPr>
          </w:p>
        </w:tc>
        <w:tc>
          <w:tcPr>
            <w:tcW w:w="540" w:type="dxa"/>
            <w:vAlign w:val="bottom"/>
            <w:tcBorders>
              <w:top w:val="single" w:sz="8" w:color="CCEEFF"/>
              <w:bottom w:val="single" w:sz="8" w:color="CCEEFF"/>
            </w:tcBorders>
            <w:shd w:val="clear" w:color="auto" w:fill="CCEEFF"/>
          </w:tcPr>
          <w:p>
            <w:pPr>
              <w:spacing w:after="0"/>
              <w:rPr>
                <w:sz w:val="9"/>
                <w:szCs w:val="9"/>
                <w:color w:val="auto"/>
              </w:rPr>
            </w:pPr>
          </w:p>
        </w:tc>
        <w:tc>
          <w:tcPr>
            <w:tcW w:w="2040" w:type="dxa"/>
            <w:vAlign w:val="bottom"/>
            <w:tcBorders>
              <w:top w:val="single" w:sz="8" w:color="CCEEFF"/>
              <w:bottom w:val="single" w:sz="8" w:color="CCEEFF"/>
            </w:tcBorders>
            <w:shd w:val="clear" w:color="auto" w:fill="CCEEFF"/>
          </w:tcPr>
          <w:p>
            <w:pPr>
              <w:spacing w:after="0"/>
              <w:rPr>
                <w:sz w:val="9"/>
                <w:szCs w:val="9"/>
                <w:color w:val="auto"/>
              </w:rPr>
            </w:pPr>
          </w:p>
        </w:tc>
        <w:tc>
          <w:tcPr>
            <w:tcW w:w="2300" w:type="dxa"/>
            <w:vAlign w:val="bottom"/>
            <w:tcBorders>
              <w:top w:val="single" w:sz="8" w:color="CCEEFF"/>
              <w:bottom w:val="single" w:sz="8" w:color="CCEEFF"/>
            </w:tcBorders>
            <w:shd w:val="clear" w:color="auto" w:fill="CCEEFF"/>
          </w:tcPr>
          <w:p>
            <w:pPr>
              <w:spacing w:after="0"/>
              <w:rPr>
                <w:sz w:val="9"/>
                <w:szCs w:val="9"/>
                <w:color w:val="auto"/>
              </w:rPr>
            </w:pPr>
          </w:p>
        </w:tc>
        <w:tc>
          <w:tcPr>
            <w:tcW w:w="312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40"/>
              <w:spacing w:after="0" w:line="202" w:lineRule="exact"/>
              <w:rPr>
                <w:rFonts w:ascii="Arial" w:cs="Arial" w:eastAsia="Arial" w:hAnsi="Arial"/>
                <w:sz w:val="18"/>
                <w:szCs w:val="18"/>
                <w:color w:val="auto"/>
              </w:rPr>
            </w:pPr>
            <w:hyperlink w:anchor="page60">
              <w:r>
                <w:rPr>
                  <w:rFonts w:ascii="Arial" w:cs="Arial" w:eastAsia="Arial" w:hAnsi="Arial"/>
                  <w:sz w:val="18"/>
                  <w:szCs w:val="18"/>
                  <w:color w:val="auto"/>
                </w:rPr>
                <w:t>Item 2.</w:t>
              </w:r>
            </w:hyperlink>
          </w:p>
        </w:tc>
        <w:tc>
          <w:tcPr>
            <w:tcW w:w="6660" w:type="dxa"/>
            <w:vAlign w:val="bottom"/>
            <w:gridSpan w:val="8"/>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Unregistered Sales of Equity Securities and Use of Proceeds</w:t>
              </w:r>
            </w:hyperlink>
          </w:p>
        </w:tc>
        <w:tc>
          <w:tcPr>
            <w:tcW w:w="3120" w:type="dxa"/>
            <w:vAlign w:val="bottom"/>
            <w:vMerge w:val="restart"/>
          </w:tcPr>
          <w:p>
            <w:pPr>
              <w:jc w:val="right"/>
              <w:ind w:right="550"/>
              <w:spacing w:after="0"/>
              <w:rPr>
                <w:rFonts w:ascii="Arial" w:cs="Arial" w:eastAsia="Arial" w:hAnsi="Arial"/>
                <w:sz w:val="18"/>
                <w:szCs w:val="18"/>
                <w:color w:val="auto"/>
              </w:rPr>
            </w:pPr>
            <w:hyperlink w:anchor="page60">
              <w:r>
                <w:rPr>
                  <w:rFonts w:ascii="Arial" w:cs="Arial" w:eastAsia="Arial" w:hAnsi="Arial"/>
                  <w:sz w:val="18"/>
                  <w:szCs w:val="18"/>
                  <w:color w:val="auto"/>
                </w:rPr>
                <w:t>58</w:t>
              </w:r>
            </w:hyperlink>
          </w:p>
        </w:tc>
        <w:tc>
          <w:tcPr>
            <w:tcW w:w="0" w:type="dxa"/>
            <w:vAlign w:val="bottom"/>
          </w:tcPr>
          <w:p>
            <w:pPr>
              <w:spacing w:after="0"/>
              <w:rPr>
                <w:sz w:val="1"/>
                <w:szCs w:val="1"/>
                <w:color w:val="auto"/>
              </w:rPr>
            </w:pPr>
          </w:p>
        </w:tc>
      </w:tr>
      <w:tr>
        <w:trPr>
          <w:trHeight w:val="102"/>
        </w:trPr>
        <w:tc>
          <w:tcPr>
            <w:tcW w:w="164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40" w:type="dxa"/>
            <w:vAlign w:val="bottom"/>
            <w:tcBorders>
              <w:top w:val="single" w:sz="8" w:color="0000EE"/>
            </w:tcBorders>
          </w:tcPr>
          <w:p>
            <w:pPr>
              <w:spacing w:after="0"/>
              <w:rPr>
                <w:sz w:val="8"/>
                <w:szCs w:val="8"/>
                <w:color w:val="auto"/>
              </w:rPr>
            </w:pPr>
          </w:p>
        </w:tc>
        <w:tc>
          <w:tcPr>
            <w:tcW w:w="230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40" w:type="dxa"/>
            <w:vAlign w:val="bottom"/>
            <w:shd w:val="clear" w:color="auto" w:fill="CCEEFF"/>
          </w:tcPr>
          <w:p>
            <w:pPr>
              <w:ind w:left="40"/>
              <w:spacing w:after="0" w:line="202" w:lineRule="exact"/>
              <w:rPr>
                <w:rFonts w:ascii="Arial" w:cs="Arial" w:eastAsia="Arial" w:hAnsi="Arial"/>
                <w:sz w:val="18"/>
                <w:szCs w:val="18"/>
                <w:color w:val="auto"/>
              </w:rPr>
            </w:pPr>
            <w:hyperlink w:anchor="page61">
              <w:r>
                <w:rPr>
                  <w:rFonts w:ascii="Arial" w:cs="Arial" w:eastAsia="Arial" w:hAnsi="Arial"/>
                  <w:sz w:val="18"/>
                  <w:szCs w:val="18"/>
                  <w:color w:val="auto"/>
                </w:rPr>
                <w:t>Item 3.</w:t>
              </w:r>
            </w:hyperlink>
          </w:p>
        </w:tc>
        <w:tc>
          <w:tcPr>
            <w:tcW w:w="6660" w:type="dxa"/>
            <w:vAlign w:val="bottom"/>
            <w:gridSpan w:val="8"/>
            <w:shd w:val="clear" w:color="auto" w:fill="CCEEFF"/>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Defaults Upon Senior Securities</w:t>
              </w:r>
            </w:hyperlink>
          </w:p>
        </w:tc>
        <w:tc>
          <w:tcPr>
            <w:tcW w:w="3120" w:type="dxa"/>
            <w:vAlign w:val="bottom"/>
            <w:vMerge w:val="restart"/>
            <w:shd w:val="clear" w:color="auto" w:fill="CCEEFF"/>
          </w:tcPr>
          <w:p>
            <w:pPr>
              <w:jc w:val="right"/>
              <w:ind w:right="550"/>
              <w:spacing w:after="0"/>
              <w:rPr>
                <w:rFonts w:ascii="Arial" w:cs="Arial" w:eastAsia="Arial" w:hAnsi="Arial"/>
                <w:sz w:val="18"/>
                <w:szCs w:val="18"/>
                <w:color w:val="auto"/>
              </w:rPr>
            </w:pPr>
            <w:hyperlink w:anchor="page61">
              <w:r>
                <w:rPr>
                  <w:rFonts w:ascii="Arial" w:cs="Arial" w:eastAsia="Arial" w:hAnsi="Arial"/>
                  <w:sz w:val="18"/>
                  <w:szCs w:val="18"/>
                  <w:color w:val="auto"/>
                </w:rPr>
                <w:t>59</w:t>
              </w:r>
            </w:hyperlink>
          </w:p>
        </w:tc>
        <w:tc>
          <w:tcPr>
            <w:tcW w:w="0" w:type="dxa"/>
            <w:vAlign w:val="bottom"/>
          </w:tcPr>
          <w:p>
            <w:pPr>
              <w:spacing w:after="0"/>
              <w:rPr>
                <w:sz w:val="1"/>
                <w:szCs w:val="1"/>
                <w:color w:val="auto"/>
              </w:rPr>
            </w:pPr>
          </w:p>
        </w:tc>
      </w:tr>
      <w:tr>
        <w:trPr>
          <w:trHeight w:val="109"/>
        </w:trPr>
        <w:tc>
          <w:tcPr>
            <w:tcW w:w="1640" w:type="dxa"/>
            <w:vAlign w:val="bottom"/>
            <w:tcBorders>
              <w:top w:val="single" w:sz="8" w:color="CCEEFF"/>
              <w:bottom w:val="single" w:sz="8" w:color="CCEEFF"/>
            </w:tcBorders>
            <w:shd w:val="clear" w:color="auto" w:fill="CCEEFF"/>
          </w:tcPr>
          <w:p>
            <w:pPr>
              <w:spacing w:after="0"/>
              <w:rPr>
                <w:sz w:val="9"/>
                <w:szCs w:val="9"/>
                <w:color w:val="auto"/>
              </w:rPr>
            </w:pPr>
          </w:p>
        </w:tc>
        <w:tc>
          <w:tcPr>
            <w:tcW w:w="600" w:type="dxa"/>
            <w:vAlign w:val="bottom"/>
            <w:tcBorders>
              <w:top w:val="single" w:sz="8" w:color="0000EE"/>
              <w:bottom w:val="single" w:sz="8" w:color="CCEEFF"/>
            </w:tcBorders>
            <w:shd w:val="clear" w:color="auto" w:fill="CCEEFF"/>
          </w:tcPr>
          <w:p>
            <w:pPr>
              <w:spacing w:after="0"/>
              <w:rPr>
                <w:sz w:val="9"/>
                <w:szCs w:val="9"/>
                <w:color w:val="auto"/>
              </w:rPr>
            </w:pPr>
          </w:p>
        </w:tc>
        <w:tc>
          <w:tcPr>
            <w:tcW w:w="300" w:type="dxa"/>
            <w:vAlign w:val="bottom"/>
            <w:tcBorders>
              <w:top w:val="single" w:sz="8" w:color="0000EE"/>
              <w:bottom w:val="single" w:sz="8" w:color="CCEEFF"/>
            </w:tcBorders>
            <w:shd w:val="clear" w:color="auto" w:fill="CCEEFF"/>
          </w:tcPr>
          <w:p>
            <w:pPr>
              <w:spacing w:after="0"/>
              <w:rPr>
                <w:sz w:val="9"/>
                <w:szCs w:val="9"/>
                <w:color w:val="auto"/>
              </w:rPr>
            </w:pPr>
          </w:p>
        </w:tc>
        <w:tc>
          <w:tcPr>
            <w:tcW w:w="420" w:type="dxa"/>
            <w:vAlign w:val="bottom"/>
            <w:tcBorders>
              <w:top w:val="single" w:sz="8" w:color="0000EE"/>
              <w:bottom w:val="single" w:sz="8" w:color="CCEEFF"/>
            </w:tcBorders>
            <w:shd w:val="clear" w:color="auto" w:fill="CCEEFF"/>
          </w:tcPr>
          <w:p>
            <w:pPr>
              <w:spacing w:after="0"/>
              <w:rPr>
                <w:sz w:val="9"/>
                <w:szCs w:val="9"/>
                <w:color w:val="auto"/>
              </w:rPr>
            </w:pPr>
          </w:p>
        </w:tc>
        <w:tc>
          <w:tcPr>
            <w:tcW w:w="20" w:type="dxa"/>
            <w:vAlign w:val="bottom"/>
            <w:tcBorders>
              <w:top w:val="single" w:sz="8" w:color="0000EE"/>
              <w:bottom w:val="single" w:sz="8" w:color="CCEEFF"/>
            </w:tcBorders>
            <w:shd w:val="clear" w:color="auto" w:fill="CCEEFF"/>
          </w:tcPr>
          <w:p>
            <w:pPr>
              <w:spacing w:after="0"/>
              <w:rPr>
                <w:sz w:val="9"/>
                <w:szCs w:val="9"/>
                <w:color w:val="auto"/>
              </w:rPr>
            </w:pPr>
          </w:p>
        </w:tc>
        <w:tc>
          <w:tcPr>
            <w:tcW w:w="440" w:type="dxa"/>
            <w:vAlign w:val="bottom"/>
            <w:tcBorders>
              <w:top w:val="single" w:sz="8" w:color="0000EE"/>
              <w:bottom w:val="single" w:sz="8" w:color="CCEEFF"/>
            </w:tcBorders>
            <w:shd w:val="clear" w:color="auto" w:fill="CCEEFF"/>
          </w:tcPr>
          <w:p>
            <w:pPr>
              <w:spacing w:after="0"/>
              <w:rPr>
                <w:sz w:val="9"/>
                <w:szCs w:val="9"/>
                <w:color w:val="auto"/>
              </w:rPr>
            </w:pPr>
          </w:p>
        </w:tc>
        <w:tc>
          <w:tcPr>
            <w:tcW w:w="540" w:type="dxa"/>
            <w:vAlign w:val="bottom"/>
            <w:tcBorders>
              <w:top w:val="single" w:sz="8" w:color="0000EE"/>
              <w:bottom w:val="single" w:sz="8" w:color="CCEEFF"/>
            </w:tcBorders>
            <w:shd w:val="clear" w:color="auto" w:fill="CCEEFF"/>
          </w:tcPr>
          <w:p>
            <w:pPr>
              <w:spacing w:after="0"/>
              <w:rPr>
                <w:sz w:val="9"/>
                <w:szCs w:val="9"/>
                <w:color w:val="auto"/>
              </w:rPr>
            </w:pPr>
          </w:p>
        </w:tc>
        <w:tc>
          <w:tcPr>
            <w:tcW w:w="2040" w:type="dxa"/>
            <w:vAlign w:val="bottom"/>
            <w:tcBorders>
              <w:top w:val="single" w:sz="8" w:color="CCEEFF"/>
              <w:bottom w:val="single" w:sz="8" w:color="CCEEFF"/>
            </w:tcBorders>
            <w:shd w:val="clear" w:color="auto" w:fill="CCEEFF"/>
          </w:tcPr>
          <w:p>
            <w:pPr>
              <w:spacing w:after="0"/>
              <w:rPr>
                <w:sz w:val="9"/>
                <w:szCs w:val="9"/>
                <w:color w:val="auto"/>
              </w:rPr>
            </w:pPr>
          </w:p>
        </w:tc>
        <w:tc>
          <w:tcPr>
            <w:tcW w:w="2300" w:type="dxa"/>
            <w:vAlign w:val="bottom"/>
            <w:tcBorders>
              <w:top w:val="single" w:sz="8" w:color="CCEEFF"/>
              <w:bottom w:val="single" w:sz="8" w:color="CCEEFF"/>
            </w:tcBorders>
            <w:shd w:val="clear" w:color="auto" w:fill="CCEEFF"/>
          </w:tcPr>
          <w:p>
            <w:pPr>
              <w:spacing w:after="0"/>
              <w:rPr>
                <w:sz w:val="9"/>
                <w:szCs w:val="9"/>
                <w:color w:val="auto"/>
              </w:rPr>
            </w:pPr>
          </w:p>
        </w:tc>
        <w:tc>
          <w:tcPr>
            <w:tcW w:w="312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40"/>
              <w:spacing w:after="0" w:line="202" w:lineRule="exact"/>
              <w:rPr>
                <w:rFonts w:ascii="Arial" w:cs="Arial" w:eastAsia="Arial" w:hAnsi="Arial"/>
                <w:sz w:val="18"/>
                <w:szCs w:val="18"/>
                <w:color w:val="auto"/>
              </w:rPr>
            </w:pPr>
            <w:hyperlink w:anchor="page61">
              <w:r>
                <w:rPr>
                  <w:rFonts w:ascii="Arial" w:cs="Arial" w:eastAsia="Arial" w:hAnsi="Arial"/>
                  <w:sz w:val="18"/>
                  <w:szCs w:val="18"/>
                  <w:color w:val="auto"/>
                </w:rPr>
                <w:t>Item 4.</w:t>
              </w:r>
            </w:hyperlink>
          </w:p>
        </w:tc>
        <w:tc>
          <w:tcPr>
            <w:tcW w:w="6660" w:type="dxa"/>
            <w:vAlign w:val="bottom"/>
            <w:gridSpan w:val="8"/>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Mine Safety Disclosures</w:t>
              </w:r>
            </w:hyperlink>
          </w:p>
        </w:tc>
        <w:tc>
          <w:tcPr>
            <w:tcW w:w="3120" w:type="dxa"/>
            <w:vAlign w:val="bottom"/>
            <w:vMerge w:val="restart"/>
          </w:tcPr>
          <w:p>
            <w:pPr>
              <w:jc w:val="right"/>
              <w:ind w:right="550"/>
              <w:spacing w:after="0"/>
              <w:rPr>
                <w:rFonts w:ascii="Arial" w:cs="Arial" w:eastAsia="Arial" w:hAnsi="Arial"/>
                <w:sz w:val="18"/>
                <w:szCs w:val="18"/>
                <w:color w:val="auto"/>
              </w:rPr>
            </w:pPr>
            <w:hyperlink w:anchor="page61">
              <w:r>
                <w:rPr>
                  <w:rFonts w:ascii="Arial" w:cs="Arial" w:eastAsia="Arial" w:hAnsi="Arial"/>
                  <w:sz w:val="18"/>
                  <w:szCs w:val="18"/>
                  <w:color w:val="auto"/>
                </w:rPr>
                <w:t>59</w:t>
              </w:r>
            </w:hyperlink>
          </w:p>
        </w:tc>
        <w:tc>
          <w:tcPr>
            <w:tcW w:w="0" w:type="dxa"/>
            <w:vAlign w:val="bottom"/>
          </w:tcPr>
          <w:p>
            <w:pPr>
              <w:spacing w:after="0"/>
              <w:rPr>
                <w:sz w:val="1"/>
                <w:szCs w:val="1"/>
                <w:color w:val="auto"/>
              </w:rPr>
            </w:pPr>
          </w:p>
        </w:tc>
      </w:tr>
      <w:tr>
        <w:trPr>
          <w:trHeight w:val="102"/>
        </w:trPr>
        <w:tc>
          <w:tcPr>
            <w:tcW w:w="164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40" w:type="dxa"/>
            <w:vAlign w:val="bottom"/>
            <w:shd w:val="clear" w:color="auto" w:fill="CCEEFF"/>
          </w:tcPr>
          <w:p>
            <w:pPr>
              <w:ind w:left="40"/>
              <w:spacing w:after="0" w:line="202" w:lineRule="exact"/>
              <w:rPr>
                <w:rFonts w:ascii="Arial" w:cs="Arial" w:eastAsia="Arial" w:hAnsi="Arial"/>
                <w:sz w:val="18"/>
                <w:szCs w:val="18"/>
                <w:color w:val="auto"/>
              </w:rPr>
            </w:pPr>
            <w:hyperlink w:anchor="page61">
              <w:r>
                <w:rPr>
                  <w:rFonts w:ascii="Arial" w:cs="Arial" w:eastAsia="Arial" w:hAnsi="Arial"/>
                  <w:sz w:val="18"/>
                  <w:szCs w:val="18"/>
                  <w:color w:val="auto"/>
                </w:rPr>
                <w:t>Item 5.</w:t>
              </w:r>
            </w:hyperlink>
          </w:p>
        </w:tc>
        <w:tc>
          <w:tcPr>
            <w:tcW w:w="6660" w:type="dxa"/>
            <w:vAlign w:val="bottom"/>
            <w:gridSpan w:val="8"/>
            <w:shd w:val="clear" w:color="auto" w:fill="CCEEFF"/>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3120" w:type="dxa"/>
            <w:vAlign w:val="bottom"/>
            <w:vMerge w:val="restart"/>
            <w:shd w:val="clear" w:color="auto" w:fill="CCEEFF"/>
          </w:tcPr>
          <w:p>
            <w:pPr>
              <w:jc w:val="right"/>
              <w:ind w:right="550"/>
              <w:spacing w:after="0"/>
              <w:rPr>
                <w:rFonts w:ascii="Arial" w:cs="Arial" w:eastAsia="Arial" w:hAnsi="Arial"/>
                <w:sz w:val="18"/>
                <w:szCs w:val="18"/>
                <w:color w:val="auto"/>
              </w:rPr>
            </w:pPr>
            <w:hyperlink w:anchor="page61">
              <w:r>
                <w:rPr>
                  <w:rFonts w:ascii="Arial" w:cs="Arial" w:eastAsia="Arial" w:hAnsi="Arial"/>
                  <w:sz w:val="18"/>
                  <w:szCs w:val="18"/>
                  <w:color w:val="auto"/>
                </w:rPr>
                <w:t>59</w:t>
              </w:r>
            </w:hyperlink>
          </w:p>
        </w:tc>
        <w:tc>
          <w:tcPr>
            <w:tcW w:w="0" w:type="dxa"/>
            <w:vAlign w:val="bottom"/>
          </w:tcPr>
          <w:p>
            <w:pPr>
              <w:spacing w:after="0"/>
              <w:rPr>
                <w:sz w:val="1"/>
                <w:szCs w:val="1"/>
                <w:color w:val="auto"/>
              </w:rPr>
            </w:pPr>
          </w:p>
        </w:tc>
      </w:tr>
      <w:tr>
        <w:trPr>
          <w:trHeight w:val="109"/>
        </w:trPr>
        <w:tc>
          <w:tcPr>
            <w:tcW w:w="1640" w:type="dxa"/>
            <w:vAlign w:val="bottom"/>
            <w:tcBorders>
              <w:top w:val="single" w:sz="8" w:color="CCEEFF"/>
              <w:bottom w:val="single" w:sz="8" w:color="CCEEFF"/>
            </w:tcBorders>
            <w:shd w:val="clear" w:color="auto" w:fill="CCEEFF"/>
          </w:tcPr>
          <w:p>
            <w:pPr>
              <w:spacing w:after="0"/>
              <w:rPr>
                <w:sz w:val="9"/>
                <w:szCs w:val="9"/>
                <w:color w:val="auto"/>
              </w:rPr>
            </w:pPr>
          </w:p>
        </w:tc>
        <w:tc>
          <w:tcPr>
            <w:tcW w:w="600" w:type="dxa"/>
            <w:vAlign w:val="bottom"/>
            <w:tcBorders>
              <w:top w:val="single" w:sz="8" w:color="0000EE"/>
              <w:bottom w:val="single" w:sz="8" w:color="CCEEFF"/>
            </w:tcBorders>
            <w:shd w:val="clear" w:color="auto" w:fill="CCEEFF"/>
          </w:tcPr>
          <w:p>
            <w:pPr>
              <w:spacing w:after="0"/>
              <w:rPr>
                <w:sz w:val="9"/>
                <w:szCs w:val="9"/>
                <w:color w:val="auto"/>
              </w:rPr>
            </w:pPr>
          </w:p>
        </w:tc>
        <w:tc>
          <w:tcPr>
            <w:tcW w:w="300" w:type="dxa"/>
            <w:vAlign w:val="bottom"/>
            <w:tcBorders>
              <w:top w:val="single" w:sz="8" w:color="0000EE"/>
              <w:bottom w:val="single" w:sz="8" w:color="CCEEFF"/>
            </w:tcBorders>
            <w:shd w:val="clear" w:color="auto" w:fill="CCEEFF"/>
          </w:tcPr>
          <w:p>
            <w:pPr>
              <w:spacing w:after="0"/>
              <w:rPr>
                <w:sz w:val="9"/>
                <w:szCs w:val="9"/>
                <w:color w:val="auto"/>
              </w:rPr>
            </w:pPr>
          </w:p>
        </w:tc>
        <w:tc>
          <w:tcPr>
            <w:tcW w:w="420" w:type="dxa"/>
            <w:vAlign w:val="bottom"/>
            <w:tcBorders>
              <w:top w:val="single" w:sz="8" w:color="0000EE"/>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440" w:type="dxa"/>
            <w:vAlign w:val="bottom"/>
            <w:tcBorders>
              <w:top w:val="single" w:sz="8" w:color="CCEEFF"/>
              <w:bottom w:val="single" w:sz="8" w:color="CCEEFF"/>
            </w:tcBorders>
            <w:shd w:val="clear" w:color="auto" w:fill="CCEEFF"/>
          </w:tcPr>
          <w:p>
            <w:pPr>
              <w:spacing w:after="0"/>
              <w:rPr>
                <w:sz w:val="9"/>
                <w:szCs w:val="9"/>
                <w:color w:val="auto"/>
              </w:rPr>
            </w:pPr>
          </w:p>
        </w:tc>
        <w:tc>
          <w:tcPr>
            <w:tcW w:w="540" w:type="dxa"/>
            <w:vAlign w:val="bottom"/>
            <w:tcBorders>
              <w:top w:val="single" w:sz="8" w:color="CCEEFF"/>
              <w:bottom w:val="single" w:sz="8" w:color="CCEEFF"/>
            </w:tcBorders>
            <w:shd w:val="clear" w:color="auto" w:fill="CCEEFF"/>
          </w:tcPr>
          <w:p>
            <w:pPr>
              <w:spacing w:after="0"/>
              <w:rPr>
                <w:sz w:val="9"/>
                <w:szCs w:val="9"/>
                <w:color w:val="auto"/>
              </w:rPr>
            </w:pPr>
          </w:p>
        </w:tc>
        <w:tc>
          <w:tcPr>
            <w:tcW w:w="2040" w:type="dxa"/>
            <w:vAlign w:val="bottom"/>
            <w:tcBorders>
              <w:top w:val="single" w:sz="8" w:color="CCEEFF"/>
              <w:bottom w:val="single" w:sz="8" w:color="CCEEFF"/>
            </w:tcBorders>
            <w:shd w:val="clear" w:color="auto" w:fill="CCEEFF"/>
          </w:tcPr>
          <w:p>
            <w:pPr>
              <w:spacing w:after="0"/>
              <w:rPr>
                <w:sz w:val="9"/>
                <w:szCs w:val="9"/>
                <w:color w:val="auto"/>
              </w:rPr>
            </w:pPr>
          </w:p>
        </w:tc>
        <w:tc>
          <w:tcPr>
            <w:tcW w:w="2300" w:type="dxa"/>
            <w:vAlign w:val="bottom"/>
            <w:tcBorders>
              <w:top w:val="single" w:sz="8" w:color="CCEEFF"/>
              <w:bottom w:val="single" w:sz="8" w:color="CCEEFF"/>
            </w:tcBorders>
            <w:shd w:val="clear" w:color="auto" w:fill="CCEEFF"/>
          </w:tcPr>
          <w:p>
            <w:pPr>
              <w:spacing w:after="0"/>
              <w:rPr>
                <w:sz w:val="9"/>
                <w:szCs w:val="9"/>
                <w:color w:val="auto"/>
              </w:rPr>
            </w:pPr>
          </w:p>
        </w:tc>
        <w:tc>
          <w:tcPr>
            <w:tcW w:w="312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640" w:type="dxa"/>
            <w:vAlign w:val="bottom"/>
          </w:tcPr>
          <w:p>
            <w:pPr>
              <w:ind w:left="40"/>
              <w:spacing w:after="0" w:line="202" w:lineRule="exact"/>
              <w:rPr>
                <w:rFonts w:ascii="Arial" w:cs="Arial" w:eastAsia="Arial" w:hAnsi="Arial"/>
                <w:sz w:val="18"/>
                <w:szCs w:val="18"/>
                <w:color w:val="auto"/>
              </w:rPr>
            </w:pPr>
            <w:hyperlink w:anchor="page61">
              <w:r>
                <w:rPr>
                  <w:rFonts w:ascii="Arial" w:cs="Arial" w:eastAsia="Arial" w:hAnsi="Arial"/>
                  <w:sz w:val="18"/>
                  <w:szCs w:val="18"/>
                  <w:color w:val="auto"/>
                </w:rPr>
                <w:t>Item 6.</w:t>
              </w:r>
            </w:hyperlink>
          </w:p>
        </w:tc>
        <w:tc>
          <w:tcPr>
            <w:tcW w:w="6660" w:type="dxa"/>
            <w:vAlign w:val="bottom"/>
            <w:gridSpan w:val="8"/>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Exhibits</w:t>
              </w:r>
            </w:hyperlink>
          </w:p>
        </w:tc>
        <w:tc>
          <w:tcPr>
            <w:tcW w:w="3120" w:type="dxa"/>
            <w:vAlign w:val="bottom"/>
            <w:vMerge w:val="restart"/>
          </w:tcPr>
          <w:p>
            <w:pPr>
              <w:jc w:val="right"/>
              <w:ind w:right="550"/>
              <w:spacing w:after="0"/>
              <w:rPr>
                <w:rFonts w:ascii="Arial" w:cs="Arial" w:eastAsia="Arial" w:hAnsi="Arial"/>
                <w:sz w:val="18"/>
                <w:szCs w:val="18"/>
                <w:color w:val="auto"/>
              </w:rPr>
            </w:pPr>
            <w:hyperlink w:anchor="page61">
              <w:r>
                <w:rPr>
                  <w:rFonts w:ascii="Arial" w:cs="Arial" w:eastAsia="Arial" w:hAnsi="Arial"/>
                  <w:sz w:val="18"/>
                  <w:szCs w:val="18"/>
                  <w:color w:val="auto"/>
                </w:rPr>
                <w:t>59</w:t>
              </w:r>
            </w:hyperlink>
          </w:p>
        </w:tc>
        <w:tc>
          <w:tcPr>
            <w:tcW w:w="0" w:type="dxa"/>
            <w:vAlign w:val="bottom"/>
          </w:tcPr>
          <w:p>
            <w:pPr>
              <w:spacing w:after="0"/>
              <w:rPr>
                <w:sz w:val="1"/>
                <w:szCs w:val="1"/>
                <w:color w:val="auto"/>
              </w:rPr>
            </w:pPr>
          </w:p>
        </w:tc>
      </w:tr>
      <w:tr>
        <w:trPr>
          <w:trHeight w:val="102"/>
        </w:trPr>
        <w:tc>
          <w:tcPr>
            <w:tcW w:w="164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shd w:val="clear" w:color="auto" w:fill="CCEEFF"/>
          </w:tcPr>
          <w:p>
            <w:pPr>
              <w:spacing w:after="0"/>
              <w:rPr>
                <w:sz w:val="18"/>
                <w:szCs w:val="18"/>
                <w:color w:val="auto"/>
              </w:rPr>
            </w:pPr>
          </w:p>
        </w:tc>
        <w:tc>
          <w:tcPr>
            <w:tcW w:w="4980" w:type="dxa"/>
            <w:vAlign w:val="bottom"/>
            <w:gridSpan w:val="3"/>
            <w:shd w:val="clear" w:color="auto" w:fill="CCEEFF"/>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Exhibit Index</w:t>
              </w:r>
            </w:hyperlink>
          </w:p>
        </w:tc>
        <w:tc>
          <w:tcPr>
            <w:tcW w:w="4800" w:type="dxa"/>
            <w:vAlign w:val="bottom"/>
            <w:vMerge w:val="restart"/>
            <w:shd w:val="clear" w:color="auto" w:fill="CCEEFF"/>
          </w:tcPr>
          <w:p>
            <w:pPr>
              <w:jc w:val="right"/>
              <w:ind w:right="550"/>
              <w:spacing w:after="0"/>
              <w:rPr>
                <w:rFonts w:ascii="Arial" w:cs="Arial" w:eastAsia="Arial" w:hAnsi="Arial"/>
                <w:sz w:val="18"/>
                <w:szCs w:val="18"/>
                <w:color w:val="auto"/>
              </w:rPr>
            </w:pPr>
            <w:hyperlink w:anchor="page62">
              <w:r>
                <w:rPr>
                  <w:rFonts w:ascii="Arial" w:cs="Arial" w:eastAsia="Arial" w:hAnsi="Arial"/>
                  <w:sz w:val="18"/>
                  <w:szCs w:val="18"/>
                  <w:color w:val="auto"/>
                </w:rPr>
                <w:t>60</w:t>
              </w:r>
            </w:hyperlink>
          </w:p>
        </w:tc>
        <w:tc>
          <w:tcPr>
            <w:tcW w:w="0" w:type="dxa"/>
            <w:vAlign w:val="bottom"/>
          </w:tcPr>
          <w:p>
            <w:pPr>
              <w:spacing w:after="0"/>
              <w:rPr>
                <w:sz w:val="1"/>
                <w:szCs w:val="1"/>
                <w:color w:val="auto"/>
              </w:rPr>
            </w:pPr>
          </w:p>
        </w:tc>
      </w:tr>
      <w:tr>
        <w:trPr>
          <w:trHeight w:val="109"/>
        </w:trPr>
        <w:tc>
          <w:tcPr>
            <w:tcW w:w="1640" w:type="dxa"/>
            <w:vAlign w:val="bottom"/>
            <w:tcBorders>
              <w:top w:val="single" w:sz="8" w:color="CCEEFF"/>
              <w:bottom w:val="single" w:sz="8" w:color="CCEEFF"/>
            </w:tcBorders>
            <w:shd w:val="clear" w:color="auto" w:fill="CCEEFF"/>
          </w:tcPr>
          <w:p>
            <w:pPr>
              <w:spacing w:after="0"/>
              <w:rPr>
                <w:sz w:val="9"/>
                <w:szCs w:val="9"/>
                <w:color w:val="auto"/>
              </w:rPr>
            </w:pPr>
          </w:p>
        </w:tc>
        <w:tc>
          <w:tcPr>
            <w:tcW w:w="760" w:type="dxa"/>
            <w:vAlign w:val="bottom"/>
            <w:tcBorders>
              <w:top w:val="single" w:sz="8" w:color="0000EE"/>
              <w:bottom w:val="single" w:sz="8" w:color="CCEEFF"/>
            </w:tcBorders>
            <w:shd w:val="clear" w:color="auto" w:fill="CCEEFF"/>
          </w:tcPr>
          <w:p>
            <w:pPr>
              <w:spacing w:after="0"/>
              <w:rPr>
                <w:sz w:val="9"/>
                <w:szCs w:val="9"/>
                <w:color w:val="auto"/>
              </w:rPr>
            </w:pPr>
          </w:p>
        </w:tc>
        <w:tc>
          <w:tcPr>
            <w:tcW w:w="220" w:type="dxa"/>
            <w:vAlign w:val="bottom"/>
            <w:tcBorders>
              <w:top w:val="single" w:sz="8" w:color="0000EE"/>
              <w:bottom w:val="single" w:sz="8" w:color="CCEEFF"/>
            </w:tcBorders>
            <w:shd w:val="clear" w:color="auto" w:fill="CCEEFF"/>
          </w:tcPr>
          <w:p>
            <w:pPr>
              <w:spacing w:after="0"/>
              <w:rPr>
                <w:sz w:val="9"/>
                <w:szCs w:val="9"/>
                <w:color w:val="auto"/>
              </w:rPr>
            </w:pPr>
          </w:p>
        </w:tc>
        <w:tc>
          <w:tcPr>
            <w:tcW w:w="4000" w:type="dxa"/>
            <w:vAlign w:val="bottom"/>
            <w:tcBorders>
              <w:top w:val="single" w:sz="8" w:color="CCEEFF"/>
              <w:bottom w:val="single" w:sz="8" w:color="CCEEFF"/>
            </w:tcBorders>
            <w:shd w:val="clear" w:color="auto" w:fill="CCEEFF"/>
          </w:tcPr>
          <w:p>
            <w:pPr>
              <w:spacing w:after="0"/>
              <w:rPr>
                <w:sz w:val="9"/>
                <w:szCs w:val="9"/>
                <w:color w:val="auto"/>
              </w:rPr>
            </w:pPr>
          </w:p>
        </w:tc>
        <w:tc>
          <w:tcPr>
            <w:tcW w:w="480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4980" w:type="dxa"/>
            <w:vAlign w:val="bottom"/>
            <w:gridSpan w:val="3"/>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4800" w:type="dxa"/>
            <w:vAlign w:val="bottom"/>
            <w:vMerge w:val="restart"/>
          </w:tcPr>
          <w:p>
            <w:pPr>
              <w:jc w:val="right"/>
              <w:ind w:right="550"/>
              <w:spacing w:after="0"/>
              <w:rPr>
                <w:rFonts w:ascii="Arial" w:cs="Arial" w:eastAsia="Arial" w:hAnsi="Arial"/>
                <w:sz w:val="18"/>
                <w:szCs w:val="18"/>
                <w:color w:val="auto"/>
              </w:rPr>
            </w:pPr>
            <w:hyperlink w:anchor="page63">
              <w:r>
                <w:rPr>
                  <w:rFonts w:ascii="Arial" w:cs="Arial" w:eastAsia="Arial" w:hAnsi="Arial"/>
                  <w:sz w:val="18"/>
                  <w:szCs w:val="18"/>
                  <w:color w:val="auto"/>
                </w:rPr>
                <w:t>61</w:t>
              </w:r>
            </w:hyperlink>
          </w:p>
        </w:tc>
        <w:tc>
          <w:tcPr>
            <w:tcW w:w="0" w:type="dxa"/>
            <w:vAlign w:val="bottom"/>
          </w:tcPr>
          <w:p>
            <w:pPr>
              <w:spacing w:after="0"/>
              <w:rPr>
                <w:sz w:val="1"/>
                <w:szCs w:val="1"/>
                <w:color w:val="auto"/>
              </w:rPr>
            </w:pPr>
          </w:p>
        </w:tc>
      </w:tr>
      <w:tr>
        <w:trPr>
          <w:trHeight w:val="102"/>
        </w:trPr>
        <w:tc>
          <w:tcPr>
            <w:tcW w:w="1640" w:type="dxa"/>
            <w:vAlign w:val="bottom"/>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9" w:right="239" w:bottom="1440" w:gutter="0" w:footer="0" w:header="0"/>
          <w:type w:val="continuous"/>
        </w:sectPr>
      </w:pPr>
    </w:p>
    <w:bookmarkStart w:id="2" w:name="page3"/>
    <w:bookmarkEnd w:id="2"/>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16" w:lineRule="exact"/>
        <w:rPr>
          <w:sz w:val="20"/>
          <w:szCs w:val="20"/>
          <w:color w:val="auto"/>
        </w:rPr>
      </w:pPr>
    </w:p>
    <w:p>
      <w:pPr>
        <w:jc w:val="right"/>
        <w:ind w:right="260"/>
        <w:spacing w:after="0"/>
        <w:tabs>
          <w:tab w:leader="none" w:pos="1140" w:val="left"/>
        </w:tabs>
        <w:rPr>
          <w:sz w:val="20"/>
          <w:szCs w:val="20"/>
          <w:color w:val="auto"/>
        </w:rPr>
      </w:pPr>
      <w:r>
        <w:rPr>
          <w:rFonts w:ascii="Arial" w:cs="Arial" w:eastAsia="Arial" w:hAnsi="Arial"/>
          <w:sz w:val="14"/>
          <w:szCs w:val="14"/>
          <w:b w:val="1"/>
          <w:bCs w:val="1"/>
          <w:color w:val="auto"/>
        </w:rPr>
        <w:t>March 31, 2018</w:t>
      </w:r>
      <w:r>
        <w:rPr>
          <w:sz w:val="20"/>
          <w:szCs w:val="20"/>
          <w:color w:val="auto"/>
        </w:rPr>
        <w:tab/>
      </w:r>
      <w:r>
        <w:rPr>
          <w:rFonts w:ascii="Arial" w:cs="Arial" w:eastAsia="Arial" w:hAnsi="Arial"/>
          <w:sz w:val="12"/>
          <w:szCs w:val="12"/>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22383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ASSETS</w:t>
      </w:r>
    </w:p>
    <w:p>
      <w:pPr>
        <w:sectPr>
          <w:pgSz w:w="11900" w:h="16838" w:orient="portrait"/>
          <w:cols w:equalWidth="0" w:num="1">
            <w:col w:w="11420"/>
          </w:cols>
          <w:pgMar w:left="240" w:top="364" w:right="239" w:bottom="1440" w:gutter="0" w:footer="0" w:header="0"/>
        </w:sectPr>
      </w:pP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Australian tax incentive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Short-term investments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investments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Restricted cash</w:t>
      </w:r>
    </w:p>
    <w:p>
      <w:pPr>
        <w:spacing w:after="0" w:line="86" w:lineRule="exact"/>
        <w:rPr>
          <w:sz w:val="20"/>
          <w:szCs w:val="20"/>
          <w:color w:val="auto"/>
        </w:rPr>
      </w:pPr>
    </w:p>
    <w:p>
      <w:pPr>
        <w:ind w:left="520"/>
        <w:spacing w:after="0"/>
        <w:tabs>
          <w:tab w:leader="none" w:pos="790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30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89" w:lineRule="exact"/>
        <w:rPr>
          <w:sz w:val="20"/>
          <w:szCs w:val="20"/>
          <w:color w:val="auto"/>
        </w:rPr>
      </w:pPr>
    </w:p>
    <w:p>
      <w:pPr>
        <w:jc w:val="center"/>
        <w:ind w:left="3240"/>
        <w:spacing w:after="0"/>
        <w:rPr>
          <w:sz w:val="20"/>
          <w:szCs w:val="20"/>
          <w:color w:val="auto"/>
        </w:rPr>
      </w:pPr>
      <w:r>
        <w:rPr>
          <w:rFonts w:ascii="Arial" w:cs="Arial" w:eastAsia="Arial" w:hAnsi="Arial"/>
          <w:sz w:val="16"/>
          <w:szCs w:val="16"/>
          <w:b w:val="1"/>
          <w:bCs w:val="1"/>
          <w:color w:val="auto"/>
        </w:rPr>
        <w:t>LIABILITIES, PREFERRED STOCK AND</w:t>
      </w:r>
    </w:p>
    <w:p>
      <w:pPr>
        <w:spacing w:after="0" w:line="26" w:lineRule="exact"/>
        <w:rPr>
          <w:sz w:val="20"/>
          <w:szCs w:val="20"/>
          <w:color w:val="auto"/>
        </w:rPr>
      </w:pPr>
    </w:p>
    <w:p>
      <w:pPr>
        <w:jc w:val="center"/>
        <w:ind w:left="3240"/>
        <w:spacing w:after="0"/>
        <w:rPr>
          <w:sz w:val="20"/>
          <w:szCs w:val="20"/>
          <w:color w:val="auto"/>
        </w:rPr>
      </w:pPr>
      <w:r>
        <w:rPr>
          <w:rFonts w:ascii="Arial" w:cs="Arial" w:eastAsia="Arial" w:hAnsi="Arial"/>
          <w:sz w:val="16"/>
          <w:szCs w:val="16"/>
          <w:b w:val="1"/>
          <w:bCs w:val="1"/>
          <w:color w:val="auto"/>
        </w:rPr>
        <w:t>STOCKHOLDERS’ EQUITY</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 payable, current portion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 payable,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rent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300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80" w:lineRule="exact"/>
        <w:rPr>
          <w:sz w:val="20"/>
          <w:szCs w:val="20"/>
          <w:color w:val="auto"/>
        </w:rPr>
      </w:pPr>
    </w:p>
    <w:p>
      <w:pPr>
        <w:ind w:left="40" w:right="440"/>
        <w:spacing w:after="0" w:line="293" w:lineRule="auto"/>
        <w:rPr>
          <w:sz w:val="20"/>
          <w:szCs w:val="20"/>
          <w:color w:val="auto"/>
        </w:rPr>
      </w:pPr>
      <w:r>
        <w:rPr>
          <w:rFonts w:ascii="Arial" w:cs="Arial" w:eastAsia="Arial" w:hAnsi="Arial"/>
          <w:sz w:val="16"/>
          <w:szCs w:val="16"/>
          <w:color w:val="auto"/>
        </w:rPr>
        <w:t>Preferred stock, $0.001 par value, 10,000 shares authorized and no shares, issued or outstanding at March 31, 2018 and December 31, 2017, respectively</w:t>
      </w:r>
    </w:p>
    <w:p>
      <w:pPr>
        <w:spacing w:after="0" w:line="23" w:lineRule="exact"/>
        <w:rPr>
          <w:sz w:val="20"/>
          <w:szCs w:val="20"/>
          <w:color w:val="auto"/>
        </w:rPr>
      </w:pPr>
    </w:p>
    <w:p>
      <w:pPr>
        <w:ind w:left="40" w:right="380"/>
        <w:spacing w:after="0" w:line="293" w:lineRule="auto"/>
        <w:rPr>
          <w:sz w:val="20"/>
          <w:szCs w:val="20"/>
          <w:color w:val="auto"/>
        </w:rPr>
      </w:pPr>
      <w:r>
        <w:rPr>
          <w:rFonts w:ascii="Arial" w:cs="Arial" w:eastAsia="Arial" w:hAnsi="Arial"/>
          <w:sz w:val="16"/>
          <w:szCs w:val="16"/>
          <w:color w:val="auto"/>
        </w:rPr>
        <w:t>Common stock, $0.001 par value, 500,000 shares authorized, 23,817 shares and 23,791 shares issued and outstanding at March 31, 2018 and December 31,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Additional paid in capital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deficit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520"/>
        <w:spacing w:after="0"/>
        <w:tabs>
          <w:tab w:leader="none" w:pos="7900" w:val="left"/>
        </w:tabs>
        <w:rPr>
          <w:sz w:val="20"/>
          <w:szCs w:val="20"/>
          <w:color w:val="auto"/>
        </w:rPr>
      </w:pPr>
      <w:r>
        <w:rPr>
          <w:rFonts w:ascii="Arial" w:cs="Arial" w:eastAsia="Arial" w:hAnsi="Arial"/>
          <w:sz w:val="16"/>
          <w:szCs w:val="16"/>
          <w:color w:val="auto"/>
        </w:rPr>
        <w:t>Total liabilities, preferred stock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69,474</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81,189</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1,610</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1,601</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178,691</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167,218</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2,170</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2,688</w:t>
            </w:r>
          </w:p>
        </w:tc>
      </w:tr>
      <w:tr>
        <w:trPr>
          <w:trHeight w:val="33"/>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251,945</w:t>
            </w:r>
          </w:p>
        </w:tc>
        <w:tc>
          <w:tcPr>
            <w:tcW w:w="5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252,696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659</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665</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61,884</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75,897</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289</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60</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33"/>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314,837</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329,364</w:t>
            </w:r>
          </w:p>
        </w:tc>
      </w:tr>
      <w:tr>
        <w:trPr>
          <w:trHeight w:val="33"/>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933"/>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2,416</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2,323</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4,405</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4,875</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7,500</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6,875</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22</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14,343</w:t>
            </w:r>
          </w:p>
        </w:tc>
        <w:tc>
          <w:tcPr>
            <w:tcW w:w="5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14,090</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5,834</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7,553</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133</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140</w:t>
            </w:r>
          </w:p>
        </w:tc>
      </w:tr>
      <w:tr>
        <w:trPr>
          <w:trHeight w:val="743"/>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3"/>
        </w:trPr>
        <w:tc>
          <w:tcPr>
            <w:tcW w:w="820" w:type="dxa"/>
            <w:vAlign w:val="bottom"/>
          </w:tcPr>
          <w:p>
            <w:pPr>
              <w:jc w:val="right"/>
              <w:ind w:right="159"/>
              <w:spacing w:after="0"/>
              <w:rPr>
                <w:sz w:val="20"/>
                <w:szCs w:val="20"/>
                <w:color w:val="auto"/>
              </w:rPr>
            </w:pPr>
            <w:r>
              <w:rPr>
                <w:rFonts w:ascii="Arial" w:cs="Arial" w:eastAsia="Arial" w:hAnsi="Arial"/>
                <w:sz w:val="16"/>
                <w:szCs w:val="16"/>
                <w:color w:val="auto"/>
              </w:rPr>
              <w:t>24</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70"/>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395,424</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393,017</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rPr>
              <w:t>(801)</w:t>
            </w:r>
          </w:p>
        </w:tc>
        <w:tc>
          <w:tcPr>
            <w:tcW w:w="5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270"/>
        </w:trPr>
        <w:tc>
          <w:tcPr>
            <w:tcW w:w="820" w:type="dxa"/>
            <w:vAlign w:val="bottom"/>
          </w:tcPr>
          <w:p>
            <w:pPr>
              <w:jc w:val="right"/>
              <w:ind w:right="99"/>
              <w:spacing w:after="0"/>
              <w:rPr>
                <w:sz w:val="20"/>
                <w:szCs w:val="20"/>
                <w:color w:val="auto"/>
              </w:rPr>
            </w:pPr>
            <w:r>
              <w:rPr>
                <w:rFonts w:ascii="Arial" w:cs="Arial" w:eastAsia="Arial" w:hAnsi="Arial"/>
                <w:sz w:val="16"/>
                <w:szCs w:val="16"/>
                <w:color w:val="auto"/>
                <w:w w:val="90"/>
              </w:rPr>
              <w:t>(100,120)</w:t>
            </w:r>
          </w:p>
        </w:tc>
        <w:tc>
          <w:tcPr>
            <w:tcW w:w="5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(85,034)</w:t>
            </w:r>
          </w:p>
        </w:tc>
      </w:tr>
      <w:tr>
        <w:trPr>
          <w:trHeight w:val="33"/>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294,527</w:t>
            </w:r>
          </w:p>
        </w:tc>
        <w:tc>
          <w:tcPr>
            <w:tcW w:w="5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307,581</w:t>
            </w:r>
          </w:p>
        </w:tc>
      </w:tr>
      <w:tr>
        <w:trPr>
          <w:trHeight w:val="33"/>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jc w:val="right"/>
              <w:ind w:right="159"/>
              <w:spacing w:after="0"/>
              <w:rPr>
                <w:sz w:val="20"/>
                <w:szCs w:val="20"/>
                <w:color w:val="auto"/>
              </w:rPr>
            </w:pPr>
            <w:r>
              <w:rPr>
                <w:rFonts w:ascii="Arial" w:cs="Arial" w:eastAsia="Arial" w:hAnsi="Arial"/>
                <w:sz w:val="16"/>
                <w:szCs w:val="16"/>
                <w:color w:val="auto"/>
                <w:w w:val="96"/>
              </w:rPr>
              <w:t>314,837</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329,364</w:t>
            </w:r>
          </w:p>
        </w:tc>
      </w:tr>
      <w:tr>
        <w:trPr>
          <w:trHeight w:val="33"/>
        </w:trPr>
        <w:tc>
          <w:tcPr>
            <w:tcW w:w="8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-8255</wp:posOffset>
            </wp:positionV>
            <wp:extent cx="10979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-368300</wp:posOffset>
            </wp:positionV>
            <wp:extent cx="10979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-3335655</wp:posOffset>
            </wp:positionV>
            <wp:extent cx="10979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-3507105</wp:posOffset>
            </wp:positionV>
            <wp:extent cx="10979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00" w:space="720"/>
            <w:col w:w="2500"/>
          </w:cols>
          <w:pgMar w:left="240" w:top="364" w:right="239" w:bottom="1440" w:gutter="0" w:footer="0" w:header="0"/>
          <w:type w:val="continuous"/>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380"/>
          </w:cols>
          <w:pgMar w:left="28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Collaboration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-127000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Research and development</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Total operating expenses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Change in fair value of liability for preferred stock warrants</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34925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Total 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loss</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Unrealized loss on available for 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 comprehensive loss</w:t>
      </w:r>
    </w:p>
    <w:p>
      <w:pPr>
        <w:spacing w:after="0" w:line="8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24662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loss per common share:</w:t>
      </w:r>
    </w:p>
    <w:p>
      <w:pPr>
        <w:spacing w:after="0" w:line="11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24662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Weighted-average number of shares outstanding:</w:t>
      </w:r>
    </w:p>
    <w:p>
      <w:pPr>
        <w:spacing w:after="0" w:line="11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Basic and diluted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1012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23"/>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501"/>
        </w:trPr>
        <w:tc>
          <w:tcPr>
            <w:tcW w:w="380" w:type="dxa"/>
            <w:vAlign w:val="bottom"/>
          </w:tcPr>
          <w:p>
            <w:pPr>
              <w:spacing w:after="0"/>
              <w:rPr>
                <w:sz w:val="24"/>
                <w:szCs w:val="24"/>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11,810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7,935</w:t>
            </w:r>
          </w:p>
        </w:tc>
      </w:tr>
      <w:tr>
        <w:trPr>
          <w:trHeight w:val="270"/>
        </w:trPr>
        <w:tc>
          <w:tcPr>
            <w:tcW w:w="380" w:type="dxa"/>
            <w:vAlign w:val="bottom"/>
          </w:tcPr>
          <w:p>
            <w:pPr>
              <w:spacing w:after="0"/>
              <w:rPr>
                <w:sz w:val="23"/>
                <w:szCs w:val="23"/>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3,947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2,053</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15,757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9,988</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(15,757)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(9,988)</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501"/>
        </w:trPr>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(428)</w:t>
            </w:r>
          </w:p>
        </w:tc>
      </w:tr>
      <w:tr>
        <w:trPr>
          <w:trHeight w:val="270"/>
        </w:trPr>
        <w:tc>
          <w:tcPr>
            <w:tcW w:w="38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(1,366)</w:t>
            </w:r>
          </w:p>
        </w:tc>
      </w:tr>
      <w:tr>
        <w:trPr>
          <w:trHeight w:val="270"/>
        </w:trPr>
        <w:tc>
          <w:tcPr>
            <w:tcW w:w="380" w:type="dxa"/>
            <w:vAlign w:val="bottom"/>
          </w:tcPr>
          <w:p>
            <w:pPr>
              <w:spacing w:after="0"/>
              <w:rPr>
                <w:sz w:val="23"/>
                <w:szCs w:val="23"/>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1,185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122</w:t>
            </w:r>
          </w:p>
        </w:tc>
      </w:tr>
      <w:tr>
        <w:trPr>
          <w:trHeight w:val="270"/>
        </w:trPr>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225</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(1,447)</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(15,086)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(11,435)</w:t>
            </w:r>
          </w:p>
        </w:tc>
      </w:tr>
      <w:tr>
        <w:trPr>
          <w:trHeight w:val="270"/>
        </w:trPr>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(15,887)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(11,448)</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74"/>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(0.75)</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74"/>
        </w:trPr>
        <w:tc>
          <w:tcPr>
            <w:tcW w:w="380" w:type="dxa"/>
            <w:vAlign w:val="bottom"/>
          </w:tcPr>
          <w:p>
            <w:pPr>
              <w:spacing w:after="0"/>
              <w:rPr>
                <w:sz w:val="24"/>
                <w:szCs w:val="24"/>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23,801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15,295</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60" w:space="720"/>
            <w:col w:w="3300"/>
          </w:cols>
          <w:pgMar w:left="280" w:top="364" w:right="239" w:bottom="1440" w:gutter="0" w:footer="0" w:header="0"/>
          <w:type w:val="continuous"/>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80" w:top="364"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FF0FC"/>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7900" w:type="dxa"/>
            <w:vAlign w:val="bottom"/>
            <w:shd w:val="clear" w:color="auto" w:fill="CFF0FC"/>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90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400" w:type="dxa"/>
            <w:vAlign w:val="bottom"/>
            <w:shd w:val="clear" w:color="auto" w:fill="CFF0FC"/>
          </w:tcPr>
          <w:p>
            <w:pPr>
              <w:spacing w:after="0"/>
              <w:rPr>
                <w:sz w:val="5"/>
                <w:szCs w:val="5"/>
                <w:color w:val="auto"/>
              </w:rPr>
            </w:pPr>
          </w:p>
        </w:tc>
        <w:tc>
          <w:tcPr>
            <w:tcW w:w="12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060" w:type="dxa"/>
            <w:vAlign w:val="bottom"/>
          </w:tcPr>
          <w:p>
            <w:pPr>
              <w:jc w:val="right"/>
              <w:ind w:right="88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(15,086)</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(11,435)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Stock-based compensation</w:t>
            </w:r>
          </w:p>
        </w:tc>
        <w:tc>
          <w:tcPr>
            <w:tcW w:w="10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2,260</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Change in fair value of liability for preferred stock warrants</w:t>
            </w:r>
          </w:p>
        </w:tc>
        <w:tc>
          <w:tcPr>
            <w:tcW w:w="10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(Income) loss from investments</w:t>
            </w:r>
          </w:p>
        </w:tc>
        <w:tc>
          <w:tcPr>
            <w:tcW w:w="10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Non-cash interest expense</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10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520"/>
              <w:spacing w:after="0"/>
              <w:rPr>
                <w:sz w:val="20"/>
                <w:szCs w:val="20"/>
                <w:color w:val="auto"/>
              </w:rPr>
            </w:pPr>
            <w:r>
              <w:rPr>
                <w:rFonts w:ascii="Arial" w:cs="Arial" w:eastAsia="Arial" w:hAnsi="Arial"/>
                <w:sz w:val="16"/>
                <w:szCs w:val="16"/>
                <w:color w:val="auto"/>
              </w:rPr>
              <w:t>Receivable from collaborative partners</w:t>
            </w:r>
          </w:p>
        </w:tc>
        <w:tc>
          <w:tcPr>
            <w:tcW w:w="10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Australian tax incentive receivable</w:t>
            </w:r>
          </w:p>
        </w:tc>
        <w:tc>
          <w:tcPr>
            <w:tcW w:w="10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37"/>
        </w:trPr>
        <w:tc>
          <w:tcPr>
            <w:tcW w:w="7900" w:type="dxa"/>
            <w:vAlign w:val="bottom"/>
          </w:tcPr>
          <w:p>
            <w:pPr>
              <w:ind w:left="520"/>
              <w:spacing w:after="0"/>
              <w:rPr>
                <w:sz w:val="20"/>
                <w:szCs w:val="20"/>
                <w:color w:val="auto"/>
              </w:rPr>
            </w:pPr>
            <w:r>
              <w:rPr>
                <w:rFonts w:ascii="Arial" w:cs="Arial" w:eastAsia="Arial" w:hAnsi="Arial"/>
                <w:sz w:val="16"/>
                <w:szCs w:val="16"/>
                <w:color w:val="auto"/>
              </w:rPr>
              <w:t>Prepaid expenses and other assets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Accounts payable and other liabilities</w:t>
            </w:r>
          </w:p>
        </w:tc>
        <w:tc>
          <w:tcPr>
            <w:tcW w:w="106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17"/>
        </w:trPr>
        <w:tc>
          <w:tcPr>
            <w:tcW w:w="7900" w:type="dxa"/>
            <w:vAlign w:val="bottom"/>
          </w:tcPr>
          <w:p>
            <w:pPr>
              <w:ind w:left="760"/>
              <w:spacing w:after="0"/>
              <w:rPr>
                <w:sz w:val="20"/>
                <w:szCs w:val="20"/>
                <w:color w:val="auto"/>
              </w:rPr>
            </w:pPr>
            <w:r>
              <w:rPr>
                <w:rFonts w:ascii="Arial" w:cs="Arial" w:eastAsia="Arial" w:hAnsi="Arial"/>
                <w:sz w:val="16"/>
                <w:szCs w:val="16"/>
                <w:color w:val="auto"/>
              </w:rPr>
              <w:t>Net cash used in operating activities</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(12,478)</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(8,097)</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900" w:type="dxa"/>
            <w:vAlign w:val="bottom"/>
            <w:shd w:val="clear" w:color="auto" w:fill="CFF0FC"/>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0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90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6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400" w:type="dxa"/>
            <w:vAlign w:val="bottom"/>
            <w:shd w:val="clear" w:color="auto" w:fill="CFF0FC"/>
          </w:tcPr>
          <w:p>
            <w:pPr>
              <w:spacing w:after="0"/>
              <w:rPr>
                <w:sz w:val="5"/>
                <w:szCs w:val="5"/>
                <w:color w:val="auto"/>
              </w:rPr>
            </w:pPr>
          </w:p>
        </w:tc>
        <w:tc>
          <w:tcPr>
            <w:tcW w:w="12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Acquisition of investments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(32,203)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(27,000)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Sales and maturities of investments</w:t>
            </w:r>
          </w:p>
        </w:tc>
        <w:tc>
          <w:tcPr>
            <w:tcW w:w="10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34,581</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Purchases of property and equipment</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Net cash provided by (used in) investing activities</w:t>
            </w:r>
          </w:p>
        </w:tc>
        <w:tc>
          <w:tcPr>
            <w:tcW w:w="10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2,146</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(27,085)</w:t>
            </w:r>
          </w:p>
        </w:tc>
        <w:tc>
          <w:tcPr>
            <w:tcW w:w="0" w:type="dxa"/>
            <w:vAlign w:val="bottom"/>
          </w:tcPr>
          <w:p>
            <w:pPr>
              <w:spacing w:after="0"/>
              <w:rPr>
                <w:sz w:val="1"/>
                <w:szCs w:val="1"/>
                <w:color w:val="auto"/>
              </w:rPr>
            </w:pPr>
          </w:p>
        </w:tc>
      </w:tr>
      <w:tr>
        <w:trPr>
          <w:trHeight w:val="20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0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9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Proceeds from public offerings, net of underwriters' fees</w:t>
            </w:r>
          </w:p>
        </w:tc>
        <w:tc>
          <w:tcPr>
            <w:tcW w:w="10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80,213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Proceeds from issuance of common stock, upon the exercise of stock options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Proceeds from issuance of common stock, upon the exercise of warrants</w:t>
            </w:r>
          </w:p>
        </w:tc>
        <w:tc>
          <w:tcPr>
            <w:tcW w:w="106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Payments on notes payable</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Payments for offering costs</w:t>
            </w:r>
          </w:p>
        </w:tc>
        <w:tc>
          <w:tcPr>
            <w:tcW w:w="106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17"/>
        </w:trPr>
        <w:tc>
          <w:tcPr>
            <w:tcW w:w="7900" w:type="dxa"/>
            <w:vAlign w:val="bottom"/>
          </w:tcPr>
          <w:p>
            <w:pPr>
              <w:ind w:left="760"/>
              <w:spacing w:after="0"/>
              <w:rPr>
                <w:sz w:val="20"/>
                <w:szCs w:val="20"/>
                <w:color w:val="auto"/>
              </w:rPr>
            </w:pPr>
            <w:r>
              <w:rPr>
                <w:rFonts w:ascii="Arial" w:cs="Arial" w:eastAsia="Arial" w:hAnsi="Arial"/>
                <w:sz w:val="16"/>
                <w:szCs w:val="16"/>
                <w:color w:val="auto"/>
              </w:rPr>
              <w:t>Net cash (used in) provided by financing activities</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(1,383)</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80,704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106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7"/>
              </w:rPr>
              <w:t>(11,715)</w:t>
            </w:r>
          </w:p>
        </w:tc>
        <w:tc>
          <w:tcPr>
            <w:tcW w:w="1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45,522</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81,249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51,292</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1060" w:type="dxa"/>
            <w:vAlign w:val="bottom"/>
            <w:tcBorders>
              <w:bottom w:val="single" w:sz="8" w:color="CFF0FC"/>
            </w:tcBorders>
            <w:shd w:val="clear" w:color="auto" w:fill="CFF0FC"/>
          </w:tcPr>
          <w:p>
            <w:pPr>
              <w:jc w:val="right"/>
              <w:ind w:right="88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69,534</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96,814</w:t>
            </w:r>
          </w:p>
        </w:tc>
        <w:tc>
          <w:tcPr>
            <w:tcW w:w="0" w:type="dxa"/>
            <w:vAlign w:val="bottom"/>
          </w:tcPr>
          <w:p>
            <w:pPr>
              <w:spacing w:after="0"/>
              <w:rPr>
                <w:sz w:val="1"/>
                <w:szCs w:val="1"/>
                <w:color w:val="auto"/>
              </w:rPr>
            </w:pPr>
          </w:p>
        </w:tc>
      </w:tr>
      <w:tr>
        <w:trPr>
          <w:trHeight w:val="20"/>
        </w:trPr>
        <w:tc>
          <w:tcPr>
            <w:tcW w:w="7900" w:type="dxa"/>
            <w:vAlign w:val="bottom"/>
            <w:tcBorders>
              <w:top w:val="single" w:sz="8" w:color="CFF0FC"/>
              <w:bottom w:val="single" w:sz="8" w:color="CFF0FC"/>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 OF CASH FLOW</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90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60"/>
              <w:spacing w:after="0"/>
              <w:rPr>
                <w:sz w:val="20"/>
                <w:szCs w:val="20"/>
                <w:color w:val="auto"/>
              </w:rPr>
            </w:pPr>
            <w:r>
              <w:rPr>
                <w:rFonts w:ascii="Arial" w:cs="Arial" w:eastAsia="Arial" w:hAnsi="Arial"/>
                <w:sz w:val="16"/>
                <w:szCs w:val="16"/>
                <w:b w:val="1"/>
                <w:bCs w:val="1"/>
                <w:color w:val="auto"/>
              </w:rPr>
              <w:t>INFORMATION</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Interest paid</w:t>
            </w:r>
          </w:p>
        </w:tc>
        <w:tc>
          <w:tcPr>
            <w:tcW w:w="1060" w:type="dxa"/>
            <w:vAlign w:val="bottom"/>
            <w:tcBorders>
              <w:bottom w:val="single" w:sz="8" w:color="CFF0FC"/>
            </w:tcBorders>
            <w:shd w:val="clear" w:color="auto" w:fill="CFF0FC"/>
          </w:tcPr>
          <w:p>
            <w:pPr>
              <w:jc w:val="right"/>
              <w:ind w:right="88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Amounts accrued for property and equipment</w:t>
            </w:r>
          </w:p>
        </w:tc>
        <w:tc>
          <w:tcPr>
            <w:tcW w:w="1060" w:type="dxa"/>
            <w:vAlign w:val="bottom"/>
            <w:tcBorders>
              <w:bottom w:val="single" w:sz="8" w:color="CFF0FC"/>
            </w:tcBorders>
            <w:shd w:val="clear" w:color="auto" w:fill="CFF0FC"/>
          </w:tcPr>
          <w:p>
            <w:pPr>
              <w:jc w:val="right"/>
              <w:ind w:right="88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Amounts accrued for offering costs</w:t>
            </w:r>
          </w:p>
        </w:tc>
        <w:tc>
          <w:tcPr>
            <w:tcW w:w="1060" w:type="dxa"/>
            <w:vAlign w:val="bottom"/>
          </w:tcPr>
          <w:p>
            <w:pPr>
              <w:jc w:val="right"/>
              <w:ind w:right="880"/>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1,290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Reclassification of warrants to equity</w:t>
            </w:r>
          </w:p>
        </w:tc>
        <w:tc>
          <w:tcPr>
            <w:tcW w:w="1060" w:type="dxa"/>
            <w:vAlign w:val="bottom"/>
            <w:shd w:val="clear" w:color="auto" w:fill="CFF0FC"/>
          </w:tcPr>
          <w:p>
            <w:pPr>
              <w:jc w:val="right"/>
              <w:ind w:right="880"/>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4,607</w:t>
            </w:r>
          </w:p>
        </w:tc>
        <w:tc>
          <w:tcPr>
            <w:tcW w:w="0" w:type="dxa"/>
            <w:vAlign w:val="bottom"/>
          </w:tcPr>
          <w:p>
            <w:pPr>
              <w:spacing w:after="0"/>
              <w:rPr>
                <w:sz w:val="1"/>
                <w:szCs w:val="1"/>
                <w:color w:val="auto"/>
              </w:rPr>
            </w:pPr>
          </w:p>
        </w:tc>
      </w:tr>
      <w:tr>
        <w:trPr>
          <w:trHeight w:val="33"/>
        </w:trPr>
        <w:tc>
          <w:tcPr>
            <w:tcW w:w="790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color w:val="auto"/>
        </w:rPr>
        <w:t>AnaptysBio, Inc. (“we,” “us,” “our,” or the “Company”) was incorporated in the state of Delaware in November 2005. We are a biotechnology company developing first-in-class antibody product candidates focused on unmet medical needs in inflammation. We develop our product candidates using our proprietary, antibody discovery technology platform, which is designed to replicate, in vitro, the natural process of antibody generation. We currently generate revenue from milestones achieved under our collaborative research and development arrangements.</w:t>
      </w:r>
    </w:p>
    <w:p>
      <w:pPr>
        <w:spacing w:after="0" w:line="171"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Since our inception, we have devoted our primary effort to raising capital and research and development activities, and at March 31, 2018 have an accumulated deficit of $100.1 million. Through March 31, 2018, our financial support has been provided primarily from the sale of our common and preferred stock, as well as through funds received under our collaborative research and development agreements, proceeds from our Term Loans as discussed in Note 5 below, and the issuance of convertible debt.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Management believes its currently available resources will provide sufficient funds to enable the Company to meet its operating plans for at least the next twelve months. The accompanying consolidated financial statements do not include any adjustments that might be necessary if we are unable to continue as a going concern.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Offerings and Related Transactions</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On January 31, 2017, we completed an initial public offering, or IPO, selling 5,750,000 shares of common stock at $15.00 per share. Proceeds from our initial public offering net of underwriting discounts and commissions were $80.2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each of the following occurred in connection with the completion of the IPO on January 31, 2017:</w:t>
      </w:r>
    </w:p>
    <w:p>
      <w:pPr>
        <w:spacing w:after="0" w:line="117" w:lineRule="exact"/>
        <w:rPr>
          <w:sz w:val="20"/>
          <w:szCs w:val="20"/>
          <w:color w:val="auto"/>
        </w:rPr>
      </w:pPr>
    </w:p>
    <w:p>
      <w:pPr>
        <w:ind w:left="900" w:hanging="48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conversion of all outstanding shares of convertible preferred stock into 11,520,698 shares of common stock; and</w:t>
      </w:r>
    </w:p>
    <w:p>
      <w:pPr>
        <w:spacing w:after="0" w:line="117" w:lineRule="exact"/>
        <w:rPr>
          <w:rFonts w:ascii="Arial" w:cs="Arial" w:eastAsia="Arial" w:hAnsi="Arial"/>
          <w:sz w:val="18"/>
          <w:szCs w:val="18"/>
          <w:color w:val="auto"/>
        </w:rPr>
      </w:pPr>
    </w:p>
    <w:p>
      <w:pPr>
        <w:ind w:left="880" w:right="160" w:hanging="440"/>
        <w:spacing w:after="0" w:line="277"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conversion of warrants to purchase 377,195 shares of convertible preferred stock into warrants to purchase 377,195 shares of common stock and the resultant reclassification of the warrant liability to additional paid-in capital.</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40" w:firstLine="446"/>
        <w:spacing w:after="0" w:line="342" w:lineRule="auto"/>
        <w:rPr>
          <w:sz w:val="20"/>
          <w:szCs w:val="20"/>
          <w:color w:val="auto"/>
        </w:rPr>
      </w:pPr>
      <w:r>
        <w:rPr>
          <w:rFonts w:ascii="Arial" w:cs="Arial" w:eastAsia="Arial" w:hAnsi="Arial"/>
          <w:sz w:val="16"/>
          <w:szCs w:val="16"/>
          <w:color w:val="auto"/>
        </w:rPr>
        <w:t>On January 13, 2017, we amended and restated our certificate of incorporation to effect a one for seven reverse stock split of every outstanding share of our preferred and common stock. The financial statements and accompanying footnotes have been retroactively restated to reflect the reverse stock split.</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225" w:lineRule="exact"/>
        <w:rPr>
          <w:sz w:val="20"/>
          <w:szCs w:val="20"/>
          <w:color w:val="auto"/>
        </w:rPr>
      </w:pPr>
    </w:p>
    <w:p>
      <w:pPr>
        <w:ind w:firstLine="567"/>
        <w:spacing w:after="0" w:line="302" w:lineRule="auto"/>
        <w:rPr>
          <w:sz w:val="20"/>
          <w:szCs w:val="20"/>
          <w:color w:val="auto"/>
        </w:rPr>
      </w:pPr>
      <w:r>
        <w:rPr>
          <w:rFonts w:ascii="Arial" w:cs="Arial" w:eastAsia="Arial" w:hAnsi="Arial"/>
          <w:sz w:val="16"/>
          <w:szCs w:val="16"/>
          <w:color w:val="auto"/>
        </w:rPr>
        <w:t>On October 17, 2017, we completed an underwritten public offering selling 3,000,000 shares of common stock. All shares were offered by us at a price to the public of $68.50 per share. The aggregate net proceeds received by us from the offering were $194.7 million, net of underwriting discounts and commissions. As part of the underwritten public offering, on November 14, 2017, the underwriters exercised an additional 271,380 shares of common stock at a discounted price to the public of $68.50 per share for aggregate net proceeds of $17.6 million, net of underwriting discounts and commissions.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pursuant to the rules and regulations of the Securities and Exchange Commission, or the SEC. Certain information and note disclosures normally included in annual financial statements prepared in accordance with U.S. generally accepted accounting principles, or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Operating results for the three months ended March 31, 2018 are not necessarily indicative of the results that may be expected for the year ending December 31, 2018. The financial statements should be read in conjunction with our audited financial statements for the year ended December 31, 2017, included in our Annual Form 10-K.</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600" w:firstLine="446"/>
        <w:spacing w:after="0" w:line="342" w:lineRule="auto"/>
        <w:rPr>
          <w:sz w:val="20"/>
          <w:szCs w:val="20"/>
          <w:color w:val="auto"/>
        </w:rPr>
      </w:pPr>
      <w:r>
        <w:rPr>
          <w:rFonts w:ascii="Arial" w:cs="Arial" w:eastAsia="Arial" w:hAnsi="Arial"/>
          <w:sz w:val="16"/>
          <w:szCs w:val="16"/>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60" w:firstLine="446"/>
        <w:spacing w:after="0" w:line="297" w:lineRule="auto"/>
        <w:rPr>
          <w:sz w:val="20"/>
          <w:szCs w:val="20"/>
          <w:color w:val="auto"/>
        </w:rPr>
      </w:pPr>
      <w:r>
        <w:rPr>
          <w:rFonts w:ascii="Arial" w:cs="Arial" w:eastAsia="Arial" w:hAnsi="Arial"/>
          <w:sz w:val="16"/>
          <w:szCs w:val="16"/>
          <w:color w:val="auto"/>
        </w:rPr>
        <w:t>The preparation of the accompanying consolidated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Our actual results could differ from these estimates under different assumptions or conditions.</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181"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i w:val="1"/>
          <w:iCs w:val="1"/>
          <w:color w:val="auto"/>
        </w:rPr>
        <w:t xml:space="preserve">Performance Obligations. </w:t>
      </w:r>
      <w:r>
        <w:rPr>
          <w:rFonts w:ascii="Arial" w:cs="Arial" w:eastAsia="Arial" w:hAnsi="Arial"/>
          <w:sz w:val="18"/>
          <w:szCs w:val="18"/>
          <w:color w:val="auto"/>
        </w:rPr>
        <w:t>We evaluate deliverables on a contract by contract basis to determine whether each deliverable represents a good 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transaction price.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performance obligations may include the following:</w:t>
      </w:r>
    </w:p>
    <w:p>
      <w:pPr>
        <w:spacing w:after="0" w:line="225" w:lineRule="exact"/>
        <w:rPr>
          <w:sz w:val="20"/>
          <w:szCs w:val="20"/>
          <w:color w:val="auto"/>
        </w:rPr>
      </w:pPr>
    </w:p>
    <w:p>
      <w:pPr>
        <w:ind w:left="660" w:right="20" w:hanging="314"/>
        <w:spacing w:after="0" w:line="30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46" w:lineRule="exact"/>
        <w:rPr>
          <w:rFonts w:ascii="Arial" w:cs="Arial" w:eastAsia="Arial" w:hAnsi="Arial"/>
          <w:sz w:val="16"/>
          <w:szCs w:val="16"/>
          <w:color w:val="auto"/>
        </w:rPr>
      </w:pPr>
    </w:p>
    <w:p>
      <w:pPr>
        <w:ind w:left="660" w:right="240" w:hanging="314"/>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688" w:right="259" w:bottom="1440" w:gutter="0" w:footer="0" w:header="0"/>
        </w:sectPr>
      </w:pPr>
    </w:p>
    <w:bookmarkStart w:id="7" w:name="page8"/>
    <w:bookmarkEnd w:id="7"/>
    <w:p>
      <w:pPr>
        <w:jc w:val="both"/>
        <w:ind w:left="660" w:right="160" w:hanging="314"/>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Steering Committee Meetings. The performance obligations under our collaboration and license agreements may also include our participation in a steering committees, which allows us to direct the progression of our discovery programs. As these steering committees would not occur or benefit the customer without the use of our licenses, these are not considered distinct.</w:t>
      </w:r>
    </w:p>
    <w:p>
      <w:pPr>
        <w:spacing w:after="0" w:line="181"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w:t>
      </w:r>
    </w:p>
    <w:p>
      <w:pPr>
        <w:spacing w:after="0" w:line="18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i w:val="1"/>
          <w:iCs w:val="1"/>
          <w:color w:val="auto"/>
        </w:rPr>
        <w:t xml:space="preserve">Transaction Price. </w:t>
      </w:r>
      <w:r>
        <w:rPr>
          <w:rFonts w:ascii="Arial" w:cs="Arial" w:eastAsia="Arial" w:hAnsi="Arial"/>
          <w:sz w:val="16"/>
          <w:szCs w:val="16"/>
          <w:color w:val="auto"/>
        </w:rPr>
        <w:t>Our collaboration and license agreements generally include both fixed and variable consideration. Fixed payments, such as those for</w:t>
      </w:r>
      <w:r>
        <w:rPr>
          <w:rFonts w:ascii="Arial" w:cs="Arial" w:eastAsia="Arial" w:hAnsi="Arial"/>
          <w:sz w:val="16"/>
          <w:szCs w:val="16"/>
          <w:i w:val="1"/>
          <w:iCs w:val="1"/>
          <w:color w:val="auto"/>
        </w:rPr>
        <w:t xml:space="preserve"> </w:t>
      </w:r>
      <w:r>
        <w:rPr>
          <w:rFonts w:ascii="Arial" w:cs="Arial" w:eastAsia="Arial" w:hAnsi="Arial"/>
          <w:sz w:val="16"/>
          <w:szCs w:val="16"/>
          <w:color w:val="auto"/>
        </w:rPr>
        <w:t>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w:t>
      </w:r>
    </w:p>
    <w:p>
      <w:pPr>
        <w:ind w:right="560"/>
        <w:spacing w:after="0" w:line="290" w:lineRule="auto"/>
        <w:rPr>
          <w:sz w:val="20"/>
          <w:szCs w:val="20"/>
          <w:color w:val="auto"/>
        </w:rPr>
      </w:pPr>
      <w:r>
        <w:rPr>
          <w:rFonts w:ascii="Arial" w:cs="Arial" w:eastAsia="Arial" w:hAnsi="Arial"/>
          <w:sz w:val="17"/>
          <w:szCs w:val="17"/>
          <w:color w:val="auto"/>
        </w:rPr>
        <w:t>Research and development services are updated for actual invoices. Given the nature of our agreements, milestones are estimated using the most likely amount and are evaluated on a quarterly basis. Upon commercialization, royalty payments are recognized in the period incurred.</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Diluted net loss per share includes any dilutive effect from outstanding stock options and warrants using the treasury stock method. For each period presented, there is no difference in the number of shares used to calculate basic and diluted net loss per share.</w:t>
      </w:r>
    </w:p>
    <w:p>
      <w:pPr>
        <w:spacing w:after="0" w:line="187" w:lineRule="exact"/>
        <w:rPr>
          <w:sz w:val="20"/>
          <w:szCs w:val="20"/>
          <w:color w:val="auto"/>
        </w:rPr>
      </w:pPr>
    </w:p>
    <w:p>
      <w:pPr>
        <w:ind w:right="460" w:firstLine="446"/>
        <w:spacing w:after="0" w:line="277"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87"/>
        </w:trPr>
        <w:tc>
          <w:tcPr>
            <w:tcW w:w="8120" w:type="dxa"/>
            <w:vAlign w:val="bottom"/>
            <w:tcBorders>
              <w:bottom w:val="single" w:sz="8" w:color="CCEEFF"/>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to purchase common stock</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2,602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Warrants to purchase common stock</w:t>
            </w:r>
          </w:p>
        </w:tc>
        <w:tc>
          <w:tcPr>
            <w:tcW w:w="980" w:type="dxa"/>
            <w:vAlign w:val="bottom"/>
          </w:tcPr>
          <w:p>
            <w:pPr>
              <w:spacing w:after="0"/>
              <w:rPr>
                <w:sz w:val="21"/>
                <w:szCs w:val="21"/>
                <w:color w:val="auto"/>
              </w:rPr>
            </w:pPr>
          </w:p>
        </w:tc>
        <w:tc>
          <w:tcPr>
            <w:tcW w:w="620" w:type="dxa"/>
            <w:vAlign w:val="bottom"/>
          </w:tcPr>
          <w:p>
            <w:pPr>
              <w:jc w:val="right"/>
              <w:ind w:right="37"/>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2,611</w:t>
            </w:r>
          </w:p>
        </w:tc>
        <w:tc>
          <w:tcPr>
            <w:tcW w:w="12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0"/>
        </w:trPr>
        <w:tc>
          <w:tcPr>
            <w:tcW w:w="8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firstLine="446"/>
        <w:spacing w:after="0" w:line="285"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outlines a single comprehensive model for entities to use in accounting for revenue from contracts with customers and supersedes most current revenue recognition guidance,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Entities have the option of using either a full retrospective or a modified retrospective approach for the adoption of the new standard. We assessed all potential impacts of the standard, and the most significant impacts relate to our accounting for variable consideration including revenues related to contingent “milestone” based payments and our disclosures required under the new standard as it relates to our two ongoing collaboration agreements, TESARO and Celgene. Application of the new standard requires that variable consideration be recognized to the extent that it is probable that a significant reversal in the amount of revenue will not occur when the uncertainty associated with the variable consideration is subsequently resolved. Accordingly, we may be required to recognize milestone payments earlier in the period in which we determine a significant reversal will not occur, rather than when the milestone is achieved. However, we have reviewed the TESARO and Celgene agreements and have determined that given the nature of potential milestones owed to us under these agreements, and the inherent risk involved in developing drugs, and have determined that these potential milestones were not recognizable as of the standard adoption date. Additionally, while we currently disaggregate our revenue disclosures by collaborative agreement, additional discussion surrounding significant estimates made by management was required in our disclosure and included in Note 4 below. We adopted this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76" w:right="239" w:bottom="1440" w:gutter="0" w:footer="0" w:header="0"/>
        </w:sectPr>
      </w:pPr>
    </w:p>
    <w:bookmarkStart w:id="8" w:name="page9"/>
    <w:bookmarkEnd w:id="8"/>
    <w:p>
      <w:pPr>
        <w:ind w:right="480"/>
        <w:spacing w:after="0" w:line="277" w:lineRule="auto"/>
        <w:rPr>
          <w:sz w:val="20"/>
          <w:szCs w:val="20"/>
          <w:color w:val="auto"/>
        </w:rPr>
      </w:pPr>
      <w:r>
        <w:rPr>
          <w:rFonts w:ascii="Arial" w:cs="Arial" w:eastAsia="Arial" w:hAnsi="Arial"/>
          <w:sz w:val="18"/>
          <w:szCs w:val="18"/>
          <w:color w:val="auto"/>
        </w:rPr>
        <w:t>standard using the modified retrospective approach for our annual reporting period beginning January 1, 2018, and did not record any adjustments upon adoption of this standard.</w:t>
      </w:r>
    </w:p>
    <w:p>
      <w:pPr>
        <w:spacing w:after="0" w:line="170"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which intends to enhance the reporting model for financial instruments by providing users of financial instruments with more</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We adopted this standard as of January 1, 2018 and there was no material impact on our consolidated financial statements. We did not record any adjustments upon adoption of this standard and have consistently applied our accounting policies to all periods presented in the consolidated financial statements.</w:t>
      </w:r>
    </w:p>
    <w:p>
      <w:pPr>
        <w:spacing w:after="0" w:line="167"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which provides further guidance as to what constitutes a modification to the terms of shared based compensation, in order to create consistency in practice amongst all entities. ASU 2017-09 becomes effective for annual reporting periods beginning after December 15, 2017, including interim periods thereafter; early adoption is permitted, including adoption in an interim period. We adopted this standard as of January 1, 2018, and there was no material impact on our consolidated financial statements. We did not record any adjustments upon adoption of this standard.</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0" w:firstLine="446"/>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that lessees recognize a right-of-use asset and a related lease liability arising from leases on the balance sheet. ASU 2016-02 becomes effective for our annual reporting period beginning January 1, 2019, including interim periods thereafter; early adoption is permitted. We have begun analyzing recently executed contracts for embedded leases and have begun to review historical contracts that are still in effect for 2018, including our outstanding lease agreements. We continue to assess the impact that this standard will have on our consolidated financial statements.</w:t>
      </w:r>
    </w:p>
    <w:p>
      <w:pPr>
        <w:spacing w:after="0" w:line="292" w:lineRule="exact"/>
        <w:rPr>
          <w:sz w:val="20"/>
          <w:szCs w:val="20"/>
          <w:color w:val="auto"/>
        </w:rPr>
      </w:pPr>
    </w:p>
    <w:p>
      <w:pPr>
        <w:ind w:left="260" w:right="7040" w:hanging="252"/>
        <w:spacing w:after="0" w:line="378" w:lineRule="auto"/>
        <w:tabs>
          <w:tab w:leader="none" w:pos="197"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Balance Sheet Accounts and Supplemental Disclosures </w:t>
      </w:r>
      <w:r>
        <w:rPr>
          <w:rFonts w:ascii="Arial" w:cs="Arial" w:eastAsia="Arial" w:hAnsi="Arial"/>
          <w:sz w:val="18"/>
          <w:szCs w:val="18"/>
          <w:b w:val="1"/>
          <w:bCs w:val="1"/>
          <w:i w:val="1"/>
          <w:iCs w:val="1"/>
          <w:color w:val="auto"/>
        </w:rPr>
        <w:t>Property and Equipment</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Laboratory equipment</w:t>
            </w:r>
          </w:p>
        </w:tc>
        <w:tc>
          <w:tcPr>
            <w:tcW w:w="3500" w:type="dxa"/>
            <w:vAlign w:val="bottom"/>
            <w:tcBorders>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3,718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3,687</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3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Leasehold improvements</w:t>
            </w:r>
          </w:p>
        </w:tc>
        <w:tc>
          <w:tcPr>
            <w:tcW w:w="32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2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(4,032)</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37"/>
        </w:trPr>
        <w:tc>
          <w:tcPr>
            <w:tcW w:w="4840" w:type="dxa"/>
            <w:vAlign w:val="bottom"/>
          </w:tcPr>
          <w:p>
            <w:pPr>
              <w:ind w:left="280"/>
              <w:spacing w:after="0"/>
              <w:rPr>
                <w:sz w:val="20"/>
                <w:szCs w:val="20"/>
                <w:color w:val="auto"/>
              </w:rPr>
            </w:pPr>
            <w:r>
              <w:rPr>
                <w:rFonts w:ascii="Arial" w:cs="Arial" w:eastAsia="Arial" w:hAnsi="Arial"/>
                <w:sz w:val="18"/>
                <w:szCs w:val="18"/>
                <w:color w:val="auto"/>
              </w:rPr>
              <w:t>Total property and equipment, net</w:t>
            </w:r>
          </w:p>
        </w:tc>
        <w:tc>
          <w:tcPr>
            <w:tcW w:w="32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4840" w:type="dxa"/>
            <w:vAlign w:val="bottom"/>
            <w:vMerge w:val="restart"/>
          </w:tcPr>
          <w:p>
            <w:pPr>
              <w:ind w:left="260"/>
              <w:spacing w:after="0"/>
              <w:rPr>
                <w:sz w:val="20"/>
                <w:szCs w:val="20"/>
                <w:color w:val="auto"/>
              </w:rPr>
            </w:pPr>
            <w:r>
              <w:rPr>
                <w:rFonts w:ascii="Arial" w:cs="Arial" w:eastAsia="Arial" w:hAnsi="Arial"/>
                <w:sz w:val="18"/>
                <w:szCs w:val="18"/>
                <w:b w:val="1"/>
                <w:bCs w:val="1"/>
                <w:i w:val="1"/>
                <w:iCs w:val="1"/>
                <w:color w:val="auto"/>
              </w:rPr>
              <w:t>Accrued Expenses</w:t>
            </w:r>
          </w:p>
        </w:tc>
        <w:tc>
          <w:tcPr>
            <w:tcW w:w="3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vMerge w:val="continu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840" w:type="dxa"/>
            <w:vAlign w:val="bottom"/>
            <w:vMerge w:val="continue"/>
          </w:tcPr>
          <w:p>
            <w:pPr>
              <w:spacing w:after="0"/>
              <w:rPr>
                <w:sz w:val="24"/>
                <w:szCs w:val="24"/>
                <w:color w:val="auto"/>
              </w:rPr>
            </w:pPr>
          </w:p>
        </w:tc>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40" w:type="dxa"/>
            <w:vAlign w:val="bottom"/>
          </w:tcPr>
          <w:p>
            <w:pPr>
              <w:ind w:left="460"/>
              <w:spacing w:after="0"/>
              <w:rPr>
                <w:sz w:val="20"/>
                <w:szCs w:val="20"/>
                <w:color w:val="auto"/>
              </w:rPr>
            </w:pPr>
            <w:r>
              <w:rPr>
                <w:rFonts w:ascii="Arial" w:cs="Arial" w:eastAsia="Arial" w:hAnsi="Arial"/>
                <w:sz w:val="18"/>
                <w:szCs w:val="18"/>
                <w:color w:val="auto"/>
              </w:rPr>
              <w:t>Accrued expenses consist of the following:</w:t>
            </w:r>
          </w:p>
        </w:tc>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84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8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Accrued compensation and related expenses</w:t>
            </w:r>
          </w:p>
        </w:tc>
        <w:tc>
          <w:tcPr>
            <w:tcW w:w="3500" w:type="dxa"/>
            <w:vAlign w:val="bottom"/>
            <w:tcBorders>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Accrued research and contract manufacturing expenses</w:t>
            </w:r>
          </w:p>
        </w:tc>
        <w:tc>
          <w:tcPr>
            <w:tcW w:w="3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Other</w:t>
            </w:r>
          </w:p>
        </w:tc>
        <w:tc>
          <w:tcPr>
            <w:tcW w:w="32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7"/>
        </w:trPr>
        <w:tc>
          <w:tcPr>
            <w:tcW w:w="4840" w:type="dxa"/>
            <w:vAlign w:val="bottom"/>
          </w:tcPr>
          <w:p>
            <w:pPr>
              <w:ind w:left="280"/>
              <w:spacing w:after="0"/>
              <w:rPr>
                <w:sz w:val="20"/>
                <w:szCs w:val="20"/>
                <w:color w:val="auto"/>
              </w:rPr>
            </w:pPr>
            <w:r>
              <w:rPr>
                <w:rFonts w:ascii="Arial" w:cs="Arial" w:eastAsia="Arial" w:hAnsi="Arial"/>
                <w:sz w:val="18"/>
                <w:szCs w:val="18"/>
                <w:color w:val="auto"/>
              </w:rPr>
              <w:t>Total accrued expenses</w:t>
            </w:r>
          </w:p>
        </w:tc>
        <w:tc>
          <w:tcPr>
            <w:tcW w:w="32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4,875</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3280" w:type="dxa"/>
            <w:vAlign w:val="bottom"/>
            <w:vMerge w:val="restart"/>
          </w:tcPr>
          <w:p>
            <w:pPr>
              <w:jc w:val="right"/>
              <w:ind w:right="227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28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4. Collaborative Research and Development Agreements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TESARO Collaboration</w:t>
      </w:r>
    </w:p>
    <w:p>
      <w:pPr>
        <w:spacing w:after="0" w:line="117"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In March 2014, we entered into a Collaboration and Exclusive License Agreement, or the TESARO Agreement, with TESARO, Inc. and TESARO Development, Inc., or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 In November 2014, we and TESARO entered into Amendment No. 1 to the Agreement to add an antibody discovery program against an undisclosed fourth target for an upfront license fee of $2.0 million.</w:t>
      </w:r>
    </w:p>
    <w:p>
      <w:pPr>
        <w:spacing w:after="0" w:line="178" w:lineRule="exact"/>
        <w:rPr>
          <w:sz w:val="20"/>
          <w:szCs w:val="20"/>
          <w:color w:val="auto"/>
        </w:rPr>
      </w:pPr>
    </w:p>
    <w:p>
      <w:pPr>
        <w:ind w:right="200" w:firstLine="446"/>
        <w:spacing w:after="0" w:line="288" w:lineRule="auto"/>
        <w:rPr>
          <w:sz w:val="20"/>
          <w:szCs w:val="20"/>
          <w:color w:val="auto"/>
        </w:rPr>
      </w:pPr>
      <w:r>
        <w:rPr>
          <w:rFonts w:ascii="Arial" w:cs="Arial" w:eastAsia="Arial" w:hAnsi="Arial"/>
          <w:sz w:val="16"/>
          <w:szCs w:val="16"/>
          <w:color w:val="auto"/>
        </w:rPr>
        <w:t>For each development program, we are eligible to receive milestone payments of up to $18.0 million if certain preclinical and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Unless earlier terminated by either party upon specified circumstances, the agreement will terminate, with respect to each specific developed product, upon the latter of the 12th anniversary of the first commercial sale of the product or the expiration of the last to expire of any patent. Prior to the adoption of ASC Topic 606,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were recognized was extended through December 31, 2016, and have been recognized in full.</w:t>
      </w:r>
    </w:p>
    <w:p>
      <w:pPr>
        <w:spacing w:after="0" w:line="6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assessed this arrangement in accordance with ASC Topic 606 and concluded that the contract counterparty, TESARO, is a customer. We identified the following material promises under the TESARO Agreement: (1) the licenses under certain patent rights relating to six discovery programs (four targets) and transfer of certain development and regulatory information, (2) R&amp;D services and (3) Joint Steering Committee meetings. We considered the research and discovery capabilities of TESARO for these specific programs, TESARO’s inability to sub-license, and the fact that the discovery and optimization of these antibodies is proprietary and could not, at the time of the contract inception, be provided by other vendors, to conclude that the license does not have stand-alone functionality and is therefore not distinct. Additionally, we determined that the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of the arrangement.</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March 31, 2018, the transaction price includes the upfront payment, research reimbursement revenue, and milestones earned to date, which are allocated in their entirety to the single performance obligation. None of the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the licensees’ efforts. Any consideration related to sales-based milestones, including royalties, will be recognized when the related sales occur as they were determined to relate predominantly to the IP license granted to TESARO and therefore have also been excluded from the transaction price. We will re-evaluate the variable transaction price in each reporting period and as uncertain events are resolved or other changes in circumstances occur.</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Milestones achieved through March 31, 2018 under the TESARO Agreement are as follow: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42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Anti-PD-1</w:t>
            </w:r>
          </w:p>
        </w:tc>
        <w:tc>
          <w:tcPr>
            <w:tcW w:w="23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Anti-TIM-3</w:t>
            </w:r>
          </w:p>
        </w:tc>
        <w:tc>
          <w:tcPr>
            <w:tcW w:w="2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Anti-LAG-3</w:t>
            </w:r>
          </w:p>
        </w:tc>
      </w:tr>
      <w:tr>
        <w:trPr>
          <w:trHeight w:val="192"/>
        </w:trPr>
        <w:tc>
          <w:tcPr>
            <w:tcW w:w="43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w w:val="95"/>
              </w:rPr>
              <w:t>(TSR042)</w:t>
            </w: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48"/>
              <w:spacing w:after="0"/>
              <w:rPr>
                <w:sz w:val="20"/>
                <w:szCs w:val="20"/>
                <w:color w:val="auto"/>
              </w:rPr>
            </w:pPr>
            <w:r>
              <w:rPr>
                <w:rFonts w:ascii="Arial" w:cs="Arial" w:eastAsia="Arial" w:hAnsi="Arial"/>
                <w:sz w:val="14"/>
                <w:szCs w:val="14"/>
                <w:b w:val="1"/>
                <w:bCs w:val="1"/>
                <w:color w:val="auto"/>
                <w:w w:val="95"/>
              </w:rPr>
              <w:t>(TSR022)</w:t>
            </w: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68"/>
              <w:spacing w:after="0"/>
              <w:rPr>
                <w:sz w:val="20"/>
                <w:szCs w:val="20"/>
                <w:color w:val="auto"/>
              </w:rPr>
            </w:pPr>
            <w:r>
              <w:rPr>
                <w:rFonts w:ascii="Arial" w:cs="Arial" w:eastAsia="Arial" w:hAnsi="Arial"/>
                <w:sz w:val="14"/>
                <w:szCs w:val="14"/>
                <w:b w:val="1"/>
                <w:bCs w:val="1"/>
                <w:color w:val="auto"/>
                <w:w w:val="98"/>
              </w:rPr>
              <w:t>(TSR033)</w:t>
            </w:r>
          </w:p>
        </w:tc>
      </w:tr>
      <w:tr>
        <w:trPr>
          <w:trHeight w:val="250"/>
        </w:trPr>
        <w:tc>
          <w:tcPr>
            <w:tcW w:w="4360" w:type="dxa"/>
            <w:vAlign w:val="bottom"/>
          </w:tcPr>
          <w:p>
            <w:pPr>
              <w:ind w:left="1680"/>
              <w:spacing w:after="0"/>
              <w:rPr>
                <w:sz w:val="20"/>
                <w:szCs w:val="20"/>
                <w:color w:val="auto"/>
              </w:rPr>
            </w:pPr>
            <w:r>
              <w:rPr>
                <w:rFonts w:ascii="Arial" w:cs="Arial" w:eastAsia="Arial" w:hAnsi="Arial"/>
                <w:sz w:val="14"/>
                <w:szCs w:val="14"/>
                <w:b w:val="1"/>
                <w:bCs w:val="1"/>
                <w:color w:val="auto"/>
              </w:rPr>
              <w:t>Milestone Event</w:t>
            </w:r>
          </w:p>
        </w:tc>
        <w:tc>
          <w:tcPr>
            <w:tcW w:w="840" w:type="dxa"/>
            <w:vAlign w:val="bottom"/>
          </w:tcPr>
          <w:p>
            <w:pPr>
              <w:jc w:val="center"/>
              <w:ind w:left="228"/>
              <w:spacing w:after="0"/>
              <w:rPr>
                <w:sz w:val="20"/>
                <w:szCs w:val="20"/>
                <w:color w:val="auto"/>
              </w:rPr>
            </w:pPr>
            <w:r>
              <w:rPr>
                <w:rFonts w:ascii="Arial" w:cs="Arial" w:eastAsia="Arial" w:hAnsi="Arial"/>
                <w:sz w:val="14"/>
                <w:szCs w:val="14"/>
                <w:b w:val="1"/>
                <w:bCs w:val="1"/>
                <w:color w:val="auto"/>
                <w:w w:val="94"/>
              </w:rPr>
              <w:t>Amount</w:t>
            </w:r>
          </w:p>
        </w:tc>
        <w:tc>
          <w:tcPr>
            <w:tcW w:w="158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8"/>
              </w:rPr>
              <w:t>Quarter Earned</w:t>
            </w:r>
          </w:p>
        </w:tc>
        <w:tc>
          <w:tcPr>
            <w:tcW w:w="820" w:type="dxa"/>
            <w:vAlign w:val="bottom"/>
          </w:tcPr>
          <w:p>
            <w:pPr>
              <w:jc w:val="center"/>
              <w:ind w:left="228"/>
              <w:spacing w:after="0"/>
              <w:rPr>
                <w:sz w:val="20"/>
                <w:szCs w:val="20"/>
                <w:color w:val="auto"/>
              </w:rPr>
            </w:pPr>
            <w:r>
              <w:rPr>
                <w:rFonts w:ascii="Arial" w:cs="Arial" w:eastAsia="Arial" w:hAnsi="Arial"/>
                <w:sz w:val="14"/>
                <w:szCs w:val="14"/>
                <w:b w:val="1"/>
                <w:bCs w:val="1"/>
                <w:color w:val="auto"/>
                <w:w w:val="98"/>
              </w:rPr>
              <w:t>Amount</w:t>
            </w:r>
          </w:p>
        </w:tc>
        <w:tc>
          <w:tcPr>
            <w:tcW w:w="156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8"/>
              </w:rPr>
              <w:t>Quarter Earned</w:t>
            </w:r>
          </w:p>
        </w:tc>
        <w:tc>
          <w:tcPr>
            <w:tcW w:w="820" w:type="dxa"/>
            <w:vAlign w:val="bottom"/>
          </w:tcPr>
          <w:p>
            <w:pPr>
              <w:ind w:left="300"/>
              <w:spacing w:after="0"/>
              <w:rPr>
                <w:sz w:val="20"/>
                <w:szCs w:val="20"/>
                <w:color w:val="auto"/>
              </w:rPr>
            </w:pPr>
            <w:r>
              <w:rPr>
                <w:rFonts w:ascii="Arial" w:cs="Arial" w:eastAsia="Arial" w:hAnsi="Arial"/>
                <w:sz w:val="14"/>
                <w:szCs w:val="14"/>
                <w:b w:val="1"/>
                <w:bCs w:val="1"/>
                <w:color w:val="auto"/>
                <w:w w:val="94"/>
              </w:rPr>
              <w:t>Amount</w:t>
            </w:r>
          </w:p>
        </w:tc>
        <w:tc>
          <w:tcPr>
            <w:tcW w:w="1440" w:type="dxa"/>
            <w:vAlign w:val="bottom"/>
          </w:tcPr>
          <w:p>
            <w:pPr>
              <w:ind w:left="380"/>
              <w:spacing w:after="0"/>
              <w:rPr>
                <w:sz w:val="20"/>
                <w:szCs w:val="20"/>
                <w:color w:val="auto"/>
              </w:rPr>
            </w:pPr>
            <w:r>
              <w:rPr>
                <w:rFonts w:ascii="Arial" w:cs="Arial" w:eastAsia="Arial" w:hAnsi="Arial"/>
                <w:sz w:val="14"/>
                <w:szCs w:val="14"/>
                <w:b w:val="1"/>
                <w:bCs w:val="1"/>
                <w:color w:val="auto"/>
              </w:rPr>
              <w:t>Quarter Earned</w:t>
            </w:r>
          </w:p>
        </w:tc>
      </w:tr>
      <w:tr>
        <w:trPr>
          <w:trHeight w:val="379"/>
        </w:trPr>
        <w:tc>
          <w:tcPr>
            <w:tcW w:w="4360" w:type="dxa"/>
            <w:vAlign w:val="bottom"/>
            <w:shd w:val="clear" w:color="auto" w:fill="CFF0FC"/>
          </w:tcPr>
          <w:p>
            <w:pPr>
              <w:ind w:left="40"/>
              <w:spacing w:after="0"/>
              <w:rPr>
                <w:sz w:val="20"/>
                <w:szCs w:val="20"/>
                <w:color w:val="auto"/>
              </w:rPr>
            </w:pPr>
            <w:r>
              <w:rPr>
                <w:rFonts w:ascii="Arial" w:cs="Arial" w:eastAsia="Arial" w:hAnsi="Arial"/>
                <w:sz w:val="14"/>
                <w:szCs w:val="14"/>
                <w:color w:val="auto"/>
              </w:rPr>
              <w:t xml:space="preserve">Initiated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toxicology studies using good laboratory practices</w:t>
            </w:r>
          </w:p>
        </w:tc>
        <w:tc>
          <w:tcPr>
            <w:tcW w:w="840" w:type="dxa"/>
            <w:vAlign w:val="bottom"/>
            <w:shd w:val="clear" w:color="auto" w:fill="CFF0FC"/>
          </w:tcPr>
          <w:p>
            <w:pPr>
              <w:spacing w:after="0"/>
              <w:rPr>
                <w:sz w:val="24"/>
                <w:szCs w:val="24"/>
                <w:color w:val="auto"/>
              </w:rPr>
            </w:pPr>
          </w:p>
        </w:tc>
        <w:tc>
          <w:tcPr>
            <w:tcW w:w="14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14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1440" w:type="dxa"/>
            <w:vAlign w:val="bottom"/>
            <w:shd w:val="clear" w:color="auto" w:fill="CFF0FC"/>
          </w:tcPr>
          <w:p>
            <w:pPr>
              <w:spacing w:after="0"/>
              <w:rPr>
                <w:sz w:val="24"/>
                <w:szCs w:val="24"/>
                <w:color w:val="auto"/>
              </w:rPr>
            </w:pPr>
          </w:p>
        </w:tc>
      </w:tr>
      <w:tr>
        <w:trPr>
          <w:trHeight w:val="194"/>
        </w:trPr>
        <w:tc>
          <w:tcPr>
            <w:tcW w:w="4360" w:type="dxa"/>
            <w:vAlign w:val="bottom"/>
            <w:shd w:val="clear" w:color="auto" w:fill="CFF0FC"/>
          </w:tcPr>
          <w:p>
            <w:pPr>
              <w:ind w:left="40"/>
              <w:spacing w:after="0"/>
              <w:rPr>
                <w:sz w:val="20"/>
                <w:szCs w:val="20"/>
                <w:color w:val="auto"/>
              </w:rPr>
            </w:pPr>
            <w:r>
              <w:rPr>
                <w:rFonts w:ascii="Arial" w:cs="Arial" w:eastAsia="Arial" w:hAnsi="Arial"/>
                <w:sz w:val="14"/>
                <w:szCs w:val="14"/>
                <w:color w:val="auto"/>
              </w:rPr>
              <w:t>(GLPs)</w:t>
            </w:r>
          </w:p>
        </w:tc>
        <w:tc>
          <w:tcPr>
            <w:tcW w:w="840" w:type="dxa"/>
            <w:vAlign w:val="bottom"/>
            <w:shd w:val="clear" w:color="auto" w:fill="CFF0FC"/>
          </w:tcPr>
          <w:p>
            <w:pPr>
              <w:jc w:val="center"/>
              <w:ind w:left="228"/>
              <w:spacing w:after="0"/>
              <w:rPr>
                <w:sz w:val="20"/>
                <w:szCs w:val="20"/>
                <w:color w:val="auto"/>
              </w:rPr>
            </w:pPr>
            <w:r>
              <w:rPr>
                <w:rFonts w:ascii="Arial" w:cs="Arial" w:eastAsia="Arial" w:hAnsi="Arial"/>
                <w:sz w:val="14"/>
                <w:szCs w:val="14"/>
                <w:color w:val="auto"/>
                <w:w w:val="97"/>
              </w:rPr>
              <w:t>$1.0M</w:t>
            </w:r>
          </w:p>
        </w:tc>
        <w:tc>
          <w:tcPr>
            <w:tcW w:w="1580" w:type="dxa"/>
            <w:vAlign w:val="bottom"/>
            <w:gridSpan w:val="2"/>
            <w:shd w:val="clear" w:color="auto" w:fill="CFF0FC"/>
          </w:tcPr>
          <w:p>
            <w:pPr>
              <w:jc w:val="center"/>
              <w:ind w:left="108"/>
              <w:spacing w:after="0"/>
              <w:rPr>
                <w:sz w:val="20"/>
                <w:szCs w:val="20"/>
                <w:color w:val="auto"/>
              </w:rPr>
            </w:pPr>
            <w:r>
              <w:rPr>
                <w:rFonts w:ascii="Arial" w:cs="Arial" w:eastAsia="Arial" w:hAnsi="Arial"/>
                <w:sz w:val="14"/>
                <w:szCs w:val="14"/>
                <w:color w:val="auto"/>
                <w:w w:val="97"/>
              </w:rPr>
              <w:t>Q2'15</w:t>
            </w:r>
          </w:p>
        </w:tc>
        <w:tc>
          <w:tcPr>
            <w:tcW w:w="820" w:type="dxa"/>
            <w:vAlign w:val="bottom"/>
            <w:shd w:val="clear" w:color="auto" w:fill="CFF0FC"/>
          </w:tcPr>
          <w:p>
            <w:pPr>
              <w:jc w:val="center"/>
              <w:ind w:left="248"/>
              <w:spacing w:after="0"/>
              <w:rPr>
                <w:sz w:val="20"/>
                <w:szCs w:val="20"/>
                <w:color w:val="auto"/>
              </w:rPr>
            </w:pPr>
            <w:r>
              <w:rPr>
                <w:rFonts w:ascii="Arial" w:cs="Arial" w:eastAsia="Arial" w:hAnsi="Arial"/>
                <w:sz w:val="14"/>
                <w:szCs w:val="14"/>
                <w:color w:val="auto"/>
                <w:w w:val="97"/>
              </w:rPr>
              <w:t>$1.0M</w:t>
            </w:r>
          </w:p>
        </w:tc>
        <w:tc>
          <w:tcPr>
            <w:tcW w:w="1560" w:type="dxa"/>
            <w:vAlign w:val="bottom"/>
            <w:gridSpan w:val="2"/>
            <w:shd w:val="clear" w:color="auto" w:fill="CFF0FC"/>
          </w:tcPr>
          <w:p>
            <w:pPr>
              <w:jc w:val="center"/>
              <w:ind w:left="108"/>
              <w:spacing w:after="0"/>
              <w:rPr>
                <w:sz w:val="20"/>
                <w:szCs w:val="20"/>
                <w:color w:val="auto"/>
              </w:rPr>
            </w:pPr>
            <w:r>
              <w:rPr>
                <w:rFonts w:ascii="Arial" w:cs="Arial" w:eastAsia="Arial" w:hAnsi="Arial"/>
                <w:sz w:val="14"/>
                <w:szCs w:val="14"/>
                <w:color w:val="auto"/>
                <w:w w:val="91"/>
              </w:rPr>
              <w:t>Q4'15</w:t>
            </w:r>
          </w:p>
        </w:tc>
        <w:tc>
          <w:tcPr>
            <w:tcW w:w="820" w:type="dxa"/>
            <w:vAlign w:val="bottom"/>
            <w:shd w:val="clear" w:color="auto" w:fill="CFF0FC"/>
          </w:tcPr>
          <w:p>
            <w:pPr>
              <w:jc w:val="center"/>
              <w:ind w:left="208"/>
              <w:spacing w:after="0"/>
              <w:rPr>
                <w:sz w:val="20"/>
                <w:szCs w:val="20"/>
                <w:color w:val="auto"/>
              </w:rPr>
            </w:pPr>
            <w:r>
              <w:rPr>
                <w:rFonts w:ascii="Arial" w:cs="Arial" w:eastAsia="Arial" w:hAnsi="Arial"/>
                <w:sz w:val="14"/>
                <w:szCs w:val="14"/>
                <w:color w:val="auto"/>
                <w:w w:val="97"/>
              </w:rPr>
              <w:t>$1.0M</w:t>
            </w:r>
          </w:p>
        </w:tc>
        <w:tc>
          <w:tcPr>
            <w:tcW w:w="1440" w:type="dxa"/>
            <w:vAlign w:val="bottom"/>
            <w:shd w:val="clear" w:color="auto" w:fill="CFF0FC"/>
          </w:tcPr>
          <w:p>
            <w:pPr>
              <w:jc w:val="center"/>
              <w:ind w:left="228"/>
              <w:spacing w:after="0"/>
              <w:rPr>
                <w:sz w:val="20"/>
                <w:szCs w:val="20"/>
                <w:color w:val="auto"/>
              </w:rPr>
            </w:pPr>
            <w:r>
              <w:rPr>
                <w:rFonts w:ascii="Arial" w:cs="Arial" w:eastAsia="Arial" w:hAnsi="Arial"/>
                <w:sz w:val="14"/>
                <w:szCs w:val="14"/>
                <w:color w:val="auto"/>
                <w:w w:val="91"/>
              </w:rPr>
              <w:t>Q3'16</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IND clearance from the FDA</w:t>
            </w:r>
          </w:p>
        </w:tc>
        <w:tc>
          <w:tcPr>
            <w:tcW w:w="840" w:type="dxa"/>
            <w:vAlign w:val="bottom"/>
          </w:tcPr>
          <w:p>
            <w:pPr>
              <w:jc w:val="center"/>
              <w:ind w:left="228"/>
              <w:spacing w:after="0"/>
              <w:rPr>
                <w:sz w:val="20"/>
                <w:szCs w:val="20"/>
                <w:color w:val="auto"/>
              </w:rPr>
            </w:pPr>
            <w:r>
              <w:rPr>
                <w:rFonts w:ascii="Arial" w:cs="Arial" w:eastAsia="Arial" w:hAnsi="Arial"/>
                <w:sz w:val="14"/>
                <w:szCs w:val="14"/>
                <w:color w:val="auto"/>
                <w:w w:val="97"/>
              </w:rPr>
              <w:t>$4.0M</w:t>
            </w:r>
          </w:p>
        </w:tc>
        <w:tc>
          <w:tcPr>
            <w:tcW w:w="1580" w:type="dxa"/>
            <w:vAlign w:val="bottom"/>
            <w:gridSpan w:val="2"/>
          </w:tcPr>
          <w:p>
            <w:pPr>
              <w:jc w:val="center"/>
              <w:ind w:left="108"/>
              <w:spacing w:after="0"/>
              <w:rPr>
                <w:sz w:val="20"/>
                <w:szCs w:val="20"/>
                <w:color w:val="auto"/>
              </w:rPr>
            </w:pPr>
            <w:r>
              <w:rPr>
                <w:rFonts w:ascii="Arial" w:cs="Arial" w:eastAsia="Arial" w:hAnsi="Arial"/>
                <w:sz w:val="14"/>
                <w:szCs w:val="14"/>
                <w:color w:val="auto"/>
                <w:w w:val="97"/>
              </w:rPr>
              <w:t>Q1'16</w:t>
            </w:r>
          </w:p>
        </w:tc>
        <w:tc>
          <w:tcPr>
            <w:tcW w:w="820" w:type="dxa"/>
            <w:vAlign w:val="bottom"/>
          </w:tcPr>
          <w:p>
            <w:pPr>
              <w:jc w:val="center"/>
              <w:ind w:left="248"/>
              <w:spacing w:after="0"/>
              <w:rPr>
                <w:sz w:val="20"/>
                <w:szCs w:val="20"/>
                <w:color w:val="auto"/>
              </w:rPr>
            </w:pPr>
            <w:r>
              <w:rPr>
                <w:rFonts w:ascii="Arial" w:cs="Arial" w:eastAsia="Arial" w:hAnsi="Arial"/>
                <w:sz w:val="14"/>
                <w:szCs w:val="14"/>
                <w:color w:val="auto"/>
                <w:w w:val="97"/>
              </w:rPr>
              <w:t>$4.0M</w:t>
            </w:r>
          </w:p>
        </w:tc>
        <w:tc>
          <w:tcPr>
            <w:tcW w:w="1560" w:type="dxa"/>
            <w:vAlign w:val="bottom"/>
            <w:gridSpan w:val="2"/>
          </w:tcPr>
          <w:p>
            <w:pPr>
              <w:jc w:val="center"/>
              <w:ind w:left="108"/>
              <w:spacing w:after="0"/>
              <w:rPr>
                <w:sz w:val="20"/>
                <w:szCs w:val="20"/>
                <w:color w:val="auto"/>
              </w:rPr>
            </w:pPr>
            <w:r>
              <w:rPr>
                <w:rFonts w:ascii="Arial" w:cs="Arial" w:eastAsia="Arial" w:hAnsi="Arial"/>
                <w:sz w:val="14"/>
                <w:szCs w:val="14"/>
                <w:color w:val="auto"/>
                <w:w w:val="91"/>
              </w:rPr>
              <w:t>Q2'16</w:t>
            </w:r>
          </w:p>
        </w:tc>
        <w:tc>
          <w:tcPr>
            <w:tcW w:w="820" w:type="dxa"/>
            <w:vAlign w:val="bottom"/>
          </w:tcPr>
          <w:p>
            <w:pPr>
              <w:jc w:val="center"/>
              <w:ind w:left="208"/>
              <w:spacing w:after="0"/>
              <w:rPr>
                <w:sz w:val="20"/>
                <w:szCs w:val="20"/>
                <w:color w:val="auto"/>
              </w:rPr>
            </w:pPr>
            <w:r>
              <w:rPr>
                <w:rFonts w:ascii="Arial" w:cs="Arial" w:eastAsia="Arial" w:hAnsi="Arial"/>
                <w:sz w:val="14"/>
                <w:szCs w:val="14"/>
                <w:color w:val="auto"/>
                <w:w w:val="97"/>
              </w:rPr>
              <w:t>$4.0M</w:t>
            </w:r>
          </w:p>
        </w:tc>
        <w:tc>
          <w:tcPr>
            <w:tcW w:w="1440" w:type="dxa"/>
            <w:vAlign w:val="bottom"/>
          </w:tcPr>
          <w:p>
            <w:pPr>
              <w:jc w:val="center"/>
              <w:ind w:left="228"/>
              <w:spacing w:after="0"/>
              <w:rPr>
                <w:sz w:val="20"/>
                <w:szCs w:val="20"/>
                <w:color w:val="auto"/>
              </w:rPr>
            </w:pPr>
            <w:r>
              <w:rPr>
                <w:rFonts w:ascii="Arial" w:cs="Arial" w:eastAsia="Arial" w:hAnsi="Arial"/>
                <w:sz w:val="14"/>
                <w:szCs w:val="14"/>
                <w:color w:val="auto"/>
                <w:w w:val="91"/>
              </w:rPr>
              <w:t>Q2'17</w:t>
            </w:r>
          </w:p>
        </w:tc>
      </w:tr>
      <w:tr>
        <w:trPr>
          <w:trHeight w:val="276"/>
        </w:trPr>
        <w:tc>
          <w:tcPr>
            <w:tcW w:w="4360" w:type="dxa"/>
            <w:vAlign w:val="bottom"/>
            <w:shd w:val="clear" w:color="auto" w:fill="CFF0FC"/>
          </w:tcPr>
          <w:p>
            <w:pPr>
              <w:ind w:left="40"/>
              <w:spacing w:after="0"/>
              <w:rPr>
                <w:sz w:val="20"/>
                <w:szCs w:val="20"/>
                <w:color w:val="auto"/>
              </w:rPr>
            </w:pPr>
            <w:r>
              <w:rPr>
                <w:rFonts w:ascii="Arial" w:cs="Arial" w:eastAsia="Arial" w:hAnsi="Arial"/>
                <w:sz w:val="14"/>
                <w:szCs w:val="14"/>
                <w:color w:val="auto"/>
              </w:rPr>
              <w:t>Phase 2 clinical trial initiation</w:t>
            </w:r>
          </w:p>
        </w:tc>
        <w:tc>
          <w:tcPr>
            <w:tcW w:w="840" w:type="dxa"/>
            <w:vAlign w:val="bottom"/>
            <w:shd w:val="clear" w:color="auto" w:fill="CFF0FC"/>
          </w:tcPr>
          <w:p>
            <w:pPr>
              <w:jc w:val="center"/>
              <w:ind w:left="228"/>
              <w:spacing w:after="0"/>
              <w:rPr>
                <w:sz w:val="20"/>
                <w:szCs w:val="20"/>
                <w:color w:val="auto"/>
              </w:rPr>
            </w:pPr>
            <w:r>
              <w:rPr>
                <w:rFonts w:ascii="Arial" w:cs="Arial" w:eastAsia="Arial" w:hAnsi="Arial"/>
                <w:sz w:val="14"/>
                <w:szCs w:val="14"/>
                <w:color w:val="auto"/>
                <w:w w:val="97"/>
              </w:rPr>
              <w:t>$3.0M</w:t>
            </w:r>
          </w:p>
        </w:tc>
        <w:tc>
          <w:tcPr>
            <w:tcW w:w="1580" w:type="dxa"/>
            <w:vAlign w:val="bottom"/>
            <w:gridSpan w:val="2"/>
            <w:shd w:val="clear" w:color="auto" w:fill="CFF0FC"/>
          </w:tcPr>
          <w:p>
            <w:pPr>
              <w:jc w:val="center"/>
              <w:ind w:left="108"/>
              <w:spacing w:after="0"/>
              <w:rPr>
                <w:sz w:val="20"/>
                <w:szCs w:val="20"/>
                <w:color w:val="auto"/>
              </w:rPr>
            </w:pPr>
            <w:r>
              <w:rPr>
                <w:rFonts w:ascii="Arial" w:cs="Arial" w:eastAsia="Arial" w:hAnsi="Arial"/>
                <w:sz w:val="14"/>
                <w:szCs w:val="14"/>
                <w:color w:val="auto"/>
                <w:w w:val="97"/>
              </w:rPr>
              <w:t>Q2'17</w:t>
            </w:r>
          </w:p>
        </w:tc>
        <w:tc>
          <w:tcPr>
            <w:tcW w:w="820" w:type="dxa"/>
            <w:vAlign w:val="bottom"/>
            <w:shd w:val="clear" w:color="auto" w:fill="CFF0FC"/>
          </w:tcPr>
          <w:p>
            <w:pPr>
              <w:jc w:val="center"/>
              <w:ind w:left="248"/>
              <w:spacing w:after="0"/>
              <w:rPr>
                <w:sz w:val="20"/>
                <w:szCs w:val="20"/>
                <w:color w:val="auto"/>
              </w:rPr>
            </w:pPr>
            <w:r>
              <w:rPr>
                <w:rFonts w:ascii="Arial" w:cs="Arial" w:eastAsia="Arial" w:hAnsi="Arial"/>
                <w:sz w:val="14"/>
                <w:szCs w:val="14"/>
                <w:color w:val="auto"/>
                <w:w w:val="97"/>
              </w:rPr>
              <w:t>$3.0M</w:t>
            </w:r>
          </w:p>
        </w:tc>
        <w:tc>
          <w:tcPr>
            <w:tcW w:w="1560" w:type="dxa"/>
            <w:vAlign w:val="bottom"/>
            <w:gridSpan w:val="2"/>
            <w:shd w:val="clear" w:color="auto" w:fill="CFF0FC"/>
          </w:tcPr>
          <w:p>
            <w:pPr>
              <w:jc w:val="center"/>
              <w:ind w:left="108"/>
              <w:spacing w:after="0"/>
              <w:rPr>
                <w:sz w:val="20"/>
                <w:szCs w:val="20"/>
                <w:color w:val="auto"/>
              </w:rPr>
            </w:pPr>
            <w:r>
              <w:rPr>
                <w:rFonts w:ascii="Arial" w:cs="Arial" w:eastAsia="Arial" w:hAnsi="Arial"/>
                <w:sz w:val="14"/>
                <w:szCs w:val="14"/>
                <w:color w:val="auto"/>
                <w:w w:val="91"/>
              </w:rPr>
              <w:t>Q4'17</w:t>
            </w:r>
          </w:p>
        </w:tc>
        <w:tc>
          <w:tcPr>
            <w:tcW w:w="820" w:type="dxa"/>
            <w:vAlign w:val="bottom"/>
            <w:shd w:val="clear" w:color="auto" w:fill="CFF0FC"/>
          </w:tcPr>
          <w:p>
            <w:pPr>
              <w:jc w:val="center"/>
              <w:ind w:lef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center"/>
              <w:ind w:left="228"/>
              <w:spacing w:after="0"/>
              <w:rPr>
                <w:sz w:val="20"/>
                <w:szCs w:val="20"/>
                <w:color w:val="auto"/>
              </w:rPr>
            </w:pPr>
            <w:r>
              <w:rPr>
                <w:rFonts w:ascii="Arial" w:cs="Arial" w:eastAsia="Arial" w:hAnsi="Arial"/>
                <w:sz w:val="14"/>
                <w:szCs w:val="14"/>
                <w:color w:val="auto"/>
                <w:w w:val="99"/>
              </w:rPr>
              <w:t>—</w:t>
            </w:r>
          </w:p>
        </w:tc>
      </w:tr>
    </w:tbl>
    <w:p>
      <w:pPr>
        <w:spacing w:after="0" w:line="202" w:lineRule="exact"/>
        <w:rPr>
          <w:sz w:val="20"/>
          <w:szCs w:val="20"/>
          <w:color w:val="auto"/>
        </w:rPr>
      </w:pPr>
    </w:p>
    <w:p>
      <w:pPr>
        <w:ind w:right="140" w:firstLine="446"/>
        <w:spacing w:after="0" w:line="342" w:lineRule="auto"/>
        <w:rPr>
          <w:sz w:val="20"/>
          <w:szCs w:val="20"/>
          <w:color w:val="auto"/>
        </w:rPr>
      </w:pPr>
      <w:r>
        <w:rPr>
          <w:rFonts w:ascii="Arial" w:cs="Arial" w:eastAsia="Arial" w:hAnsi="Arial"/>
          <w:sz w:val="16"/>
          <w:szCs w:val="16"/>
          <w:color w:val="auto"/>
        </w:rPr>
        <w:t>Milestones achieved during the discovery period were recognized as revenue pro-rata through December 31, 2016. Milestones achieved subsequent to December 31, 2016 were recognized as revenue in the period earned. Cash is generally received within 30 days of milestone achievement.</w:t>
      </w:r>
    </w:p>
    <w:p>
      <w:pPr>
        <w:spacing w:after="0" w:line="124"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Revenue from future contingent milestone payments will be recognized when it is more likely than not that the revenue will not be reversed in future periods.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was no revenue recognized under this agreement during the three months ended March 31, 2018 and 2017.</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Antibody Generation Agreement with Celgene Corporation</w:t>
      </w:r>
    </w:p>
    <w:p>
      <w:pPr>
        <w:spacing w:after="0" w:line="225" w:lineRule="exact"/>
        <w:rPr>
          <w:sz w:val="20"/>
          <w:szCs w:val="20"/>
          <w:color w:val="auto"/>
        </w:rPr>
      </w:pPr>
    </w:p>
    <w:p>
      <w:pPr>
        <w:jc w:val="both"/>
        <w:ind w:right="220" w:firstLine="446"/>
        <w:spacing w:after="0" w:line="259" w:lineRule="auto"/>
        <w:rPr>
          <w:sz w:val="20"/>
          <w:szCs w:val="20"/>
          <w:color w:val="auto"/>
        </w:rPr>
      </w:pPr>
      <w:r>
        <w:rPr>
          <w:rFonts w:ascii="Arial" w:cs="Arial" w:eastAsia="Arial" w:hAnsi="Arial"/>
          <w:sz w:val="18"/>
          <w:szCs w:val="18"/>
          <w:color w:val="auto"/>
        </w:rPr>
        <w:t>In December 2011, we entered into a license and collaboration agreement with Celgene, or the Celgene Agreement,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87"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The agreement provided for an upfront payment of $6.0 million from Celgene, which we received in 2011 and recognized through 2014, milestone payments of up to $53.0 million per target, low single-digit royalties on net sales of antibodies against each target, and reimbursement of specified research and development costs.</w:t>
      </w:r>
    </w:p>
    <w:p>
      <w:pPr>
        <w:spacing w:after="0" w:line="181" w:lineRule="exact"/>
        <w:rPr>
          <w:sz w:val="20"/>
          <w:szCs w:val="20"/>
          <w:color w:val="auto"/>
        </w:rPr>
      </w:pPr>
    </w:p>
    <w:p>
      <w:pPr>
        <w:ind w:right="60" w:firstLine="446"/>
        <w:spacing w:after="0" w:line="290" w:lineRule="auto"/>
        <w:rPr>
          <w:sz w:val="20"/>
          <w:szCs w:val="20"/>
          <w:color w:val="auto"/>
        </w:rPr>
      </w:pPr>
      <w:r>
        <w:rPr>
          <w:rFonts w:ascii="Arial" w:cs="Arial" w:eastAsia="Arial" w:hAnsi="Arial"/>
          <w:sz w:val="16"/>
          <w:szCs w:val="16"/>
          <w:color w:val="auto"/>
        </w:rPr>
        <w:t>We assessed this arrangement in accordance with ASC Topic 606 and concluded that the contract counterparty, Celgene, is a customer. We identified the following material promises under the Celgene Agreement: (1) the licenses under certain patent rights relating to four targets and transfer of certain development and regulatory information, (2) R&amp;D services, (3) a written report documenting findings and (4) Steering Committee meetings. We considered the research and discovery capabilities of Celgene, Celgene’s inability to sub-license the four targets, and the fact that the discovery and optimization of these antibodies is proprietary and could not, at the time of the contract inception, be provided by other vendors, to conclude that the license does not have stand-alone functionality and is therefore not distinct. Additionally, we determined that the report of findings and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the arrangement.</w:t>
      </w:r>
    </w:p>
    <w:p>
      <w:pPr>
        <w:spacing w:after="0" w:line="166" w:lineRule="exact"/>
        <w:rPr>
          <w:sz w:val="20"/>
          <w:szCs w:val="20"/>
          <w:color w:val="auto"/>
        </w:rPr>
      </w:pPr>
    </w:p>
    <w:p>
      <w:pPr>
        <w:ind w:right="40" w:firstLine="446"/>
        <w:spacing w:after="0" w:line="272" w:lineRule="auto"/>
        <w:rPr>
          <w:sz w:val="20"/>
          <w:szCs w:val="20"/>
          <w:color w:val="auto"/>
        </w:rPr>
      </w:pPr>
      <w:r>
        <w:rPr>
          <w:rFonts w:ascii="Arial" w:cs="Arial" w:eastAsia="Arial" w:hAnsi="Arial"/>
          <w:sz w:val="17"/>
          <w:szCs w:val="17"/>
          <w:color w:val="auto"/>
        </w:rPr>
        <w:t>As of March 31, 2018, the transaction price includes the upfront payment, success fees, expense reimbursement, and milestones earned to date, which are allocated in their entirety to the single performance obligation. None of the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and the licensees’ efforts. Any consideration related to sales-based milestones, including royalties, will be recognized when the related sales occur as they were determined to relate predominantly to the IP license granted to Celgene and therefore have also been excluded from the transaction price. We will re-evaluate the transaction price in each reporting period and as uncertain events are resolved or other changes in circumstances occur.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Milestones achieved through March 31, 2018 under the Celgene Agreement are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6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4200" w:type="dxa"/>
            <w:vAlign w:val="bottom"/>
          </w:tcPr>
          <w:p>
            <w:pPr>
              <w:jc w:val="center"/>
              <w:ind w:left="3388"/>
              <w:spacing w:after="0"/>
              <w:rPr>
                <w:sz w:val="20"/>
                <w:szCs w:val="20"/>
                <w:color w:val="auto"/>
              </w:rPr>
            </w:pPr>
            <w:r>
              <w:rPr>
                <w:rFonts w:ascii="Arial" w:cs="Arial" w:eastAsia="Arial" w:hAnsi="Arial"/>
                <w:sz w:val="14"/>
                <w:szCs w:val="14"/>
                <w:b w:val="1"/>
                <w:bCs w:val="1"/>
                <w:color w:val="auto"/>
                <w:w w:val="97"/>
              </w:rPr>
              <w:t>Anti-PD-1</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44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tcPr>
          <w:p>
            <w:pPr>
              <w:jc w:val="center"/>
              <w:ind w:left="3408"/>
              <w:spacing w:after="0"/>
              <w:rPr>
                <w:sz w:val="20"/>
                <w:szCs w:val="20"/>
                <w:color w:val="auto"/>
              </w:rPr>
            </w:pPr>
            <w:r>
              <w:rPr>
                <w:rFonts w:ascii="Arial" w:cs="Arial" w:eastAsia="Arial" w:hAnsi="Arial"/>
                <w:sz w:val="14"/>
                <w:szCs w:val="14"/>
                <w:b w:val="1"/>
                <w:bCs w:val="1"/>
                <w:color w:val="auto"/>
                <w:w w:val="98"/>
              </w:rPr>
              <w:t>(CC-90006)</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Milestone Event</w:t>
            </w:r>
          </w:p>
        </w:tc>
        <w:tc>
          <w:tcPr>
            <w:tcW w:w="4200" w:type="dxa"/>
            <w:vAlign w:val="bottom"/>
            <w:vMerge w:val="restart"/>
          </w:tcPr>
          <w:p>
            <w:pPr>
              <w:jc w:val="center"/>
              <w:ind w:left="2388"/>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tcPr>
          <w:p>
            <w:pPr>
              <w:jc w:val="center"/>
              <w:ind w:right="168"/>
              <w:spacing w:after="0" w:line="153" w:lineRule="exact"/>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92"/>
        </w:trPr>
        <w:tc>
          <w:tcPr>
            <w:tcW w:w="6440" w:type="dxa"/>
            <w:vAlign w:val="bottom"/>
            <w:vMerge w:val="continue"/>
          </w:tcPr>
          <w:p>
            <w:pPr>
              <w:spacing w:after="0"/>
              <w:rPr>
                <w:sz w:val="16"/>
                <w:szCs w:val="16"/>
                <w:color w:val="auto"/>
              </w:rPr>
            </w:pPr>
          </w:p>
        </w:tc>
        <w:tc>
          <w:tcPr>
            <w:tcW w:w="4200" w:type="dxa"/>
            <w:vAlign w:val="bottom"/>
            <w:vMerge w:val="continue"/>
          </w:tcPr>
          <w:p>
            <w:pPr>
              <w:spacing w:after="0"/>
              <w:rPr>
                <w:sz w:val="16"/>
                <w:szCs w:val="16"/>
                <w:color w:val="auto"/>
              </w:rPr>
            </w:pPr>
          </w:p>
        </w:tc>
        <w:tc>
          <w:tcPr>
            <w:tcW w:w="780" w:type="dxa"/>
            <w:vAlign w:val="bottom"/>
          </w:tcPr>
          <w:p>
            <w:pPr>
              <w:jc w:val="center"/>
              <w:ind w:right="168"/>
              <w:spacing w:after="0"/>
              <w:rPr>
                <w:sz w:val="20"/>
                <w:szCs w:val="20"/>
                <w:color w:val="auto"/>
              </w:rPr>
            </w:pPr>
            <w:r>
              <w:rPr>
                <w:rFonts w:ascii="Arial" w:cs="Arial" w:eastAsia="Arial" w:hAnsi="Arial"/>
                <w:sz w:val="14"/>
                <w:szCs w:val="14"/>
                <w:b w:val="1"/>
                <w:bCs w:val="1"/>
                <w:color w:val="auto"/>
                <w:w w:val="96"/>
              </w:rPr>
              <w:t>Earned</w:t>
            </w:r>
          </w:p>
        </w:tc>
        <w:tc>
          <w:tcPr>
            <w:tcW w:w="0" w:type="dxa"/>
            <w:vAlign w:val="bottom"/>
          </w:tcPr>
          <w:p>
            <w:pPr>
              <w:spacing w:after="0"/>
              <w:rPr>
                <w:sz w:val="1"/>
                <w:szCs w:val="1"/>
                <w:color w:val="auto"/>
              </w:rPr>
            </w:pPr>
          </w:p>
        </w:tc>
      </w:tr>
      <w:tr>
        <w:trPr>
          <w:trHeight w:val="425"/>
        </w:trPr>
        <w:tc>
          <w:tcPr>
            <w:tcW w:w="6440" w:type="dxa"/>
            <w:vAlign w:val="bottom"/>
            <w:shd w:val="clear" w:color="auto" w:fill="CFF0FC"/>
          </w:tcPr>
          <w:p>
            <w:pPr>
              <w:ind w:left="40"/>
              <w:spacing w:after="0"/>
              <w:rPr>
                <w:sz w:val="20"/>
                <w:szCs w:val="20"/>
                <w:color w:val="auto"/>
              </w:rPr>
            </w:pPr>
            <w:r>
              <w:rPr>
                <w:rFonts w:ascii="Arial" w:cs="Arial" w:eastAsia="Arial" w:hAnsi="Arial"/>
                <w:sz w:val="14"/>
                <w:szCs w:val="14"/>
                <w:color w:val="auto"/>
              </w:rPr>
              <w:t>Completion of first in vivo toxicology studies using GLPs</w:t>
            </w:r>
          </w:p>
        </w:tc>
        <w:tc>
          <w:tcPr>
            <w:tcW w:w="4200" w:type="dxa"/>
            <w:vAlign w:val="bottom"/>
            <w:shd w:val="clear" w:color="auto" w:fill="CFF0FC"/>
          </w:tcPr>
          <w:p>
            <w:pPr>
              <w:jc w:val="center"/>
              <w:ind w:left="2388"/>
              <w:spacing w:after="0"/>
              <w:rPr>
                <w:sz w:val="20"/>
                <w:szCs w:val="20"/>
                <w:color w:val="auto"/>
              </w:rPr>
            </w:pPr>
            <w:r>
              <w:rPr>
                <w:rFonts w:ascii="Arial" w:cs="Arial" w:eastAsia="Arial" w:hAnsi="Arial"/>
                <w:sz w:val="14"/>
                <w:szCs w:val="14"/>
                <w:color w:val="auto"/>
                <w:w w:val="97"/>
              </w:rPr>
              <w:t>$0.5M</w:t>
            </w:r>
          </w:p>
        </w:tc>
        <w:tc>
          <w:tcPr>
            <w:tcW w:w="780" w:type="dxa"/>
            <w:vAlign w:val="bottom"/>
            <w:shd w:val="clear" w:color="auto" w:fill="CFF0FC"/>
          </w:tcPr>
          <w:p>
            <w:pPr>
              <w:jc w:val="center"/>
              <w:ind w:right="168"/>
              <w:spacing w:after="0"/>
              <w:rPr>
                <w:sz w:val="20"/>
                <w:szCs w:val="20"/>
                <w:color w:val="auto"/>
              </w:rPr>
            </w:pPr>
            <w:r>
              <w:rPr>
                <w:rFonts w:ascii="Arial" w:cs="Arial" w:eastAsia="Arial" w:hAnsi="Arial"/>
                <w:sz w:val="14"/>
                <w:szCs w:val="14"/>
                <w:color w:val="auto"/>
                <w:w w:val="91"/>
              </w:rPr>
              <w:t>Q2'16</w:t>
            </w:r>
          </w:p>
        </w:tc>
        <w:tc>
          <w:tcPr>
            <w:tcW w:w="0" w:type="dxa"/>
            <w:vAlign w:val="bottom"/>
          </w:tcPr>
          <w:p>
            <w:pPr>
              <w:spacing w:after="0"/>
              <w:rPr>
                <w:sz w:val="1"/>
                <w:szCs w:val="1"/>
                <w:color w:val="auto"/>
              </w:rPr>
            </w:pPr>
          </w:p>
        </w:tc>
      </w:tr>
      <w:tr>
        <w:trPr>
          <w:trHeight w:val="191"/>
        </w:trPr>
        <w:tc>
          <w:tcPr>
            <w:tcW w:w="6440" w:type="dxa"/>
            <w:vAlign w:val="bottom"/>
          </w:tcPr>
          <w:p>
            <w:pPr>
              <w:ind w:left="40"/>
              <w:spacing w:after="0"/>
              <w:rPr>
                <w:sz w:val="20"/>
                <w:szCs w:val="20"/>
                <w:color w:val="auto"/>
              </w:rPr>
            </w:pPr>
            <w:r>
              <w:rPr>
                <w:rFonts w:ascii="Arial" w:cs="Arial" w:eastAsia="Arial" w:hAnsi="Arial"/>
                <w:sz w:val="14"/>
                <w:szCs w:val="14"/>
                <w:color w:val="auto"/>
              </w:rPr>
              <w:t>Phase 1 clinical trial initiation</w:t>
            </w:r>
          </w:p>
        </w:tc>
        <w:tc>
          <w:tcPr>
            <w:tcW w:w="4200" w:type="dxa"/>
            <w:vAlign w:val="bottom"/>
          </w:tcPr>
          <w:p>
            <w:pPr>
              <w:jc w:val="center"/>
              <w:ind w:left="2388"/>
              <w:spacing w:after="0"/>
              <w:rPr>
                <w:sz w:val="20"/>
                <w:szCs w:val="20"/>
                <w:color w:val="auto"/>
              </w:rPr>
            </w:pPr>
            <w:r>
              <w:rPr>
                <w:rFonts w:ascii="Arial" w:cs="Arial" w:eastAsia="Arial" w:hAnsi="Arial"/>
                <w:sz w:val="14"/>
                <w:szCs w:val="14"/>
                <w:color w:val="auto"/>
                <w:w w:val="97"/>
              </w:rPr>
              <w:t>$1.0M</w:t>
            </w:r>
          </w:p>
        </w:tc>
        <w:tc>
          <w:tcPr>
            <w:tcW w:w="780" w:type="dxa"/>
            <w:vAlign w:val="bottom"/>
          </w:tcPr>
          <w:p>
            <w:pPr>
              <w:jc w:val="center"/>
              <w:ind w:right="168"/>
              <w:spacing w:after="0"/>
              <w:rPr>
                <w:sz w:val="20"/>
                <w:szCs w:val="20"/>
                <w:color w:val="auto"/>
              </w:rPr>
            </w:pPr>
            <w:r>
              <w:rPr>
                <w:rFonts w:ascii="Arial" w:cs="Arial" w:eastAsia="Arial" w:hAnsi="Arial"/>
                <w:sz w:val="14"/>
                <w:szCs w:val="14"/>
                <w:color w:val="auto"/>
                <w:w w:val="91"/>
              </w:rPr>
              <w:t>Q4'16</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420" w:right="280"/>
        <w:spacing w:after="0" w:line="277" w:lineRule="auto"/>
        <w:rPr>
          <w:sz w:val="20"/>
          <w:szCs w:val="20"/>
          <w:color w:val="auto"/>
        </w:rPr>
      </w:pPr>
      <w:r>
        <w:rPr>
          <w:rFonts w:ascii="Arial" w:cs="Arial" w:eastAsia="Arial" w:hAnsi="Arial"/>
          <w:sz w:val="18"/>
          <w:szCs w:val="18"/>
          <w:color w:val="auto"/>
        </w:rPr>
        <w:t>Revenue from future contingent milestone payments will be recognized when it is more likely than not that the revenue will not be reversed in future periods. Cash is generally received within 30 days of milestone achievement.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revenue recognized under this agreement during the three months ended March 31, 2018 and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w:t>
      </w:r>
    </w:p>
    <w:p>
      <w:pPr>
        <w:spacing w:after="0" w:line="121" w:lineRule="exact"/>
        <w:rPr>
          <w:sz w:val="20"/>
          <w:szCs w:val="20"/>
          <w:color w:val="auto"/>
        </w:rPr>
      </w:pPr>
    </w:p>
    <w:p>
      <w:pPr>
        <w:ind w:right="280" w:firstLine="446"/>
        <w:spacing w:after="0" w:line="264" w:lineRule="auto"/>
        <w:rPr>
          <w:sz w:val="20"/>
          <w:szCs w:val="20"/>
          <w:color w:val="auto"/>
        </w:rPr>
      </w:pPr>
      <w:r>
        <w:rPr>
          <w:rFonts w:ascii="Arial" w:cs="Arial" w:eastAsia="Arial" w:hAnsi="Arial"/>
          <w:sz w:val="18"/>
          <w:szCs w:val="18"/>
          <w:color w:val="auto"/>
        </w:rPr>
        <w:t>On December 24, 2014, we entered into a Loan and Security Agreement, as amended from time to time, the Loan Agreement, with a bank and a financial institution whereby we may borrow up to $15.0 million in three separate draws of $5.0 million each. The Term A Loans, for an aggregate of $5.0 million, were drawn on December 24, 2014 with a fixed interest rate of 6.97%.</w:t>
      </w:r>
    </w:p>
    <w:p>
      <w:pPr>
        <w:spacing w:after="0" w:line="181" w:lineRule="exact"/>
        <w:rPr>
          <w:sz w:val="20"/>
          <w:szCs w:val="20"/>
          <w:color w:val="auto"/>
        </w:rPr>
      </w:pPr>
    </w:p>
    <w:p>
      <w:pPr>
        <w:ind w:right="40" w:firstLine="446"/>
        <w:spacing w:after="0" w:line="276"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41,208 shares of Series C Preferred Stock at an exercise price of $4.55 per share to the lenders.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73"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In January 2016, the Loan Agreement was amended to combine Term B Loans and Term C Loans for a total of $10.0 million available for draw through December 31, 2016 and delay the beginning of our Term A Loans’ principal repayments from February 1, 2016 until February 1, 2017. The Term B Loans and Term C Loans became available for draw on July 1, 2016. In December 2016, we further amended the Loan Agreement to (i) allow for the Term B Loans and Term C Loans to be drawn on December 30, 2016, (ii) delay principal repayments of all Term Loans until February 1, 2018 and (iii) amend the interest rate for each Term Loan. The Term B Loans and the Term C Loans were drawn on December 30, 2016, and Term A, B and C Loans are now collectively referred to as the Term Loans. Principal repayments began in February 2018, and as of March 31, 2018, there are 22 monthly principal and interest payments remaining on the Term Loans, with final maturity in January 2020. The Term Loans bear interest equal to the greater of 3-month U.S. LIBOR plus 6.37% or 7.3%. The interest rate was 8.39% as of March 31, 2018.</w:t>
      </w:r>
    </w:p>
    <w:p>
      <w:pPr>
        <w:spacing w:after="0" w:line="179" w:lineRule="exact"/>
        <w:rPr>
          <w:sz w:val="20"/>
          <w:szCs w:val="20"/>
          <w:color w:val="auto"/>
        </w:rPr>
      </w:pPr>
    </w:p>
    <w:p>
      <w:pPr>
        <w:ind w:right="180" w:firstLine="446"/>
        <w:spacing w:after="0" w:line="271" w:lineRule="auto"/>
        <w:rPr>
          <w:sz w:val="20"/>
          <w:szCs w:val="20"/>
          <w:color w:val="auto"/>
        </w:rPr>
      </w:pPr>
      <w:r>
        <w:rPr>
          <w:rFonts w:ascii="Arial" w:cs="Arial" w:eastAsia="Arial" w:hAnsi="Arial"/>
          <w:sz w:val="17"/>
          <w:szCs w:val="17"/>
          <w:color w:val="auto"/>
        </w:rPr>
        <w:t>In connection with the issuance of the Term B &amp; C Loans, we issued detachable, fully vested warrants to purchase an aggregate of 82,416 shares of Series C Preferred Stock at an exercise price of $4.55 per share to the lenders. The grant-date fair value of the warrants of $0.9 million was recorded as a liability, with a reduction to the carrying value of the Term B &amp; C Loans, and which is recognized as additional interest expense over the remaining term of the Loans. The initial fair value of the warrants was determined using the Black-Scholes option pricing model with the following assumptions: a stock price volatility of 79.2%, an expected life equal to the contractual term of the warrants of ten years and a risk-free interest rate of 2.45%. As discussed in Note 1 above, all of the outstanding warrants to purchase shares of preferred stock automatically converted into warrants to purchase shares of common stock in connection with the IPO and were accounted for as equity from the conversion date forward. All warrants related to Term Loans were exercised during the year ended December 31, 2017.</w:t>
      </w:r>
    </w:p>
    <w:p>
      <w:pPr>
        <w:spacing w:after="0" w:line="179"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The costs incurred to issue the Term Loans were deferred and are included in the discount to the carrying value of the Term Loans in the accompanying balance sheet. The Term Loans also include a final payment fee of $0.8 million due at the earlier of prepayment or the maturity date of the Term Loans. The deferred costs and the final payment fee are being amortized to interest expense over the expected term of the Term A Loans using the effective interest method.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12" w:name="page13"/>
    <w:bookmarkEnd w:id="12"/>
    <w:p>
      <w:pPr>
        <w:ind w:right="200" w:firstLine="446"/>
        <w:spacing w:after="0" w:line="312" w:lineRule="auto"/>
        <w:rPr>
          <w:sz w:val="20"/>
          <w:szCs w:val="20"/>
          <w:color w:val="auto"/>
        </w:rPr>
      </w:pPr>
      <w:r>
        <w:rPr>
          <w:rFonts w:ascii="Arial" w:cs="Arial" w:eastAsia="Arial" w:hAnsi="Arial"/>
          <w:sz w:val="16"/>
          <w:szCs w:val="16"/>
          <w:color w:val="auto"/>
        </w:rPr>
        <w:t>As of March 31, 2018, the carrying amount of the Term Loans was $13.3 million, which is net of unamortized discounts of $0.4 million and of which $7.5 million is classified as current liabilities as of March 31, 2018. The effective interest rate on the Term Loans at March 31, 2018 was 12.78%. As of March 31, 2018, future principal maturities of the Term Loans were $5.6 million, $7.5 million and $0.6 million in 2018, 2019 and 2020, respectively.</w:t>
      </w:r>
    </w:p>
    <w:p>
      <w:pPr>
        <w:spacing w:after="0" w:line="147" w:lineRule="exact"/>
        <w:rPr>
          <w:sz w:val="20"/>
          <w:szCs w:val="20"/>
          <w:color w:val="auto"/>
        </w:rPr>
      </w:pPr>
    </w:p>
    <w:p>
      <w:pPr>
        <w:ind w:right="700" w:firstLine="446"/>
        <w:spacing w:after="0" w:line="277" w:lineRule="auto"/>
        <w:rPr>
          <w:sz w:val="20"/>
          <w:szCs w:val="20"/>
          <w:color w:val="auto"/>
        </w:rPr>
      </w:pPr>
      <w:r>
        <w:rPr>
          <w:rFonts w:ascii="Arial" w:cs="Arial" w:eastAsia="Arial" w:hAnsi="Arial"/>
          <w:sz w:val="18"/>
          <w:szCs w:val="18"/>
          <w:color w:val="auto"/>
        </w:rPr>
        <w:t>The Term Loans are secured by a first priority interest in most of our assets, excluding intellectual property. As of March 31, 2018, we were in compliance with the covenants contained in the Loan Agreement.</w:t>
      </w:r>
    </w:p>
    <w:p>
      <w:pPr>
        <w:spacing w:after="0" w:line="275" w:lineRule="exact"/>
        <w:rPr>
          <w:sz w:val="20"/>
          <w:szCs w:val="20"/>
          <w:color w:val="auto"/>
        </w:rPr>
      </w:pPr>
    </w:p>
    <w:p>
      <w:pPr>
        <w:ind w:left="260" w:right="6540" w:hanging="252"/>
        <w:spacing w:after="0" w:line="503" w:lineRule="auto"/>
        <w:tabs>
          <w:tab w:leader="none" w:pos="19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and Available for Sale Investments </w:t>
      </w:r>
      <w:r>
        <w:rPr>
          <w:rFonts w:ascii="Arial" w:cs="Arial" w:eastAsia="Arial" w:hAnsi="Arial"/>
          <w:sz w:val="18"/>
          <w:szCs w:val="18"/>
          <w:b w:val="1"/>
          <w:bCs w:val="1"/>
          <w:i w:val="1"/>
          <w:iCs w:val="1"/>
          <w:color w:val="auto"/>
        </w:rPr>
        <w:t>Fair Value Measurements</w:t>
      </w:r>
    </w:p>
    <w:p>
      <w:pPr>
        <w:spacing w:after="0" w:line="1"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Our financial instruments consist principally of cash, cash equivalents, restricted cash, short-term and long-term investments, receivables, accounts payable, notes payable and, through January 31, 2017, preferred stock warrant liabilities. Certain of our financial assets and liabilities have been recorded at fair value in the consolidated balance sheet in accordance with the accounting standards for fair value measurements.</w:t>
      </w:r>
    </w:p>
    <w:p>
      <w:pPr>
        <w:spacing w:after="0" w:line="16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Level 3 - Unobservable inputs that are supported by little or no market activities, therefore requiring an entity to develop its own assumptions.</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6"/>
              </w:rPr>
              <w:t>Fair Value Measurements at End of Period Using:</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Quoted Market</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126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Prices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Other Observable</w:t>
            </w:r>
          </w:p>
        </w:tc>
        <w:tc>
          <w:tcPr>
            <w:tcW w:w="220" w:type="dxa"/>
            <w:vAlign w:val="bottom"/>
          </w:tcPr>
          <w:p>
            <w:pPr>
              <w:spacing w:after="0"/>
              <w:rPr>
                <w:sz w:val="12"/>
                <w:szCs w:val="12"/>
                <w:color w:val="auto"/>
              </w:rPr>
            </w:pPr>
          </w:p>
        </w:tc>
        <w:tc>
          <w:tcPr>
            <w:tcW w:w="126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2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6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47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26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9"/>
        </w:trPr>
        <w:tc>
          <w:tcPr>
            <w:tcW w:w="5160" w:type="dxa"/>
            <w:vAlign w:val="bottom"/>
            <w:tcBorders>
              <w:top w:val="single" w:sz="8" w:color="CFF0FC"/>
            </w:tcBorders>
            <w:gridSpan w:val="4"/>
            <w:shd w:val="clear" w:color="auto" w:fill="CFF0FC"/>
          </w:tcPr>
          <w:p>
            <w:pPr>
              <w:ind w:left="40"/>
              <w:spacing w:after="0" w:line="189" w:lineRule="exact"/>
              <w:rPr>
                <w:sz w:val="20"/>
                <w:szCs w:val="20"/>
                <w:color w:val="auto"/>
              </w:rPr>
            </w:pPr>
            <w:r>
              <w:rPr>
                <w:rFonts w:ascii="Arial" w:cs="Arial" w:eastAsia="Arial" w:hAnsi="Arial"/>
                <w:sz w:val="18"/>
                <w:szCs w:val="18"/>
                <w:b w:val="1"/>
                <w:bCs w:val="1"/>
                <w:color w:val="auto"/>
              </w:rPr>
              <w:t>At March 31, 2018</w:t>
            </w:r>
          </w:p>
        </w:tc>
        <w:tc>
          <w:tcPr>
            <w:tcW w:w="28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FF0FC"/>
            </w:tcBorders>
            <w:shd w:val="clear" w:color="auto" w:fill="CFF0FC"/>
          </w:tcPr>
          <w:p>
            <w:pPr>
              <w:spacing w:after="0"/>
              <w:rPr>
                <w:sz w:val="5"/>
                <w:szCs w:val="5"/>
                <w:color w:val="auto"/>
              </w:rPr>
            </w:pPr>
          </w:p>
        </w:tc>
        <w:tc>
          <w:tcPr>
            <w:tcW w:w="1420" w:type="dxa"/>
            <w:vAlign w:val="bottom"/>
            <w:tcBorders>
              <w:top w:val="single" w:sz="8" w:color="auto"/>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c>
          <w:tcPr>
            <w:tcW w:w="344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22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128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13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126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48,917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48,917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(1)</w:t>
            </w:r>
          </w:p>
        </w:tc>
        <w:tc>
          <w:tcPr>
            <w:tcW w:w="280" w:type="dxa"/>
            <w:vAlign w:val="bottom"/>
            <w:shd w:val="clear" w:color="auto" w:fill="CFF0FC"/>
          </w:tcPr>
          <w:p>
            <w:pPr>
              <w:spacing w:after="0"/>
              <w:rPr>
                <w:sz w:val="24"/>
                <w:szCs w:val="24"/>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16,510</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16,510</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5"/>
                <w:szCs w:val="25"/>
                <w:color w:val="auto"/>
                <w:vertAlign w:val="superscript"/>
              </w:rPr>
              <w:t>(2)</w:t>
            </w:r>
          </w:p>
        </w:tc>
        <w:tc>
          <w:tcPr>
            <w:tcW w:w="280" w:type="dxa"/>
            <w:vAlign w:val="bottom"/>
          </w:tcPr>
          <w:p>
            <w:pPr>
              <w:spacing w:after="0"/>
              <w:rPr>
                <w:sz w:val="24"/>
                <w:szCs w:val="24"/>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79,235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79,235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Arial" w:cs="Arial" w:eastAsia="Arial" w:hAnsi="Arial"/>
                <w:sz w:val="18"/>
                <w:szCs w:val="18"/>
                <w:color w:val="auto"/>
              </w:rPr>
              <w:t>Agency securities</w:t>
            </w:r>
            <w:r>
              <w:rPr>
                <w:rFonts w:ascii="Arial" w:cs="Arial" w:eastAsia="Arial" w:hAnsi="Arial"/>
                <w:sz w:val="25"/>
                <w:szCs w:val="25"/>
                <w:color w:val="auto"/>
                <w:vertAlign w:val="superscript"/>
              </w:rPr>
              <w:t>(2)</w:t>
            </w:r>
          </w:p>
        </w:tc>
        <w:tc>
          <w:tcPr>
            <w:tcW w:w="280" w:type="dxa"/>
            <w:vAlign w:val="bottom"/>
            <w:shd w:val="clear" w:color="auto" w:fill="CFF0FC"/>
          </w:tcPr>
          <w:p>
            <w:pPr>
              <w:spacing w:after="0"/>
              <w:rPr>
                <w:sz w:val="24"/>
                <w:szCs w:val="24"/>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59,861</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59,861</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5"/>
                <w:szCs w:val="25"/>
                <w:color w:val="auto"/>
                <w:vertAlign w:val="superscript"/>
              </w:rPr>
              <w:t>(2)</w:t>
            </w:r>
          </w:p>
        </w:tc>
        <w:tc>
          <w:tcPr>
            <w:tcW w:w="280" w:type="dxa"/>
            <w:vAlign w:val="bottom"/>
          </w:tcPr>
          <w:p>
            <w:pPr>
              <w:spacing w:after="0"/>
              <w:rPr>
                <w:sz w:val="24"/>
                <w:szCs w:val="24"/>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103,477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103,477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gridSpan w:val="4"/>
            <w:shd w:val="clear" w:color="auto" w:fill="CFF0FC"/>
          </w:tcPr>
          <w:p>
            <w:pPr>
              <w:ind w:left="40"/>
              <w:spacing w:after="0" w:line="202" w:lineRule="exact"/>
              <w:rPr>
                <w:sz w:val="20"/>
                <w:szCs w:val="20"/>
                <w:color w:val="auto"/>
              </w:rPr>
            </w:pPr>
            <w:r>
              <w:rPr>
                <w:rFonts w:ascii="Arial" w:cs="Arial" w:eastAsia="Arial" w:hAnsi="Arial"/>
                <w:sz w:val="18"/>
                <w:szCs w:val="18"/>
                <w:b w:val="1"/>
                <w:bCs w:val="1"/>
                <w:color w:val="auto"/>
              </w:rPr>
              <w:t>At December 31, 2017</w:t>
            </w: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FF0FC"/>
            </w:tcBorders>
            <w:shd w:val="clear" w:color="auto" w:fill="CFF0FC"/>
          </w:tcPr>
          <w:p>
            <w:pPr>
              <w:spacing w:after="0"/>
              <w:rPr>
                <w:sz w:val="4"/>
                <w:szCs w:val="4"/>
                <w:color w:val="auto"/>
              </w:rPr>
            </w:pPr>
          </w:p>
        </w:tc>
        <w:tc>
          <w:tcPr>
            <w:tcW w:w="1420" w:type="dxa"/>
            <w:vAlign w:val="bottom"/>
            <w:tcBorders>
              <w:top w:val="single" w:sz="8" w:color="auto"/>
            </w:tcBorders>
            <w:shd w:val="clear" w:color="auto" w:fill="CFF0FC"/>
          </w:tcPr>
          <w:p>
            <w:pPr>
              <w:spacing w:after="0"/>
              <w:rPr>
                <w:sz w:val="4"/>
                <w:szCs w:val="4"/>
                <w:color w:val="auto"/>
              </w:rPr>
            </w:pPr>
          </w:p>
        </w:tc>
        <w:tc>
          <w:tcPr>
            <w:tcW w:w="260" w:type="dxa"/>
            <w:vAlign w:val="bottom"/>
            <w:tcBorders>
              <w:top w:val="single" w:sz="8" w:color="auto"/>
            </w:tcBorders>
            <w:shd w:val="clear" w:color="auto" w:fill="CFF0FC"/>
          </w:tcPr>
          <w:p>
            <w:pPr>
              <w:spacing w:after="0"/>
              <w:rPr>
                <w:sz w:val="4"/>
                <w:szCs w:val="4"/>
                <w:color w:val="auto"/>
              </w:rPr>
            </w:pPr>
          </w:p>
        </w:tc>
        <w:tc>
          <w:tcPr>
            <w:tcW w:w="344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12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3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26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41,318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41,318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shd w:val="clear" w:color="auto" w:fill="CFF0FC"/>
          </w:tcPr>
          <w:p>
            <w:pPr>
              <w:ind w:left="40"/>
              <w:spacing w:after="0" w:line="283"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(1)</w:t>
            </w:r>
          </w:p>
        </w:tc>
        <w:tc>
          <w:tcPr>
            <w:tcW w:w="280" w:type="dxa"/>
            <w:vAlign w:val="bottom"/>
            <w:shd w:val="clear" w:color="auto" w:fill="CFF0FC"/>
          </w:tcPr>
          <w:p>
            <w:pPr>
              <w:spacing w:after="0"/>
              <w:rPr>
                <w:sz w:val="24"/>
                <w:szCs w:val="24"/>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28,817</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28,817</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4"/>
          </w:tcPr>
          <w:p>
            <w:pPr>
              <w:ind w:left="40"/>
              <w:spacing w:after="0" w:line="28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5"/>
                <w:szCs w:val="25"/>
                <w:color w:val="auto"/>
                <w:vertAlign w:val="superscript"/>
              </w:rPr>
              <w:t>(2)</w:t>
            </w:r>
          </w:p>
        </w:tc>
        <w:tc>
          <w:tcPr>
            <w:tcW w:w="280" w:type="dxa"/>
            <w:vAlign w:val="bottom"/>
          </w:tcPr>
          <w:p>
            <w:pPr>
              <w:spacing w:after="0"/>
              <w:rPr>
                <w:sz w:val="24"/>
                <w:szCs w:val="24"/>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79,397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79,397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FF0FC"/>
          </w:tcPr>
          <w:p>
            <w:pPr>
              <w:spacing w:after="0"/>
              <w:rPr>
                <w:sz w:val="23"/>
                <w:szCs w:val="23"/>
                <w:color w:val="auto"/>
              </w:rPr>
            </w:pPr>
          </w:p>
        </w:tc>
        <w:tc>
          <w:tcPr>
            <w:tcW w:w="5120" w:type="dxa"/>
            <w:vAlign w:val="bottom"/>
            <w:gridSpan w:val="3"/>
            <w:shd w:val="clear" w:color="auto" w:fill="CFF0FC"/>
          </w:tcPr>
          <w:p>
            <w:pPr>
              <w:ind w:left="20"/>
              <w:spacing w:after="0" w:line="270" w:lineRule="exact"/>
              <w:rPr>
                <w:sz w:val="20"/>
                <w:szCs w:val="20"/>
                <w:color w:val="auto"/>
              </w:rPr>
            </w:pPr>
            <w:r>
              <w:rPr>
                <w:rFonts w:ascii="Arial" w:cs="Arial" w:eastAsia="Arial" w:hAnsi="Arial"/>
                <w:sz w:val="18"/>
                <w:szCs w:val="18"/>
                <w:color w:val="auto"/>
              </w:rPr>
              <w:t>Agency securities</w:t>
            </w:r>
            <w:r>
              <w:rPr>
                <w:rFonts w:ascii="Arial" w:cs="Arial" w:eastAsia="Arial" w:hAnsi="Arial"/>
                <w:sz w:val="25"/>
                <w:szCs w:val="25"/>
                <w:color w:val="auto"/>
                <w:vertAlign w:val="superscript"/>
              </w:rPr>
              <w:t>(2)</w:t>
            </w:r>
          </w:p>
        </w:tc>
        <w:tc>
          <w:tcPr>
            <w:tcW w:w="280" w:type="dxa"/>
            <w:vAlign w:val="bottom"/>
            <w:shd w:val="clear" w:color="auto" w:fill="CFF0FC"/>
          </w:tcPr>
          <w:p>
            <w:pPr>
              <w:spacing w:after="0"/>
              <w:rPr>
                <w:sz w:val="23"/>
                <w:szCs w:val="23"/>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59,948</w:t>
            </w:r>
          </w:p>
        </w:tc>
        <w:tc>
          <w:tcPr>
            <w:tcW w:w="1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3"/>
                <w:szCs w:val="23"/>
                <w:color w:val="auto"/>
              </w:rPr>
            </w:pPr>
          </w:p>
        </w:tc>
        <w:tc>
          <w:tcPr>
            <w:tcW w:w="13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59,948</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60" w:type="dxa"/>
            <w:vAlign w:val="bottom"/>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5"/>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5"/>
                <w:szCs w:val="25"/>
                <w:color w:val="auto"/>
                <w:vertAlign w:val="superscript"/>
              </w:rPr>
              <w:t>(2)</w:t>
            </w:r>
          </w:p>
        </w:tc>
        <w:tc>
          <w:tcPr>
            <w:tcW w:w="280" w:type="dxa"/>
            <w:vAlign w:val="bottom"/>
          </w:tcPr>
          <w:p>
            <w:pPr>
              <w:spacing w:after="0"/>
              <w:rPr>
                <w:sz w:val="24"/>
                <w:szCs w:val="24"/>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111,660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111,660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4"/>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3" w:name="page14"/>
    <w:bookmarkEnd w:id="13"/>
    <w:p>
      <w:pPr>
        <w:ind w:left="460" w:hanging="452"/>
        <w:spacing w:after="0"/>
        <w:tabs>
          <w:tab w:leader="none" w:pos="4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Included in cash and cash equivalents, and restricted cash in the accompanying consolidated balance sheets.</w:t>
      </w:r>
    </w:p>
    <w:p>
      <w:pPr>
        <w:spacing w:after="0" w:line="28" w:lineRule="exact"/>
        <w:rPr>
          <w:rFonts w:ascii="Arial" w:cs="Arial" w:eastAsia="Arial" w:hAnsi="Arial"/>
          <w:sz w:val="25"/>
          <w:szCs w:val="25"/>
          <w:color w:val="auto"/>
          <w:vertAlign w:val="superscript"/>
        </w:rPr>
      </w:pPr>
    </w:p>
    <w:p>
      <w:pPr>
        <w:ind w:left="460" w:hanging="452"/>
        <w:spacing w:after="0" w:line="186" w:lineRule="auto"/>
        <w:tabs>
          <w:tab w:leader="none" w:pos="46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Included in short-term or long-term investments in the accompanying consolidated balance sheets depending on the respective maturity date.</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methods and assumptions were used to estimate the fair value of our financial instruments for which it is practicable to estimate that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211"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181" w:lineRule="exact"/>
        <w:rPr>
          <w:sz w:val="20"/>
          <w:szCs w:val="20"/>
          <w:color w:val="auto"/>
        </w:rPr>
      </w:pPr>
    </w:p>
    <w:p>
      <w:pPr>
        <w:jc w:val="both"/>
        <w:ind w:right="260" w:firstLine="446"/>
        <w:spacing w:after="0" w:line="312" w:lineRule="auto"/>
        <w:rPr>
          <w:sz w:val="20"/>
          <w:szCs w:val="20"/>
          <w:color w:val="auto"/>
        </w:rPr>
      </w:pPr>
      <w:r>
        <w:rPr>
          <w:rFonts w:ascii="Arial" w:cs="Arial" w:eastAsia="Arial" w:hAnsi="Arial"/>
          <w:sz w:val="16"/>
          <w:szCs w:val="16"/>
          <w:i w:val="1"/>
          <w:iCs w:val="1"/>
          <w:color w:val="auto"/>
        </w:rPr>
        <w:t xml:space="preserve">Warrant Liabilities. </w:t>
      </w:r>
      <w:r>
        <w:rPr>
          <w:rFonts w:ascii="Arial" w:cs="Arial" w:eastAsia="Arial" w:hAnsi="Arial"/>
          <w:sz w:val="16"/>
          <w:szCs w:val="16"/>
          <w:color w:val="auto"/>
        </w:rPr>
        <w:t>Our preferred stock warrants were accounted for as derivative liabilities and measured at fair value on a recurring basis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31, 2017 as they contained features that were either not afforded equity classification or embodied risks that were not clearly and closely related to host contracts. We estimated the fair value of these derivatives utilizing the Black-Scholes option-pricing model, which requires Level 3 inputs.</w:t>
      </w:r>
    </w:p>
    <w:p>
      <w:pPr>
        <w:spacing w:after="0" w:line="147" w:lineRule="exact"/>
        <w:rPr>
          <w:sz w:val="20"/>
          <w:szCs w:val="20"/>
          <w:color w:val="auto"/>
        </w:rPr>
      </w:pPr>
    </w:p>
    <w:p>
      <w:pPr>
        <w:jc w:val="both"/>
        <w:ind w:right="140" w:firstLine="486"/>
        <w:spacing w:after="0" w:line="259" w:lineRule="auto"/>
        <w:rPr>
          <w:sz w:val="20"/>
          <w:szCs w:val="20"/>
          <w:color w:val="auto"/>
        </w:rPr>
      </w:pPr>
      <w:r>
        <w:rPr>
          <w:rFonts w:ascii="Arial" w:cs="Arial" w:eastAsia="Arial" w:hAnsi="Arial"/>
          <w:sz w:val="18"/>
          <w:szCs w:val="18"/>
          <w:color w:val="auto"/>
        </w:rPr>
        <w:t>As discussed in Note 1 above, all of the outstanding warrants to purchase shares of preferred stock automatically converted into warrants to purchase shares of common stock in connection with the IPO and are accounted for as equity from the conversion date forward. Prior to the conversion, we estimated the fair value of convertible preferred stock warrants at the time of issuance and subsequent remeasurement using the Black-Scholes option-pricing model at each reporting date.</w:t>
      </w:r>
    </w:p>
    <w:p>
      <w:pPr>
        <w:spacing w:after="0" w:line="187" w:lineRule="exact"/>
        <w:rPr>
          <w:sz w:val="20"/>
          <w:szCs w:val="20"/>
          <w:color w:val="auto"/>
        </w:rPr>
      </w:pPr>
    </w:p>
    <w:p>
      <w:pPr>
        <w:jc w:val="both"/>
        <w:ind w:right="200" w:firstLine="446"/>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weighted-average assumptions were utilized in estimating the value of the liabilities for Series C preferred stock warrants using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as of January 31, 2017, the conversion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374"/>
              <w:spacing w:after="0"/>
              <w:rPr>
                <w:sz w:val="20"/>
                <w:szCs w:val="20"/>
                <w:color w:val="auto"/>
              </w:rPr>
            </w:pPr>
            <w:r>
              <w:rPr>
                <w:rFonts w:ascii="Arial" w:cs="Arial" w:eastAsia="Arial" w:hAnsi="Arial"/>
                <w:sz w:val="14"/>
                <w:szCs w:val="14"/>
                <w:b w:val="1"/>
                <w:bCs w:val="1"/>
                <w:color w:val="auto"/>
              </w:rPr>
              <w:t>January 31,</w:t>
            </w:r>
          </w:p>
        </w:tc>
      </w:tr>
      <w:tr>
        <w:trPr>
          <w:trHeight w:val="192"/>
        </w:trPr>
        <w:tc>
          <w:tcPr>
            <w:tcW w:w="97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r>
      <w:tr>
        <w:trPr>
          <w:trHeight w:val="250"/>
        </w:trPr>
        <w:tc>
          <w:tcPr>
            <w:tcW w:w="9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Fair value of preferred stock</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FF0FC"/>
            </w:tcBorders>
            <w:shd w:val="clear" w:color="auto" w:fill="CFF0FC"/>
          </w:tcPr>
          <w:p>
            <w:pPr>
              <w:jc w:val="right"/>
              <w:ind w:right="94"/>
              <w:spacing w:after="0"/>
              <w:rPr>
                <w:sz w:val="20"/>
                <w:szCs w:val="20"/>
                <w:color w:val="auto"/>
              </w:rPr>
            </w:pPr>
            <w:r>
              <w:rPr>
                <w:rFonts w:ascii="Arial" w:cs="Arial" w:eastAsia="Arial" w:hAnsi="Arial"/>
                <w:sz w:val="18"/>
                <w:szCs w:val="18"/>
                <w:color w:val="auto"/>
              </w:rPr>
              <w:t>16.95</w:t>
            </w:r>
          </w:p>
        </w:tc>
      </w:tr>
      <w:tr>
        <w:trPr>
          <w:trHeight w:val="243"/>
        </w:trPr>
        <w:tc>
          <w:tcPr>
            <w:tcW w:w="974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4.55</w:t>
            </w:r>
          </w:p>
        </w:tc>
      </w:tr>
      <w:tr>
        <w:trPr>
          <w:trHeight w:val="27"/>
        </w:trPr>
        <w:tc>
          <w:tcPr>
            <w:tcW w:w="9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Risk-free interest rate</w:t>
            </w:r>
          </w:p>
        </w:tc>
        <w:tc>
          <w:tcPr>
            <w:tcW w:w="3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974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7"/>
        </w:trPr>
        <w:tc>
          <w:tcPr>
            <w:tcW w:w="9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Dividend Yield</w:t>
            </w:r>
          </w:p>
        </w:tc>
        <w:tc>
          <w:tcPr>
            <w:tcW w:w="3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740" w:type="dxa"/>
            <w:vAlign w:val="bottom"/>
          </w:tcPr>
          <w:p>
            <w:pPr>
              <w:ind w:left="40"/>
              <w:spacing w:after="0"/>
              <w:rPr>
                <w:sz w:val="20"/>
                <w:szCs w:val="20"/>
                <w:color w:val="auto"/>
              </w:rPr>
            </w:pPr>
            <w:r>
              <w:rPr>
                <w:rFonts w:ascii="Arial" w:cs="Arial" w:eastAsia="Arial" w:hAnsi="Arial"/>
                <w:sz w:val="18"/>
                <w:szCs w:val="18"/>
                <w:color w:val="auto"/>
              </w:rPr>
              <w:t>Contractual term (in years)</w:t>
            </w:r>
          </w:p>
        </w:tc>
        <w:tc>
          <w:tcPr>
            <w:tcW w:w="30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3.8</w:t>
            </w:r>
          </w:p>
        </w:tc>
      </w:tr>
      <w:tr>
        <w:trPr>
          <w:trHeight w:val="27"/>
        </w:trPr>
        <w:tc>
          <w:tcPr>
            <w:tcW w:w="9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97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Weighted-average measurement date fair value per share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13.71</w:t>
            </w:r>
          </w:p>
        </w:tc>
      </w:tr>
      <w:tr>
        <w:trPr>
          <w:trHeight w:val="27"/>
        </w:trPr>
        <w:tc>
          <w:tcPr>
            <w:tcW w:w="974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38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activity in liabilities measured at fair value on a recurring basis using significant unobservable inputs (Level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64"/>
        </w:trPr>
        <w:tc>
          <w:tcPr>
            <w:tcW w:w="450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5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Preferred Stock Warrant Liabilities:</w:t>
            </w:r>
          </w:p>
        </w:tc>
        <w:tc>
          <w:tcPr>
            <w:tcW w:w="5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560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gains (losses) included in other expense</w:t>
            </w:r>
          </w:p>
        </w:tc>
        <w:tc>
          <w:tcPr>
            <w:tcW w:w="5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Reclassification of warrant liabilities to equity</w:t>
            </w:r>
          </w:p>
        </w:tc>
        <w:tc>
          <w:tcPr>
            <w:tcW w:w="5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4,607</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FF0FC"/>
            </w:tcBorders>
          </w:tcPr>
          <w:p>
            <w:pPr>
              <w:spacing w:after="0"/>
              <w:rPr>
                <w:sz w:val="2"/>
                <w:szCs w:val="2"/>
                <w:color w:val="auto"/>
              </w:rPr>
            </w:pPr>
          </w:p>
        </w:tc>
        <w:tc>
          <w:tcPr>
            <w:tcW w:w="52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Ending balance</w:t>
            </w:r>
          </w:p>
        </w:tc>
        <w:tc>
          <w:tcPr>
            <w:tcW w:w="5600" w:type="dxa"/>
            <w:vAlign w:val="bottom"/>
            <w:tcBorders>
              <w:bottom w:val="single" w:sz="8" w:color="CFF0FC"/>
            </w:tcBorders>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tcPr>
          <w:p>
            <w:pPr>
              <w:spacing w:after="0" w:line="20" w:lineRule="exact"/>
              <w:rPr>
                <w:sz w:val="1"/>
                <w:szCs w:val="1"/>
                <w:color w:val="auto"/>
              </w:rPr>
            </w:pPr>
          </w:p>
        </w:tc>
        <w:tc>
          <w:tcPr>
            <w:tcW w:w="5220" w:type="dxa"/>
            <w:vAlign w:val="bottom"/>
            <w:tcBorders>
              <w:top w:val="single" w:sz="8" w:color="CFF0FC"/>
              <w:bottom w:val="single" w:sz="8" w:color="CFF0FC"/>
            </w:tcBorders>
            <w:vMerge w:val="restart"/>
          </w:tcPr>
          <w:p>
            <w:pPr>
              <w:jc w:val="right"/>
              <w:ind w:right="383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0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8" w:right="239" w:bottom="1440" w:gutter="0" w:footer="0" w:header="0"/>
        </w:sectPr>
      </w:pPr>
    </w:p>
    <w:bookmarkStart w:id="14" w:name="page15"/>
    <w:bookmarkEnd w:id="14"/>
    <w:p>
      <w:pPr>
        <w:ind w:left="42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our other financial instruments estimated as of March 31, 2018 and December 31, 2017 are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2018</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920" w:type="dxa"/>
            <w:vAlign w:val="bottom"/>
            <w:tcBorders>
              <w:bottom w:val="single" w:sz="8" w:color="auto"/>
            </w:tcBorders>
          </w:tcPr>
          <w:p>
            <w:pPr>
              <w:spacing w:after="0"/>
              <w:rPr>
                <w:sz w:val="16"/>
                <w:szCs w:val="16"/>
                <w:color w:val="auto"/>
              </w:rPr>
            </w:pPr>
          </w:p>
        </w:tc>
      </w:tr>
      <w:tr>
        <w:trPr>
          <w:trHeight w:val="166"/>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Carrying</w:t>
            </w:r>
          </w:p>
        </w:tc>
        <w:tc>
          <w:tcPr>
            <w:tcW w:w="500" w:type="dxa"/>
            <w:vAlign w:val="bottom"/>
          </w:tcPr>
          <w:p>
            <w:pPr>
              <w:spacing w:after="0"/>
              <w:rPr>
                <w:sz w:val="14"/>
                <w:szCs w:val="14"/>
                <w:color w:val="auto"/>
              </w:rPr>
            </w:pPr>
          </w:p>
        </w:tc>
        <w:tc>
          <w:tcPr>
            <w:tcW w:w="10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4"/>
                <w:szCs w:val="14"/>
                <w:color w:val="auto"/>
              </w:rPr>
            </w:pPr>
          </w:p>
        </w:tc>
        <w:tc>
          <w:tcPr>
            <w:tcW w:w="920" w:type="dxa"/>
            <w:vAlign w:val="bottom"/>
          </w:tcPr>
          <w:p>
            <w:pPr>
              <w:jc w:val="center"/>
              <w:ind w:right="462"/>
              <w:spacing w:after="0"/>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Pr>
          <w:p>
            <w:pPr>
              <w:spacing w:after="0"/>
              <w:rPr>
                <w:sz w:val="16"/>
                <w:szCs w:val="16"/>
                <w:color w:val="auto"/>
              </w:rPr>
            </w:pPr>
          </w:p>
        </w:tc>
        <w:tc>
          <w:tcPr>
            <w:tcW w:w="10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6"/>
                <w:szCs w:val="16"/>
                <w:color w:val="auto"/>
              </w:rPr>
            </w:pPr>
          </w:p>
        </w:tc>
        <w:tc>
          <w:tcPr>
            <w:tcW w:w="920" w:type="dxa"/>
            <w:vAlign w:val="bottom"/>
          </w:tcPr>
          <w:p>
            <w:pPr>
              <w:jc w:val="center"/>
              <w:ind w:right="462"/>
              <w:spacing w:after="0"/>
              <w:rPr>
                <w:sz w:val="20"/>
                <w:szCs w:val="20"/>
                <w:color w:val="auto"/>
              </w:rPr>
            </w:pPr>
            <w:r>
              <w:rPr>
                <w:rFonts w:ascii="Arial" w:cs="Arial" w:eastAsia="Arial" w:hAnsi="Arial"/>
                <w:sz w:val="14"/>
                <w:szCs w:val="14"/>
                <w:b w:val="1"/>
                <w:bCs w:val="1"/>
                <w:color w:val="auto"/>
                <w:w w:val="90"/>
              </w:rPr>
              <w:t>Value</w:t>
            </w:r>
          </w:p>
        </w:tc>
      </w:tr>
      <w:tr>
        <w:trPr>
          <w:trHeight w:val="243"/>
        </w:trPr>
        <w:tc>
          <w:tcPr>
            <w:tcW w:w="516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Notes payable</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13,334</w:t>
            </w:r>
          </w:p>
        </w:tc>
        <w:tc>
          <w:tcPr>
            <w:tcW w:w="120" w:type="dxa"/>
            <w:vAlign w:val="bottom"/>
            <w:tcBorders>
              <w:top w:val="single" w:sz="8" w:color="CFF0FC"/>
            </w:tcBorders>
            <w:shd w:val="clear" w:color="auto" w:fill="CFF0FC"/>
          </w:tcPr>
          <w:p>
            <w:pPr>
              <w:spacing w:after="0"/>
              <w:rPr>
                <w:sz w:val="21"/>
                <w:szCs w:val="21"/>
                <w:color w:val="auto"/>
              </w:rPr>
            </w:pPr>
          </w:p>
        </w:tc>
        <w:tc>
          <w:tcPr>
            <w:tcW w:w="50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rPr>
              <w:t>14,407</w:t>
            </w:r>
          </w:p>
        </w:tc>
        <w:tc>
          <w:tcPr>
            <w:tcW w:w="100" w:type="dxa"/>
            <w:vAlign w:val="bottom"/>
            <w:tcBorders>
              <w:top w:val="single" w:sz="8" w:color="CFF0FC"/>
            </w:tcBorders>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8"/>
                <w:szCs w:val="18"/>
                <w:color w:val="auto"/>
              </w:rPr>
              <w:t>14,428</w:t>
            </w:r>
          </w:p>
        </w:tc>
        <w:tc>
          <w:tcPr>
            <w:tcW w:w="100" w:type="dxa"/>
            <w:vAlign w:val="bottom"/>
            <w:tcBorders>
              <w:top w:val="single" w:sz="8" w:color="CFF0FC"/>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rPr>
              <w:t>15,650</w:t>
            </w:r>
          </w:p>
        </w:tc>
      </w:tr>
      <w:tr>
        <w:trPr>
          <w:trHeight w:val="27"/>
        </w:trPr>
        <w:tc>
          <w:tcPr>
            <w:tcW w:w="516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ind w:right="560" w:firstLine="528"/>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Australian tax incentive receivable, accounts payable, and accrued expenses approximate fair value due to their short-term nature.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methods and assumptions were used to estimate the fair value of our notes payable:</w:t>
      </w:r>
    </w:p>
    <w:p>
      <w:pPr>
        <w:spacing w:after="0" w:line="225"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i w:val="1"/>
          <w:iCs w:val="1"/>
          <w:color w:val="auto"/>
        </w:rPr>
        <w:t>Notes Payable</w:t>
      </w:r>
      <w:r>
        <w:rPr>
          <w:rFonts w:ascii="Arial" w:cs="Arial" w:eastAsia="Arial" w:hAnsi="Arial"/>
          <w:sz w:val="18"/>
          <w:szCs w:val="18"/>
          <w:color w:val="auto"/>
        </w:rPr>
        <w:t>—We use the income approach to value the aforementioned debt instrument. We use a present value calculation to discount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Available for Sale Investments</w:t>
      </w:r>
    </w:p>
    <w:p>
      <w:pPr>
        <w:spacing w:after="0" w:line="117"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We invest our excess cash in agency securities, debt instruments of financial institutions and corporations, or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March 31, 2018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20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FF0FC"/>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Unrealized Gains</w:t>
            </w:r>
          </w:p>
        </w:tc>
        <w:tc>
          <w:tcPr>
            <w:tcW w:w="1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Unrealized Losses</w:t>
            </w:r>
          </w:p>
        </w:tc>
        <w:tc>
          <w:tcPr>
            <w:tcW w:w="1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0"/>
        </w:trPr>
        <w:tc>
          <w:tcPr>
            <w:tcW w:w="5160" w:type="dxa"/>
            <w:vAlign w:val="bottom"/>
            <w:shd w:val="clear" w:color="auto" w:fill="CFF0FC"/>
          </w:tcPr>
          <w:p>
            <w:pPr>
              <w:ind w:left="40"/>
              <w:spacing w:after="0" w:line="270" w:lineRule="exact"/>
              <w:rPr>
                <w:sz w:val="20"/>
                <w:szCs w:val="20"/>
                <w:color w:val="auto"/>
              </w:rPr>
            </w:pPr>
            <w:r>
              <w:rPr>
                <w:rFonts w:ascii="Arial" w:cs="Arial" w:eastAsia="Arial" w:hAnsi="Arial"/>
                <w:sz w:val="18"/>
                <w:szCs w:val="18"/>
                <w:color w:val="auto"/>
              </w:rPr>
              <w:t>Agency securities</w:t>
            </w:r>
            <w:r>
              <w:rPr>
                <w:rFonts w:ascii="Arial" w:cs="Arial" w:eastAsia="Arial" w:hAnsi="Arial"/>
                <w:sz w:val="25"/>
                <w:szCs w:val="25"/>
                <w:color w:val="auto"/>
                <w:vertAlign w:val="superscript"/>
              </w:rPr>
              <w:t>(1)</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60,117</w:t>
            </w: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59,861</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103,824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103,476</w:t>
            </w:r>
          </w:p>
        </w:tc>
        <w:tc>
          <w:tcPr>
            <w:tcW w:w="0" w:type="dxa"/>
            <w:vAlign w:val="bottom"/>
          </w:tcPr>
          <w:p>
            <w:pPr>
              <w:spacing w:after="0"/>
              <w:rPr>
                <w:sz w:val="1"/>
                <w:szCs w:val="1"/>
                <w:color w:val="auto"/>
              </w:rPr>
            </w:pPr>
          </w:p>
        </w:tc>
      </w:tr>
      <w:tr>
        <w:trPr>
          <w:trHeight w:val="270"/>
        </w:trPr>
        <w:tc>
          <w:tcPr>
            <w:tcW w:w="5160" w:type="dxa"/>
            <w:vAlign w:val="bottom"/>
            <w:shd w:val="clear" w:color="auto" w:fill="CFF0FC"/>
          </w:tcPr>
          <w:p>
            <w:pPr>
              <w:ind w:left="40"/>
              <w:spacing w:after="0" w:line="27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5"/>
                <w:szCs w:val="25"/>
                <w:color w:val="auto"/>
                <w:vertAlign w:val="superscript"/>
              </w:rPr>
              <w:t>(3)</w:t>
            </w:r>
          </w:p>
        </w:tc>
        <w:tc>
          <w:tcPr>
            <w:tcW w:w="26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79,432</w:t>
            </w:r>
          </w:p>
        </w:tc>
        <w:tc>
          <w:tcPr>
            <w:tcW w:w="120" w:type="dxa"/>
            <w:vAlign w:val="bottom"/>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320" w:type="dxa"/>
            <w:vAlign w:val="bottom"/>
            <w:tcBorders>
              <w:bottom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79,235</w:t>
            </w:r>
          </w:p>
        </w:tc>
        <w:tc>
          <w:tcPr>
            <w:tcW w:w="0" w:type="dxa"/>
            <w:vAlign w:val="bottom"/>
          </w:tcPr>
          <w:p>
            <w:pPr>
              <w:spacing w:after="0"/>
              <w:rPr>
                <w:sz w:val="1"/>
                <w:szCs w:val="1"/>
                <w:color w:val="auto"/>
              </w:rPr>
            </w:pPr>
          </w:p>
        </w:tc>
      </w:tr>
      <w:tr>
        <w:trPr>
          <w:trHeight w:val="237"/>
        </w:trPr>
        <w:tc>
          <w:tcPr>
            <w:tcW w:w="5160" w:type="dxa"/>
            <w:vAlign w:val="bottom"/>
          </w:tcPr>
          <w:p>
            <w:pPr>
              <w:ind w:left="26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243,373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242,572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-728345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-728345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-728345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4" w:lineRule="exact"/>
        <w:rPr>
          <w:sz w:val="20"/>
          <w:szCs w:val="20"/>
          <w:color w:val="auto"/>
        </w:rPr>
      </w:pPr>
    </w:p>
    <w:p>
      <w:pPr>
        <w:ind w:left="460" w:right="120" w:hanging="452"/>
        <w:spacing w:after="0" w:line="216" w:lineRule="auto"/>
        <w:tabs>
          <w:tab w:leader="none" w:pos="4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Of our outstanding agency securities, $35.6 million have maturity dates of less than one year and $24.2 million have a maturity date of between one to two years as of March 31, 2018.</w:t>
      </w:r>
    </w:p>
    <w:p>
      <w:pPr>
        <w:spacing w:after="0" w:line="14" w:lineRule="exact"/>
        <w:rPr>
          <w:rFonts w:ascii="Arial" w:cs="Arial" w:eastAsia="Arial" w:hAnsi="Arial"/>
          <w:sz w:val="25"/>
          <w:szCs w:val="25"/>
          <w:color w:val="auto"/>
          <w:vertAlign w:val="superscript"/>
        </w:rPr>
      </w:pPr>
    </w:p>
    <w:p>
      <w:pPr>
        <w:ind w:left="460" w:right="320" w:hanging="452"/>
        <w:spacing w:after="0" w:line="216" w:lineRule="auto"/>
        <w:tabs>
          <w:tab w:leader="none" w:pos="4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Of our outstanding commercial and corporate obligations, $82.2 million have maturity dates of less than one year and $21.3 million have a maturity date of between one to two years as of March 31, 2018.</w:t>
      </w:r>
    </w:p>
    <w:p>
      <w:pPr>
        <w:spacing w:after="0" w:line="1" w:lineRule="exact"/>
        <w:rPr>
          <w:rFonts w:ascii="Arial" w:cs="Arial" w:eastAsia="Arial" w:hAnsi="Arial"/>
          <w:sz w:val="25"/>
          <w:szCs w:val="25"/>
          <w:color w:val="auto"/>
          <w:vertAlign w:val="superscript"/>
        </w:rPr>
      </w:pPr>
    </w:p>
    <w:p>
      <w:pPr>
        <w:ind w:left="460" w:right="180" w:hanging="452"/>
        <w:spacing w:after="0" w:line="209" w:lineRule="auto"/>
        <w:tabs>
          <w:tab w:leader="none" w:pos="4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Of our outstanding U.S. Treasury securities $62.8 million have maturity dates of less than one year and $16.4 million have a maturity date of between one to two years as of March 31, 2018.</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and Preferred Stock</w:t>
      </w:r>
    </w:p>
    <w:p>
      <w:pPr>
        <w:spacing w:after="0" w:line="117" w:lineRule="exact"/>
        <w:rPr>
          <w:sz w:val="20"/>
          <w:szCs w:val="20"/>
          <w:color w:val="auto"/>
        </w:rPr>
      </w:pPr>
    </w:p>
    <w:p>
      <w:pPr>
        <w:ind w:right="120" w:firstLine="446"/>
        <w:spacing w:after="0" w:line="257" w:lineRule="auto"/>
        <w:rPr>
          <w:sz w:val="20"/>
          <w:szCs w:val="20"/>
          <w:color w:val="auto"/>
        </w:rPr>
      </w:pPr>
      <w:r>
        <w:rPr>
          <w:rFonts w:ascii="Arial" w:cs="Arial" w:eastAsia="Arial" w:hAnsi="Arial"/>
          <w:sz w:val="18"/>
          <w:szCs w:val="18"/>
          <w:color w:val="auto"/>
        </w:rPr>
        <w:t>On January 13, 2017, we amended our Certificate of Incorporation to increase the number of authorized shares of common stock to 60,000,000 with a par value of $0.001 per share and decrease the number of authorized shares of preferred stock to 11,520,698 with a par value of $0.001 per share. Subsequently, on January 31, 2017, upon completion of our IPO, we amended our Certificate of Incorporation to increase the number of authorized shares of common stock to 500,000,000 with a par value of $0.001 and decrease the number of authorized shares of preferred stock to 10,000,000 with a par value of $0.001 per share.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5" w:name="page16"/>
    <w:bookmarkEnd w:id="15"/>
    <w:p>
      <w:pPr>
        <w:ind w:left="2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60" w:firstLine="446"/>
        <w:spacing w:after="0" w:line="308" w:lineRule="auto"/>
        <w:rPr>
          <w:sz w:val="20"/>
          <w:szCs w:val="20"/>
          <w:color w:val="auto"/>
        </w:rPr>
      </w:pPr>
      <w:r>
        <w:rPr>
          <w:rFonts w:ascii="Arial" w:cs="Arial" w:eastAsia="Arial" w:hAnsi="Arial"/>
          <w:sz w:val="17"/>
          <w:szCs w:val="17"/>
          <w:color w:val="auto"/>
        </w:rPr>
        <w:t>Of the 500,000,000 shares of common stock authorized, 23,816,957 shares were issued and outstanding as of March 31, 2018. Common stock reserved for future issuance upon the exercise, issuance or conversion of the respective equity instruments at March 31, 2018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2947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Issued and Outstanding: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1600" w:type="dxa"/>
            <w:vAlign w:val="bottom"/>
          </w:tcPr>
          <w:p>
            <w:pPr>
              <w:jc w:val="right"/>
              <w:spacing w:after="0"/>
              <w:rPr>
                <w:sz w:val="20"/>
                <w:szCs w:val="20"/>
                <w:color w:val="auto"/>
              </w:rPr>
            </w:pPr>
            <w:r>
              <w:rPr>
                <w:rFonts w:ascii="Arial" w:cs="Arial" w:eastAsia="Arial" w:hAnsi="Arial"/>
                <w:sz w:val="18"/>
                <w:szCs w:val="18"/>
                <w:color w:val="auto"/>
              </w:rPr>
              <w:t>2,655,722</w:t>
            </w:r>
          </w:p>
        </w:tc>
      </w:tr>
      <w:tr>
        <w:trPr>
          <w:trHeight w:val="27"/>
        </w:trPr>
        <w:tc>
          <w:tcPr>
            <w:tcW w:w="98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4"/>
        </w:trPr>
        <w:tc>
          <w:tcPr>
            <w:tcW w:w="9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Warrants for shares of common stock</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Shares Reserved For:</w:t>
            </w:r>
          </w:p>
        </w:tc>
        <w:tc>
          <w:tcPr>
            <w:tcW w:w="1600" w:type="dxa"/>
            <w:vAlign w:val="bottom"/>
          </w:tcPr>
          <w:p>
            <w:pPr>
              <w:spacing w:after="0"/>
              <w:rPr>
                <w:sz w:val="21"/>
                <w:szCs w:val="21"/>
                <w:color w:val="auto"/>
              </w:rPr>
            </w:pPr>
          </w:p>
        </w:tc>
      </w:tr>
      <w:tr>
        <w:trPr>
          <w:trHeight w:val="27"/>
        </w:trPr>
        <w:tc>
          <w:tcPr>
            <w:tcW w:w="98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4"/>
        </w:trPr>
        <w:tc>
          <w:tcPr>
            <w:tcW w:w="9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2017 Equity Incentive Plan</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2,092,308</w:t>
            </w:r>
          </w:p>
        </w:tc>
      </w:tr>
      <w:tr>
        <w:trPr>
          <w:trHeight w:val="243"/>
        </w:trPr>
        <w:tc>
          <w:tcPr>
            <w:tcW w:w="9800" w:type="dxa"/>
            <w:vAlign w:val="bottom"/>
          </w:tcPr>
          <w:p>
            <w:pPr>
              <w:ind w:left="280"/>
              <w:spacing w:after="0"/>
              <w:rPr>
                <w:sz w:val="20"/>
                <w:szCs w:val="20"/>
                <w:color w:val="auto"/>
              </w:rPr>
            </w:pPr>
            <w:r>
              <w:rPr>
                <w:rFonts w:ascii="Arial" w:cs="Arial" w:eastAsia="Arial" w:hAnsi="Arial"/>
                <w:sz w:val="18"/>
                <w:szCs w:val="18"/>
                <w:color w:val="auto"/>
              </w:rPr>
              <w:t>Employee Stock Purchase Plan</w:t>
            </w:r>
          </w:p>
        </w:tc>
        <w:tc>
          <w:tcPr>
            <w:tcW w:w="1600" w:type="dxa"/>
            <w:vAlign w:val="bottom"/>
          </w:tcPr>
          <w:p>
            <w:pPr>
              <w:jc w:val="right"/>
              <w:spacing w:after="0"/>
              <w:rPr>
                <w:sz w:val="20"/>
                <w:szCs w:val="20"/>
                <w:color w:val="auto"/>
              </w:rPr>
            </w:pPr>
            <w:r>
              <w:rPr>
                <w:rFonts w:ascii="Arial" w:cs="Arial" w:eastAsia="Arial" w:hAnsi="Arial"/>
                <w:sz w:val="18"/>
                <w:szCs w:val="18"/>
                <w:color w:val="auto"/>
              </w:rPr>
              <w:t>455,913</w:t>
            </w:r>
          </w:p>
        </w:tc>
      </w:tr>
      <w:tr>
        <w:trPr>
          <w:trHeight w:val="27"/>
        </w:trPr>
        <w:tc>
          <w:tcPr>
            <w:tcW w:w="98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5,204,230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117"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color w:val="auto"/>
        </w:rPr>
        <w:t>During the three months ended March 31, 2018, 16,483 shares of common stock were issued as a result of a warrant exercise. During the three months ended March 31, 2017, warrants for the purchase of 296,669 shares of common stock were exercised, of which 179,047 were exercised by a net exercise method. As a result, we issued 250,448 shares of common stock, net.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Plans</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17" w:lineRule="exact"/>
        <w:rPr>
          <w:sz w:val="20"/>
          <w:szCs w:val="20"/>
          <w:color w:val="auto"/>
        </w:rPr>
      </w:pPr>
    </w:p>
    <w:p>
      <w:pPr>
        <w:ind w:right="60" w:firstLine="446"/>
        <w:spacing w:after="0" w:line="271" w:lineRule="auto"/>
        <w:rPr>
          <w:sz w:val="20"/>
          <w:szCs w:val="20"/>
          <w:color w:val="auto"/>
        </w:rPr>
      </w:pPr>
      <w:r>
        <w:rPr>
          <w:rFonts w:ascii="Arial" w:cs="Arial" w:eastAsia="Arial" w:hAnsi="Arial"/>
          <w:sz w:val="17"/>
          <w:szCs w:val="17"/>
          <w:color w:val="auto"/>
        </w:rPr>
        <w:t>On January 12, 2017, our board of directors and stockholders approved and adopted the 2017 Equity Incentive Plan, or the 2017 Plan. The 2017 Plan became effective upon the execution and delivery of the underwriting agreement for our initial public offering on January 26, 2017, and replaced our existing 2006 Equity Incentive Plan, or the 2006 Plan. Under the 2017 Plan we may grant stock options, stock appreciation rights, restricted stock, restricted stock units and other awards to individuals who are then our employees, officers, directors or consultants. A total of 1,955,506 shares of common stock were initially reserved for issuance under the 2017 plan, including 308,343 that were rolled over from the 2006 Plan. In addition, the number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951,656 shares as of January 1, 2018.</w:t>
      </w:r>
    </w:p>
    <w:p>
      <w:pPr>
        <w:spacing w:after="0" w:line="71"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As of March 31, 2018, there were 2,655,722 options outstanding to purchase shares of common stock and 2,092,308 shares of common stock reserved for future stock awards under the 2017 Plan.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On January 12, 2017, our board of directors and stockholders approved and adopted the 2017 Employee Stock Purchase Plan or the ESPP. The ESPP became effective upon the execution and delivery of the underwriting agreement for our initial public offering on January 26, 2017. A total of 218,000 shares of common stock were initially reserved for issuance under the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237,913 shares as of January 1, 2018.</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92" w:right="25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Stock options granted to employees and non-employees generally vest over a four-year period while stock options granted to directors vest over a one year period. Additionally, new non-employee directors receive stock options that vest over a three-year period. Each have a maximum term of ten years from the date of grant, subject to earlier cancellation prior to vesting upon cessation of service to us. A summary of the activity related to stock option awards during the three months ended March 31, 2018 is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Weighted-Average</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Weighted-Average</w:t>
            </w:r>
          </w:p>
        </w:tc>
        <w:tc>
          <w:tcPr>
            <w:tcW w:w="300" w:type="dxa"/>
            <w:vAlign w:val="bottom"/>
          </w:tcPr>
          <w:p>
            <w:pPr>
              <w:spacing w:after="0"/>
              <w:rPr>
                <w:sz w:val="14"/>
                <w:szCs w:val="14"/>
                <w:color w:val="auto"/>
              </w:rPr>
            </w:pPr>
          </w:p>
        </w:tc>
        <w:tc>
          <w:tcPr>
            <w:tcW w:w="1300" w:type="dxa"/>
            <w:vAlign w:val="bottom"/>
            <w:vMerge w:val="restart"/>
          </w:tcPr>
          <w:p>
            <w:pPr>
              <w:jc w:val="center"/>
              <w:ind w:right="20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30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Subject to</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Price per</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Term</w:t>
            </w:r>
          </w:p>
        </w:tc>
        <w:tc>
          <w:tcPr>
            <w:tcW w:w="300" w:type="dxa"/>
            <w:vAlign w:val="bottom"/>
          </w:tcPr>
          <w:p>
            <w:pPr>
              <w:spacing w:after="0"/>
              <w:rPr>
                <w:sz w:val="12"/>
                <w:szCs w:val="12"/>
                <w:color w:val="auto"/>
              </w:rPr>
            </w:pPr>
          </w:p>
        </w:tc>
        <w:tc>
          <w:tcPr>
            <w:tcW w:w="130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FF0FC"/>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Borders>
              <w:bottom w:val="single" w:sz="8" w:color="CFF0FC"/>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January 1, 2018</w:t>
            </w:r>
          </w:p>
        </w:tc>
        <w:tc>
          <w:tcPr>
            <w:tcW w:w="160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2,425,903</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262,707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107.05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Exercises</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(9,104)</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Forfeitures and cancellations</w:t>
            </w:r>
          </w:p>
        </w:tc>
        <w:tc>
          <w:tcPr>
            <w:tcW w:w="1600" w:type="dxa"/>
            <w:vAlign w:val="bottom"/>
          </w:tcPr>
          <w:p>
            <w:pPr>
              <w:jc w:val="right"/>
              <w:spacing w:after="0"/>
              <w:rPr>
                <w:sz w:val="20"/>
                <w:szCs w:val="20"/>
                <w:color w:val="auto"/>
              </w:rPr>
            </w:pPr>
            <w:r>
              <w:rPr>
                <w:rFonts w:ascii="Arial" w:cs="Arial" w:eastAsia="Arial" w:hAnsi="Arial"/>
                <w:sz w:val="18"/>
                <w:szCs w:val="18"/>
                <w:color w:val="auto"/>
              </w:rPr>
              <w:t>(23,784)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55.48</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4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CFF0FC"/>
            </w:tcBorders>
          </w:tcPr>
          <w:p>
            <w:pPr>
              <w:spacing w:after="0"/>
              <w:rPr>
                <w:sz w:val="2"/>
                <w:szCs w:val="2"/>
                <w:color w:val="auto"/>
              </w:rPr>
            </w:pPr>
          </w:p>
        </w:tc>
        <w:tc>
          <w:tcPr>
            <w:tcW w:w="13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March 31, 2018</w:t>
            </w:r>
          </w:p>
        </w:tc>
        <w:tc>
          <w:tcPr>
            <w:tcW w:w="16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2,655,722</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18"/>
                <w:szCs w:val="18"/>
                <w:color w:val="auto"/>
              </w:rPr>
              <w:t>221,253.3</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Exercisable at March 31, 2018</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vMerge w:val="continue"/>
          </w:tcPr>
          <w:p>
            <w:pPr>
              <w:spacing w:after="0"/>
              <w:rPr>
                <w:sz w:val="21"/>
                <w:szCs w:val="21"/>
                <w:color w:val="auto"/>
              </w:rPr>
            </w:pP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1,481,286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7"/>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2"/>
              <w:spacing w:after="0"/>
              <w:rPr>
                <w:sz w:val="20"/>
                <w:szCs w:val="20"/>
                <w:color w:val="auto"/>
              </w:rPr>
            </w:pPr>
            <w:r>
              <w:rPr>
                <w:rFonts w:ascii="Arial" w:cs="Arial" w:eastAsia="Arial" w:hAnsi="Arial"/>
                <w:sz w:val="18"/>
                <w:szCs w:val="18"/>
                <w:color w:val="auto"/>
              </w:rPr>
              <w:t>143,336.2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Total cash received from the exercise of stock options was approximately $0.1 million during the three months ended March 31, 2018. As a result of the adoption of ASU 2016-09 and the elimination of a forfeiture rate, all options outstanding are considered expected to fully vest.</w:t>
      </w:r>
    </w:p>
    <w:p>
      <w:pPr>
        <w:spacing w:after="0" w:line="200" w:lineRule="exact"/>
        <w:rPr>
          <w:sz w:val="20"/>
          <w:szCs w:val="20"/>
          <w:color w:val="auto"/>
        </w:rPr>
      </w:pPr>
    </w:p>
    <w:p>
      <w:pPr>
        <w:spacing w:after="0" w:line="214"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color w:val="auto"/>
        </w:rPr>
        <w:t>Certain stock option grants under the 2006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The estimated fair values of stock option awards granted to employees were determined on the date of grant using the Black-Scholes option valuation model with the following weighted average assumptions:</w:t>
      </w:r>
    </w:p>
    <w:p>
      <w:pPr>
        <w:spacing w:after="0" w:line="108"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13335</wp:posOffset>
            </wp:positionV>
            <wp:extent cx="21780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2017</w:t>
            </w: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Risk-free interest rate</w:t>
            </w:r>
          </w:p>
        </w:tc>
        <w:tc>
          <w:tcPr>
            <w:tcW w:w="10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Expected dividend yield</w:t>
            </w:r>
          </w:p>
        </w:tc>
        <w:tc>
          <w:tcPr>
            <w:tcW w:w="10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04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6.18</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104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3"/>
              </w:rPr>
              <w:t>68.34</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15.15</w:t>
            </w:r>
          </w:p>
        </w:tc>
      </w:tr>
      <w:tr>
        <w:trPr>
          <w:trHeight w:val="27"/>
        </w:trPr>
        <w:tc>
          <w:tcPr>
            <w:tcW w:w="798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262,707 and 934,141 stock options granted during the three months ended March 31, 2018 and 2017, respectively.</w:t>
      </w:r>
    </w:p>
    <w:p>
      <w:pPr>
        <w:spacing w:after="0" w:line="171" w:lineRule="exact"/>
        <w:rPr>
          <w:sz w:val="20"/>
          <w:szCs w:val="20"/>
          <w:color w:val="auto"/>
        </w:rPr>
      </w:pPr>
    </w:p>
    <w:p>
      <w:pPr>
        <w:ind w:right="60" w:firstLine="446"/>
        <w:spacing w:after="0" w:line="302" w:lineRule="auto"/>
        <w:rPr>
          <w:sz w:val="20"/>
          <w:szCs w:val="20"/>
          <w:color w:val="auto"/>
        </w:rPr>
      </w:pPr>
      <w:r>
        <w:rPr>
          <w:rFonts w:ascii="Arial" w:cs="Arial" w:eastAsia="Arial" w:hAnsi="Arial"/>
          <w:sz w:val="16"/>
          <w:szCs w:val="16"/>
          <w:color w:val="auto"/>
        </w:rPr>
        <w:t>We determine the appropriate, risk free interest rate, expected term for employee stock based awards, contractual term for non-employee stock based awards, and volatility assumptions. The weighted-average expected option term for employee and director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2" w:right="239" w:bottom="1440" w:gutter="0" w:footer="0" w:header="0"/>
        </w:sectPr>
      </w:pPr>
    </w:p>
    <w:bookmarkStart w:id="17" w:name="page18"/>
    <w:bookmarkEnd w:id="17"/>
    <w:p>
      <w:pPr>
        <w:ind w:right="80"/>
        <w:spacing w:after="0" w:line="264" w:lineRule="auto"/>
        <w:rPr>
          <w:sz w:val="20"/>
          <w:szCs w:val="20"/>
          <w:color w:val="auto"/>
        </w:rPr>
      </w:pPr>
      <w:r>
        <w:rPr>
          <w:rFonts w:ascii="Arial" w:cs="Arial" w:eastAsia="Arial" w:hAnsi="Arial"/>
          <w:sz w:val="18"/>
          <w:szCs w:val="18"/>
          <w:color w:val="auto"/>
        </w:rPr>
        <w:t>historical volatility of our common stock and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81" w:lineRule="exact"/>
        <w:rPr>
          <w:sz w:val="20"/>
          <w:szCs w:val="20"/>
          <w:color w:val="auto"/>
        </w:rPr>
      </w:pPr>
    </w:p>
    <w:p>
      <w:pPr>
        <w:ind w:right="900" w:firstLine="446"/>
        <w:spacing w:after="0" w:line="277" w:lineRule="auto"/>
        <w:rPr>
          <w:sz w:val="20"/>
          <w:szCs w:val="20"/>
          <w:color w:val="auto"/>
        </w:rPr>
      </w:pPr>
      <w:r>
        <w:rPr>
          <w:rFonts w:ascii="Arial" w:cs="Arial" w:eastAsia="Arial" w:hAnsi="Arial"/>
          <w:sz w:val="18"/>
          <w:szCs w:val="18"/>
          <w:color w:val="auto"/>
        </w:rPr>
        <w:t>Total non-cash stock-based compensation expense for all stock awards that was recognized in the consolidated statements of operations and comprehensive loss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300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566</w:t>
            </w:r>
          </w:p>
        </w:tc>
      </w:tr>
      <w:tr>
        <w:trPr>
          <w:trHeight w:val="27"/>
        </w:trPr>
        <w:tc>
          <w:tcPr>
            <w:tcW w:w="812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2,260</w:t>
            </w:r>
          </w:p>
        </w:tc>
        <w:tc>
          <w:tcPr>
            <w:tcW w:w="10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866</w:t>
            </w:r>
          </w:p>
        </w:tc>
      </w:tr>
      <w:tr>
        <w:trPr>
          <w:trHeight w:val="20"/>
        </w:trPr>
        <w:tc>
          <w:tcPr>
            <w:tcW w:w="8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540" w:firstLine="446"/>
        <w:spacing w:after="0" w:line="277" w:lineRule="auto"/>
        <w:rPr>
          <w:sz w:val="20"/>
          <w:szCs w:val="20"/>
          <w:color w:val="auto"/>
        </w:rPr>
      </w:pPr>
      <w:r>
        <w:rPr>
          <w:rFonts w:ascii="Arial" w:cs="Arial" w:eastAsia="Arial" w:hAnsi="Arial"/>
          <w:sz w:val="18"/>
          <w:szCs w:val="18"/>
          <w:color w:val="auto"/>
        </w:rPr>
        <w:t>At March 31, 2018, there was $30.1 million of unrecognized compensation cost related to unvested stock option awards, which is expected to be recognized over a remaining weighted average vesting period of 2.63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Australia Research and Development Tax Incentive</w:t>
      </w:r>
    </w:p>
    <w:p>
      <w:pPr>
        <w:spacing w:after="0" w:line="121" w:lineRule="exact"/>
        <w:rPr>
          <w:sz w:val="20"/>
          <w:szCs w:val="20"/>
          <w:color w:val="auto"/>
        </w:rPr>
      </w:pPr>
    </w:p>
    <w:p>
      <w:pPr>
        <w:ind w:right="20" w:firstLine="446"/>
        <w:spacing w:after="0" w:line="253" w:lineRule="auto"/>
        <w:rPr>
          <w:sz w:val="20"/>
          <w:szCs w:val="20"/>
          <w:color w:val="auto"/>
        </w:rPr>
      </w:pPr>
      <w:r>
        <w:rPr>
          <w:rFonts w:ascii="Arial" w:cs="Arial" w:eastAsia="Arial" w:hAnsi="Arial"/>
          <w:sz w:val="18"/>
          <w:szCs w:val="18"/>
          <w:color w:val="auto"/>
        </w:rPr>
        <w:t>Our Australian subsidiary, which conducts core research and development activities on our behalf, is eligible to receive a 43.5% refundable tax incentive for qualified research and development activities during fiscal 2018 and fiscal 2017. For the three months ended March 31, 2018 and 2017, less than $0.1 million and $0.6 million, respectively, were recorded as a reduction to research and development expenses in the consolidated statements of operations and comprehensive loss. As of March 31, 2018 our tax incentive receivable from the Australian government was $1.6 million. We received no cash during the three months ended March 31, 2018 and 2017.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3"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consolidated financial statements and related notes for the three months ended March 31, 2018, included in Part I, Item 1 of this report and with our audited consolidated financial statements and related notes thereto for the year ended December 31, 2017, included in the Company’s Form 10-K. This discussion and other parts of this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report.</w:t>
      </w:r>
    </w:p>
    <w:p>
      <w:pPr>
        <w:spacing w:after="0" w:line="165"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i w:val="1"/>
          <w:iCs w:val="1"/>
          <w:color w:val="auto"/>
        </w:rPr>
        <w:t>As used in this Quarterly Report on Form 10-Q, the terms “AnaptysBio,” “the Company,” “we,” “us,” and “our” refer to AnaptysBio, Inc. and, where appropriate, its consolidated subsidiary, unless the context indicates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8"/>
          <w:szCs w:val="18"/>
          <w:i w:val="1"/>
          <w:iCs w:val="1"/>
          <w:color w:val="auto"/>
        </w:rPr>
        <w:t>in vitro</w:t>
      </w:r>
      <w:r>
        <w:rPr>
          <w:rFonts w:ascii="Arial" w:cs="Arial" w:eastAsia="Arial" w:hAnsi="Arial"/>
          <w:sz w:val="18"/>
          <w:szCs w:val="18"/>
          <w:color w:val="auto"/>
        </w:rPr>
        <w:t>. Our strategy is to advance the development and commercialization of our proprietary product candidates, and for certain programs, establish partnerships with leading biopharmaceutical companies where we retain certain development and commercialization rights in the United States.</w:t>
      </w:r>
    </w:p>
    <w:p>
      <w:pPr>
        <w:spacing w:after="0" w:line="193"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 xml:space="preserve">Our most advanced wholly-owned antibody programs, ANB020 and ANB019, neutralize therapeutic targets that are genetically associated with severe inflammatory disorders in humans. ANB020 inhibits the activity of the interleukin-33 cytokine, or IL-33, for the treatment of moderate-to-severe adult atopic dermatitis, moderate-to-severe baseline adult peanut allergy and severe adult eosinophilic asthma. </w:t>
      </w:r>
      <w:r>
        <w:rPr>
          <w:rFonts w:ascii="Arial" w:cs="Arial" w:eastAsia="Arial" w:hAnsi="Arial"/>
          <w:sz w:val="18"/>
          <w:szCs w:val="18"/>
          <w:color w:val="231F20"/>
        </w:rPr>
        <w:t>We have completed a Phase 1 trial of ANB020 in healthy</w:t>
      </w:r>
      <w:r>
        <w:rPr>
          <w:rFonts w:ascii="Arial" w:cs="Arial" w:eastAsia="Arial" w:hAnsi="Arial"/>
          <w:sz w:val="18"/>
          <w:szCs w:val="18"/>
          <w:color w:val="auto"/>
        </w:rPr>
        <w:t xml:space="preserve"> </w:t>
      </w:r>
      <w:r>
        <w:rPr>
          <w:rFonts w:ascii="Arial" w:cs="Arial" w:eastAsia="Arial" w:hAnsi="Arial"/>
          <w:sz w:val="18"/>
          <w:szCs w:val="18"/>
          <w:color w:val="231F20"/>
        </w:rPr>
        <w:t>volunteers in Australia,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30" w:right="239" w:bottom="1440" w:gutter="0" w:footer="0" w:header="0"/>
        </w:sectPr>
      </w:pPr>
    </w:p>
    <w:bookmarkStart w:id="18" w:name="page19"/>
    <w:bookmarkEnd w:id="18"/>
    <w:p>
      <w:pPr>
        <w:ind w:right="20"/>
        <w:spacing w:after="0" w:line="253" w:lineRule="auto"/>
        <w:rPr>
          <w:sz w:val="20"/>
          <w:szCs w:val="20"/>
          <w:color w:val="auto"/>
        </w:rPr>
      </w:pPr>
      <w:r>
        <w:rPr>
          <w:rFonts w:ascii="Arial" w:cs="Arial" w:eastAsia="Arial" w:hAnsi="Arial"/>
          <w:sz w:val="18"/>
          <w:szCs w:val="18"/>
          <w:color w:val="231F20"/>
        </w:rPr>
        <w:t xml:space="preserve">the results </w:t>
      </w:r>
      <w:r>
        <w:rPr>
          <w:rFonts w:ascii="Arial" w:cs="Arial" w:eastAsia="Arial" w:hAnsi="Arial"/>
          <w:sz w:val="18"/>
          <w:szCs w:val="18"/>
          <w:color w:val="000000"/>
        </w:rPr>
        <w:t>of which were presented at the 2017 American Academy of Dermatology, or AAD, Annual Meeting and the American Academy of Allergy,</w:t>
      </w:r>
      <w:r>
        <w:rPr>
          <w:rFonts w:ascii="Arial" w:cs="Arial" w:eastAsia="Arial" w:hAnsi="Arial"/>
          <w:sz w:val="18"/>
          <w:szCs w:val="18"/>
          <w:color w:val="231F20"/>
        </w:rPr>
        <w:t xml:space="preserve"> </w:t>
      </w:r>
      <w:r>
        <w:rPr>
          <w:rFonts w:ascii="Arial" w:cs="Arial" w:eastAsia="Arial" w:hAnsi="Arial"/>
          <w:sz w:val="18"/>
          <w:szCs w:val="18"/>
          <w:color w:val="000000"/>
        </w:rPr>
        <w:t xml:space="preserve">Asthma and Immunology, or AAAAI 2017 Annual Meeting in March 2017.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8"/>
          <w:szCs w:val="18"/>
          <w:i w:val="1"/>
          <w:iCs w:val="1"/>
          <w:color w:val="000000"/>
        </w:rPr>
        <w:t>ex vivo</w:t>
      </w:r>
      <w:r>
        <w:rPr>
          <w:rFonts w:ascii="Arial" w:cs="Arial" w:eastAsia="Arial" w:hAnsi="Arial"/>
          <w:sz w:val="18"/>
          <w:szCs w:val="18"/>
          <w:color w:val="000000"/>
        </w:rPr>
        <w:t xml:space="preserve"> pharmacodynamic assay. We have subsequently completed enrollment of a Phase 2a trial of ANB020 in 12 moderate-to-severe adult atopic dermatitis patients</w:t>
      </w:r>
      <w:r>
        <w:rPr>
          <w:rFonts w:ascii="Arial" w:cs="Arial" w:eastAsia="Arial" w:hAnsi="Arial"/>
          <w:sz w:val="18"/>
          <w:szCs w:val="18"/>
          <w:color w:val="231F20"/>
        </w:rPr>
        <w:t>, under an</w:t>
      </w:r>
      <w:r>
        <w:rPr>
          <w:rFonts w:ascii="Arial" w:cs="Arial" w:eastAsia="Arial" w:hAnsi="Arial"/>
          <w:sz w:val="18"/>
          <w:szCs w:val="18"/>
          <w:color w:val="000000"/>
        </w:rPr>
        <w:t xml:space="preserve"> </w:t>
      </w:r>
      <w:r>
        <w:rPr>
          <w:rFonts w:ascii="Arial" w:cs="Arial" w:eastAsia="Arial" w:hAnsi="Arial"/>
          <w:sz w:val="18"/>
          <w:szCs w:val="18"/>
          <w:color w:val="231F20"/>
        </w:rPr>
        <w:t xml:space="preserve">approved Clinical Trial Authorisation, or CTA, with the U.K. Medicines and Healthcare Products Regulatory Agency, or MHRA, and announced top-line data from an interim analysis of this trial in October 2017 </w:t>
      </w:r>
      <w:r>
        <w:rPr>
          <w:rFonts w:ascii="Arial" w:cs="Arial" w:eastAsia="Arial" w:hAnsi="Arial"/>
          <w:sz w:val="18"/>
          <w:szCs w:val="18"/>
          <w:color w:val="000000"/>
        </w:rPr>
        <w:t>and presented data upon completion of this trial at the 2018 AAD Annual Meeting in February 2018</w:t>
      </w:r>
      <w:r>
        <w:rPr>
          <w:rFonts w:ascii="Arial" w:cs="Arial" w:eastAsia="Arial" w:hAnsi="Arial"/>
          <w:sz w:val="18"/>
          <w:szCs w:val="18"/>
          <w:color w:val="231F20"/>
        </w:rPr>
        <w:t>, and additionally plan to present completed data from this trial at the 2018 European Academy of Allergy and Clinical Immunology, or EAACI, Congress on May 29, 2018.</w:t>
      </w:r>
    </w:p>
    <w:p>
      <w:pPr>
        <w:spacing w:after="0" w:line="197" w:lineRule="exact"/>
        <w:rPr>
          <w:sz w:val="20"/>
          <w:szCs w:val="20"/>
          <w:color w:val="auto"/>
        </w:rPr>
      </w:pPr>
    </w:p>
    <w:p>
      <w:pPr>
        <w:ind w:firstLine="446"/>
        <w:spacing w:after="0" w:line="267" w:lineRule="auto"/>
        <w:rPr>
          <w:sz w:val="20"/>
          <w:szCs w:val="20"/>
          <w:color w:val="auto"/>
        </w:rPr>
      </w:pPr>
      <w:r>
        <w:rPr>
          <w:rFonts w:ascii="Arial" w:cs="Arial" w:eastAsia="Arial" w:hAnsi="Arial"/>
          <w:sz w:val="17"/>
          <w:szCs w:val="17"/>
          <w:color w:val="auto"/>
        </w:rPr>
        <w:t>The Phase 2a proof-of-concept trial enrolled 12 moderate-to-severe adult atopic dermatitis patients, who were initially administered a single intravenous dose of placebo within 14 days of enrollment, followed by a single intravenous 300mg dose of ANB020 one week subsequent to placebo. Prior to enrollment in the study, patients were not permitted any systemic or topical medications during a wash-out period. Patients were permitted to take a monitored amount of topical corticosteroids as rescue therapy during the course of the study. Clinical response was assessed by a number of endpoints, including the improvement of each patient’s Eczema Area Severity Index, or EASI, score, a tool used to measure the extent and severity of atopic dermatitis, at key time points following ANB020 administration relative to their enrollment baseline. The average baseline EASI score at enrollment amongst all 12 patients was 32. All 12 patients were inadequately controlled by topical</w:t>
      </w:r>
    </w:p>
    <w:p>
      <w:pPr>
        <w:spacing w:after="0" w:line="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corticosteroids and seven were treated with systemic non-biologic anti-inflammatory therapy prior to the screening washout period of this trial. Other efficacy endpoints measured during the trial included the 5-dimensional pruritus, or 5-D pruritus, scale which measures itchiness, the 5-point Investigator’s Global Assessment, or IGA, scale, Dermatology Life Quality Index, or DLQI, and the SCORing Atopic Dermatitis, or SCORAD, scale. Exploratory mechanistic biomarkers included granulocyte infiltration and cytokine levels in localized skin lesions measured five days after placebo administration and five days after ANB020 administration.</w:t>
      </w:r>
    </w:p>
    <w:p>
      <w:pPr>
        <w:spacing w:after="0" w:line="19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believe these data demonstrate proof-of-concept for ANB020 in moderate-to-severe adult atopic dermatitis and suggest that ANB020 may provide meaningful differentiation in terms of patient convenience. As further development in atopic dermatitis, we have initiated a Phase 2b randomized, double-blinded, placebo-controlled, multi-dose study in 300 adults patients with moderate-to-severe atopic dermatitis to assess different dose levels and dosing frequencies of subcutaneously-administered ANB020, with data expected in 2019.</w:t>
      </w:r>
    </w:p>
    <w:p>
      <w:pPr>
        <w:spacing w:after="0" w:line="187"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We have completed enrollment, under our Investigational New Drug application, or IND, with the U.S. Food and Drug Administration, or FDA, of a Phase 2a trial of ANB020 in adult peanut allergy patients and have announced positive proof-of-concept top-line data in March 2018 based upon an interim analysis of this trial. The focus of our peanut allergy program and this trial was adults with severe peanut allergy and hence we required that each of the 20 adult peanut allergy patients enrolled had a documented clinical history of anaphylaxis. The baseline peanut tolerance of each patient was evaluated at enrollment using a blinded, placebo-controlled oral food challenge, or OFC, according to PRACTALL guidelines, where each patient experienced dose limiting symptoms at or before a cumulative 500mg dose of peanut protein. Each OFC was limited to a maximum tested 500mg for safety reasons in this first clinical study of ANB020 in patients with a history of anaphylaxis. Patients were subsequently randomized on a 3:1 basis to receive a single intravenous 300mg dose of ANB020 or placebo at 14 days following the baseline OFC, and then administered a second OFC at 14 days after dosing. Each OFC was limited to a maximum of 500mg cumulative peanut dose. Symptom severity was assessed for each patient at the baseline OFC and compared to the symptoms observed during the day 14 OFC in accordance with the trial protocol. Adjudication of symptom severity using PRACTALL guidelines was conducted by an independent, blinded assessor that was not involved in performing the baseline or day 14 OFC.</w:t>
      </w:r>
    </w:p>
    <w:p>
      <w:pPr>
        <w:spacing w:after="0" w:line="183"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The interim analysis focused on patients with moderate-to-severe baseline symptoms, which is the patient population that we intended to target for this trial and for future development of ANB020 in adult peanut allergy. Thirteen ANB020 dosed and three placebo dosed patients exhibiting moderate-to-severe symptoms, as defined in the peanut allergy PRACTALL guidelines, during the baseline OFC were included in the analysis, while two ANB020 dosed and two placebo dosed patients with mild baseline symptoms, as defined in the peanut allergy PRACTALL guidelines, were excluded. The average age and baseline peanut tolerability of moderate-to-severe baseline patients was 31 and 236mg, respectively, which were consistent with the age and baseline peanut tolerance of all 20 enrolled patients. In patients with moderate-to-severe symptoms at baseline, six of thirteen (46%) patients administered a single dose of ANB020 improved peanut tolerance at the day 14 OFC to the maximum tested cumulative 500mg dose, compared to none of the placebo dosed patients. Amongst the patients excluded due to mild baseline symptoms, one ANB020 dosed patient and two placebo dosed patients improved peanut tolerance to the 500mg cumulative dose at the day 14 OFC. Concomitant allergy symptoms, typically overlapping with peanut allergy, including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9" w:name="page20"/>
    <w:bookmarkEnd w:id="19"/>
    <w:p>
      <w:pPr>
        <w:ind w:right="260"/>
        <w:spacing w:after="0" w:line="293" w:lineRule="auto"/>
        <w:rPr>
          <w:sz w:val="20"/>
          <w:szCs w:val="20"/>
          <w:color w:val="auto"/>
        </w:rPr>
      </w:pPr>
      <w:r>
        <w:rPr>
          <w:rFonts w:ascii="Arial" w:cs="Arial" w:eastAsia="Arial" w:hAnsi="Arial"/>
          <w:sz w:val="16"/>
          <w:szCs w:val="16"/>
          <w:color w:val="auto"/>
        </w:rPr>
        <w:t>urticaria, pruritus, rhinitis, asthma flares and other nut allergies, observed as part of adverse event reporting for the trial, occurred in four of five (80%) patients following placebo administration but only occurred in one of fifteen (7%) patients after ANB020 dosing. ANB020 was generally well tolerated during the study and all 20 patients remain enrolled with no dropouts. No serious adverse events have been reported and the most frequent treatment-emergent adverse event reported in ANB020 dosed patients was headache in four of fifteen patients, of which three were mild cases and one was moderate severity, while the most frequently reported adverse events in placebo dosed patients were mild and moderate severity allergy-related events in four of five patients. The company plans to report detailed data from this trial at a future medical conference following study completion.</w:t>
      </w:r>
    </w:p>
    <w:p>
      <w:pPr>
        <w:spacing w:after="0" w:line="165"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We plan to continue development of ANB020 into a randomized, double-blinded, placebo-controlled subcutaneously-administered multi-dose Phase 2b trial in moderate-to-severe baseline adult peanut allergy patients. We anticipate that the severity symptoms of all patients will be adjudicated during baseline and post-treatment oral food challenges by an independent, blinded assessor in accordance with PRACTALL guidelines, and any patients that demonstrate mild severity of symptoms at baseline will be excluded from enrollment in the trial. We also intend to assess peanut tolerance to a higher cumulative peanut tolerance limit than the 500mg limit in the Phase 2a trial during post-treatment oral food challenge(s).</w:t>
      </w:r>
    </w:p>
    <w:p>
      <w:pPr>
        <w:spacing w:after="0" w:line="173"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We are enrolling under a CTA with the MHRA in the United Kingdom, and under an IND with the FDA in the United States, a randomized, placebo controlled Phase 2a trial of ANB020 in 24 severe adult eosinophilic asthma patients, where efficacy will be assessed using improvement in Forced Expiratory Volume in One Second after administration of a single dose of ANB020 or placebo. Top-line data are anticipated during the third quarter of 2018.</w:t>
      </w:r>
    </w:p>
    <w:p>
      <w:pPr>
        <w:spacing w:after="0" w:line="147" w:lineRule="exact"/>
        <w:rPr>
          <w:sz w:val="20"/>
          <w:szCs w:val="20"/>
          <w:color w:val="auto"/>
        </w:rPr>
      </w:pPr>
    </w:p>
    <w:p>
      <w:pPr>
        <w:ind w:right="120" w:firstLine="446"/>
        <w:spacing w:after="0" w:line="270" w:lineRule="auto"/>
        <w:rPr>
          <w:sz w:val="20"/>
          <w:szCs w:val="20"/>
          <w:color w:val="auto"/>
        </w:rPr>
      </w:pPr>
      <w:r>
        <w:rPr>
          <w:rFonts w:ascii="Arial" w:cs="Arial" w:eastAsia="Arial" w:hAnsi="Arial"/>
          <w:sz w:val="17"/>
          <w:szCs w:val="17"/>
          <w:color w:val="auto"/>
        </w:rPr>
        <w:t xml:space="preserve">ANB019 inhibits the interleukin-36 receptor, or IL-36R, for the treatment of rare inflammatory diseases including generalized pustular psoriasis, or GPP, and palmoplantar pustulosis, or PPP, previously referred to as palmo-plantar pustular psoriasis. </w:t>
      </w:r>
      <w:r>
        <w:rPr>
          <w:rFonts w:ascii="Arial" w:cs="Arial" w:eastAsia="Arial" w:hAnsi="Arial"/>
          <w:sz w:val="17"/>
          <w:szCs w:val="17"/>
          <w:color w:val="231F20"/>
        </w:rPr>
        <w:t>We have completed, under an approved Clinical Trial</w:t>
      </w:r>
      <w:r>
        <w:rPr>
          <w:rFonts w:ascii="Arial" w:cs="Arial" w:eastAsia="Arial" w:hAnsi="Arial"/>
          <w:sz w:val="17"/>
          <w:szCs w:val="17"/>
          <w:color w:val="auto"/>
        </w:rPr>
        <w:t xml:space="preserve"> </w:t>
      </w:r>
      <w:r>
        <w:rPr>
          <w:rFonts w:ascii="Arial" w:cs="Arial" w:eastAsia="Arial" w:hAnsi="Arial"/>
          <w:sz w:val="17"/>
          <w:szCs w:val="17"/>
          <w:color w:val="231F20"/>
        </w:rPr>
        <w:t xml:space="preserve">Notification, or CTN, a Phase 1 clinical trial in healthy volunteers, </w:t>
      </w:r>
      <w:r>
        <w:rPr>
          <w:rFonts w:ascii="Arial" w:cs="Arial" w:eastAsia="Arial" w:hAnsi="Arial"/>
          <w:sz w:val="17"/>
          <w:szCs w:val="17"/>
          <w:color w:val="000000"/>
        </w:rPr>
        <w:t>where 54 subjects are dosed with ANB019 and 18 are dosed with placebo in single and</w:t>
      </w:r>
      <w:r>
        <w:rPr>
          <w:rFonts w:ascii="Arial" w:cs="Arial" w:eastAsia="Arial" w:hAnsi="Arial"/>
          <w:sz w:val="17"/>
          <w:szCs w:val="17"/>
          <w:color w:val="231F20"/>
        </w:rPr>
        <w:t xml:space="preserve"> </w:t>
      </w:r>
      <w:r>
        <w:rPr>
          <w:rFonts w:ascii="Arial" w:cs="Arial" w:eastAsia="Arial" w:hAnsi="Arial"/>
          <w:sz w:val="17"/>
          <w:szCs w:val="17"/>
          <w:color w:val="000000"/>
        </w:rPr>
        <w:t xml:space="preserve">multi-dose cohorts at various subcutaneous and intravenously administered dose levels. In November 2017, we announced positive top-line results from an interim analysis, which showed favorable safety, pharmacokinetics and pharmacodynamic properties that support advancement of ANB019 into Phase 2 studies for GPP and PPP during 2018. In addition we plan to present completed data from this trial </w:t>
      </w:r>
      <w:r>
        <w:rPr>
          <w:rFonts w:ascii="Arial" w:cs="Arial" w:eastAsia="Arial" w:hAnsi="Arial"/>
          <w:sz w:val="17"/>
          <w:szCs w:val="17"/>
          <w:color w:val="231F20"/>
        </w:rPr>
        <w:t>at the 2018 EAACI Congress on May 29, 2018.</w:t>
      </w:r>
      <w:r>
        <w:rPr>
          <w:rFonts w:ascii="Arial" w:cs="Arial" w:eastAsia="Arial" w:hAnsi="Arial"/>
          <w:sz w:val="17"/>
          <w:szCs w:val="17"/>
          <w:color w:val="000000"/>
        </w:rPr>
        <w:t xml:space="preserve"> We have received clearance of a CTA filing to the MHRA and have subsequently initiated a 10-patient open-label multi-dose Phase 2 study of ANB019 in GPP patients. We anticipate filing an additional CTA application to support the initiation of a placebo-controlled 50-patient multi-dose study of ANB019 in PPP. We further intend to expand these GPP and PPP Phase 2 studies to clinical sites in the United States upon submitting and receiving clearance of an IND with the FDA.</w:t>
      </w:r>
    </w:p>
    <w:p>
      <w:pPr>
        <w:spacing w:after="0" w:line="178" w:lineRule="exact"/>
        <w:rPr>
          <w:sz w:val="20"/>
          <w:szCs w:val="20"/>
          <w:color w:val="auto"/>
        </w:rPr>
      </w:pPr>
    </w:p>
    <w:p>
      <w:pPr>
        <w:jc w:val="both"/>
        <w:ind w:right="160" w:firstLine="446"/>
        <w:spacing w:after="0" w:line="264" w:lineRule="auto"/>
        <w:rPr>
          <w:sz w:val="20"/>
          <w:szCs w:val="20"/>
          <w:color w:val="auto"/>
        </w:rPr>
      </w:pPr>
      <w:r>
        <w:rPr>
          <w:rFonts w:ascii="Arial" w:cs="Arial" w:eastAsia="Arial" w:hAnsi="Arial"/>
          <w:sz w:val="18"/>
          <w:szCs w:val="18"/>
          <w:color w:val="auto"/>
        </w:rPr>
        <w:t>In addition to ANB020 and ANB019, our wholly-owned pipeline includes novel checkpoint receptor agonist antibodies that we believe are applicable for treatment of certain autoimmune diseases where immune checkpoint receptors are insufficiently activated, and have demonstrated efficacy in an animal model of graft-versus-host disease, where we anticipate filing an IND in the second half of 2019.</w:t>
      </w:r>
    </w:p>
    <w:p>
      <w:pPr>
        <w:spacing w:after="0" w:line="181" w:lineRule="exact"/>
        <w:rPr>
          <w:sz w:val="20"/>
          <w:szCs w:val="20"/>
          <w:color w:val="auto"/>
        </w:rPr>
      </w:pPr>
    </w:p>
    <w:p>
      <w:pPr>
        <w:jc w:val="both"/>
        <w:ind w:right="40" w:firstLine="446"/>
        <w:spacing w:after="0" w:line="312" w:lineRule="auto"/>
        <w:rPr>
          <w:sz w:val="20"/>
          <w:szCs w:val="20"/>
          <w:color w:val="auto"/>
        </w:rPr>
      </w:pPr>
      <w:r>
        <w:rPr>
          <w:rFonts w:ascii="Arial" w:cs="Arial" w:eastAsia="Arial" w:hAnsi="Arial"/>
          <w:sz w:val="16"/>
          <w:szCs w:val="16"/>
          <w:color w:val="auto"/>
        </w:rPr>
        <w:t xml:space="preserve">In addition to our wholly-owned antibody programs, multiple AnaptysBio-developed antibody programs have been advanced to preclinical and clinical milestones under our collaborations. Our collaborations include an immuno-oncology-focused collaboration with </w:t>
      </w:r>
      <w:r>
        <w:rPr>
          <w:rFonts w:ascii="Arial" w:cs="Arial" w:eastAsia="Arial" w:hAnsi="Arial"/>
          <w:sz w:val="16"/>
          <w:szCs w:val="16"/>
          <w:color w:val="231F20"/>
        </w:rPr>
        <w:t>TESARO, Inc. and TESARO Development,</w:t>
      </w:r>
      <w:r>
        <w:rPr>
          <w:rFonts w:ascii="Arial" w:cs="Arial" w:eastAsia="Arial" w:hAnsi="Arial"/>
          <w:sz w:val="16"/>
          <w:szCs w:val="16"/>
          <w:color w:val="auto"/>
        </w:rPr>
        <w:t xml:space="preserve"> </w:t>
      </w:r>
      <w:r>
        <w:rPr>
          <w:rFonts w:ascii="Arial" w:cs="Arial" w:eastAsia="Arial" w:hAnsi="Arial"/>
          <w:sz w:val="16"/>
          <w:szCs w:val="16"/>
          <w:color w:val="231F20"/>
        </w:rPr>
        <w:t xml:space="preserve">Ltd., or collectively, TESARO </w:t>
      </w:r>
      <w:r>
        <w:rPr>
          <w:rFonts w:ascii="Arial" w:cs="Arial" w:eastAsia="Arial" w:hAnsi="Arial"/>
          <w:sz w:val="16"/>
          <w:szCs w:val="16"/>
          <w:color w:val="000000"/>
        </w:rPr>
        <w:t>and an inflammation-focused collaboration with Celgene Corporation, or Celgene, as discussed in Part I—Note 4 above.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0" w:name="page21"/>
    <w:bookmarkEnd w:id="20"/>
    <w:p>
      <w:pPr>
        <w:ind w:left="500"/>
        <w:spacing w:after="0"/>
        <w:rPr>
          <w:sz w:val="20"/>
          <w:szCs w:val="20"/>
          <w:color w:val="auto"/>
        </w:rPr>
      </w:pPr>
      <w:r>
        <w:rPr>
          <w:rFonts w:ascii="Arial" w:cs="Arial" w:eastAsia="Arial" w:hAnsi="Arial"/>
          <w:sz w:val="18"/>
          <w:szCs w:val="18"/>
          <w:color w:val="auto"/>
        </w:rPr>
        <w:t>The following table summarizes certain key information about our wholly-owned and partnered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17" w:lineRule="exact"/>
        <w:rPr>
          <w:sz w:val="20"/>
          <w:szCs w:val="20"/>
          <w:color w:val="auto"/>
        </w:rPr>
      </w:pPr>
    </w:p>
    <w:p>
      <w:pPr>
        <w:ind w:right="260" w:firstLine="446"/>
        <w:spacing w:after="0" w:line="264" w:lineRule="auto"/>
        <w:rPr>
          <w:sz w:val="20"/>
          <w:szCs w:val="20"/>
          <w:color w:val="auto"/>
        </w:rPr>
      </w:pPr>
      <w:r>
        <w:rPr>
          <w:rFonts w:ascii="Arial" w:cs="Arial" w:eastAsia="Arial" w:hAnsi="Arial"/>
          <w:sz w:val="18"/>
          <w:szCs w:val="18"/>
          <w:color w:val="auto"/>
        </w:rPr>
        <w:t>On January 31, 2017, we completed an initial public offering, or IPO, selling 5,750,000 shares of common stock at $15.00 per share, which included 750,000 shares sold pursuant to the exercise of the underwriters' options to purchase additional shares. Proceeds from our initial public offering net of underwriting discounts and commissions were $80.2 million.</w:t>
      </w:r>
    </w:p>
    <w:p>
      <w:pPr>
        <w:spacing w:after="0" w:line="73"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color w:val="auto"/>
        </w:rPr>
        <w:t>On October 17, 2017, we completed an underwritten public offering of 3,000,000 shares of common stock. All shares were offered by us at a price to the public of $68.50 per share. The aggregate net proceeds received by us from the offering were $194.7 million, net of underwriting discounts and commissions. As part of the underwritten public offering, on November 14, 2017, the underwriters exercised an additional 271,380 shares of common stock at a price to the public of $68.50 per share for aggregate net proceeds of $17.6 million, net of underwriting discounts and commissions.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We have not generated any revenue from product sales. Our revenue has been derived from amortization of upfront payments, research and development funding and milestone payments under collaboration and license agreements with our collaborators. From inception through March 31, 2018, we have received $76.6 million in non-dilutive funding from our collaborators.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76" w:right="239" w:bottom="1440" w:gutter="0" w:footer="0" w:header="0"/>
        </w:sectPr>
      </w:pPr>
    </w:p>
    <w:bookmarkStart w:id="21" w:name="page22"/>
    <w:bookmarkEnd w:id="21"/>
    <w:p>
      <w:pPr>
        <w:ind w:right="680" w:firstLine="446"/>
        <w:spacing w:after="0" w:line="308" w:lineRule="auto"/>
        <w:rPr>
          <w:sz w:val="20"/>
          <w:szCs w:val="20"/>
          <w:color w:val="auto"/>
        </w:rPr>
      </w:pPr>
      <w:r>
        <w:rPr>
          <w:rFonts w:ascii="Arial" w:cs="Arial" w:eastAsia="Arial" w:hAnsi="Arial"/>
          <w:sz w:val="17"/>
          <w:szCs w:val="17"/>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38" w:lineRule="exact"/>
        <w:rPr>
          <w:sz w:val="20"/>
          <w:szCs w:val="20"/>
          <w:color w:val="auto"/>
        </w:rPr>
      </w:pPr>
    </w:p>
    <w:p>
      <w:pPr>
        <w:ind w:left="880" w:right="100" w:hanging="440"/>
        <w:spacing w:after="0" w:line="308"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arrangements with third-parties, such as Contract Research Organizations, or CROs, consultants, members of our scientific and therapeutic advisory boards, and Contract Manufacturing Organizations, or CMOs;</w:t>
      </w:r>
    </w:p>
    <w:p>
      <w:pPr>
        <w:spacing w:after="0" w:line="38" w:lineRule="exact"/>
        <w:rPr>
          <w:rFonts w:ascii="Arial" w:cs="Arial" w:eastAsia="Arial" w:hAnsi="Arial"/>
          <w:sz w:val="17"/>
          <w:szCs w:val="17"/>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17" w:lineRule="exact"/>
        <w:rPr>
          <w:rFonts w:ascii="Arial" w:cs="Arial" w:eastAsia="Arial" w:hAnsi="Arial"/>
          <w:sz w:val="18"/>
          <w:szCs w:val="18"/>
          <w:color w:val="auto"/>
        </w:rPr>
      </w:pPr>
    </w:p>
    <w:p>
      <w:pPr>
        <w:ind w:left="880" w:right="78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We expense research and development costs as incurred. We account for advance payments for goods and services that will be used in future research and development activities as expenses when the service has been performed or when the goods have been received.</w:t>
      </w:r>
    </w:p>
    <w:p>
      <w:pPr>
        <w:spacing w:after="0" w:line="170" w:lineRule="exact"/>
        <w:rPr>
          <w:sz w:val="20"/>
          <w:szCs w:val="20"/>
          <w:color w:val="auto"/>
        </w:rPr>
      </w:pPr>
    </w:p>
    <w:p>
      <w:pPr>
        <w:ind w:right="80" w:firstLine="446"/>
        <w:spacing w:after="0" w:line="276" w:lineRule="auto"/>
        <w:rPr>
          <w:sz w:val="20"/>
          <w:szCs w:val="20"/>
          <w:color w:val="auto"/>
        </w:rPr>
      </w:pPr>
      <w:r>
        <w:rPr>
          <w:rFonts w:ascii="Arial" w:cs="Arial" w:eastAsia="Arial" w:hAnsi="Arial"/>
          <w:sz w:val="17"/>
          <w:szCs w:val="17"/>
          <w:color w:val="auto"/>
        </w:rPr>
        <w:t>We recognize the Australian Research and Development Tax Incentive, or the Tax Incentive, as a reduction of research and development expense. The amounts are determined on a cost reimbursement basis based on our eligible research and development expenditures and are non-refundable, provided that in order to qualify for the Australian benefits we must have revenue of less than AUD $20.0 million during the reimbursable period and cannot be controlled by income tax exempt entities. The Tax Incentive is recognized when there is reasonable assurance that the Tax Incentive will be received, the relevant expenditure has been incurred, and the amount can be reliably measured.</w:t>
      </w:r>
    </w:p>
    <w:p>
      <w:pPr>
        <w:spacing w:after="0" w:line="173" w:lineRule="exact"/>
        <w:rPr>
          <w:sz w:val="20"/>
          <w:szCs w:val="20"/>
          <w:color w:val="auto"/>
        </w:rPr>
      </w:pPr>
    </w:p>
    <w:p>
      <w:pPr>
        <w:ind w:right="100" w:firstLine="446"/>
        <w:spacing w:after="0" w:line="279" w:lineRule="auto"/>
        <w:rPr>
          <w:sz w:val="20"/>
          <w:szCs w:val="20"/>
          <w:color w:val="auto"/>
        </w:rPr>
      </w:pPr>
      <w:r>
        <w:rPr>
          <w:rFonts w:ascii="Arial" w:cs="Arial" w:eastAsia="Arial" w:hAnsi="Arial"/>
          <w:sz w:val="17"/>
          <w:szCs w:val="17"/>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and pharmacology studies, drug product manufacturing and clinical trials.</w:t>
      </w:r>
    </w:p>
    <w:p>
      <w:pPr>
        <w:spacing w:after="0" w:line="171"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 xml:space="preserve">We have conducted initial clinical trials for ANB020 and ANB019 in Australia to rapidly enter into first-in-human studies and benefit from research and development-related financial incentives related to the development of ANB020 and ANB019. We </w:t>
      </w:r>
      <w:r>
        <w:rPr>
          <w:rFonts w:ascii="Arial" w:cs="Arial" w:eastAsia="Arial" w:hAnsi="Arial"/>
          <w:sz w:val="18"/>
          <w:szCs w:val="18"/>
          <w:color w:val="231F20"/>
        </w:rPr>
        <w:t>have completed a Phase 2a trial of ANB020 in patients</w:t>
      </w:r>
      <w:r>
        <w:rPr>
          <w:rFonts w:ascii="Arial" w:cs="Arial" w:eastAsia="Arial" w:hAnsi="Arial"/>
          <w:sz w:val="18"/>
          <w:szCs w:val="18"/>
          <w:color w:val="auto"/>
        </w:rPr>
        <w:t xml:space="preserve"> </w:t>
      </w:r>
      <w:r>
        <w:rPr>
          <w:rFonts w:ascii="Arial" w:cs="Arial" w:eastAsia="Arial" w:hAnsi="Arial"/>
          <w:sz w:val="18"/>
          <w:szCs w:val="18"/>
          <w:color w:val="231F20"/>
        </w:rPr>
        <w:t xml:space="preserve">with moderate-to-severe adult atopic dermatitis and have completed enrollment in </w:t>
      </w:r>
      <w:r>
        <w:rPr>
          <w:rFonts w:ascii="Arial" w:cs="Arial" w:eastAsia="Arial" w:hAnsi="Arial"/>
          <w:sz w:val="18"/>
          <w:szCs w:val="18"/>
          <w:color w:val="000000"/>
        </w:rPr>
        <w:t>our</w:t>
      </w:r>
      <w:r>
        <w:rPr>
          <w:rFonts w:ascii="Arial" w:cs="Arial" w:eastAsia="Arial" w:hAnsi="Arial"/>
          <w:sz w:val="18"/>
          <w:szCs w:val="18"/>
          <w:color w:val="231F20"/>
        </w:rPr>
        <w:t xml:space="preserve"> Phase 2a trial of ANB020 in patients with severe adult peanut allergy. W</w:t>
      </w:r>
      <w:r>
        <w:rPr>
          <w:rFonts w:ascii="Arial" w:cs="Arial" w:eastAsia="Arial" w:hAnsi="Arial"/>
          <w:sz w:val="18"/>
          <w:szCs w:val="18"/>
          <w:color w:val="000000"/>
        </w:rPr>
        <w:t>e are also enrolling under a CTA with MHRA in the United Kingdom, and have been cleared under our IND with the FDA to enroll in the United States, a</w:t>
      </w:r>
      <w:r>
        <w:rPr>
          <w:rFonts w:ascii="Arial" w:cs="Arial" w:eastAsia="Arial" w:hAnsi="Arial"/>
          <w:sz w:val="18"/>
          <w:szCs w:val="18"/>
          <w:color w:val="231F20"/>
        </w:rPr>
        <w:t xml:space="preserve"> </w:t>
      </w:r>
      <w:r>
        <w:rPr>
          <w:rFonts w:ascii="Arial" w:cs="Arial" w:eastAsia="Arial" w:hAnsi="Arial"/>
          <w:sz w:val="18"/>
          <w:szCs w:val="18"/>
          <w:color w:val="000000"/>
        </w:rPr>
        <w:t>Phase 2a trial of ANB020 in 24 severe adult eosinophilic asthma patients</w:t>
      </w:r>
      <w:r>
        <w:rPr>
          <w:rFonts w:ascii="Arial" w:cs="Arial" w:eastAsia="Arial" w:hAnsi="Arial"/>
          <w:sz w:val="18"/>
          <w:szCs w:val="18"/>
          <w:color w:val="231F20"/>
        </w:rPr>
        <w:t>. W</w:t>
      </w:r>
      <w:r>
        <w:rPr>
          <w:rFonts w:ascii="Arial" w:cs="Arial" w:eastAsia="Arial" w:hAnsi="Arial"/>
          <w:sz w:val="18"/>
          <w:szCs w:val="18"/>
          <w:color w:val="000000"/>
        </w:rPr>
        <w:t>e expect our research and development expenses to be higher for the foreseeable future as we advance our product candidates into clinical development.</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140" w:firstLine="446"/>
        <w:spacing w:after="0" w:line="312" w:lineRule="auto"/>
        <w:rPr>
          <w:sz w:val="20"/>
          <w:szCs w:val="20"/>
          <w:color w:val="auto"/>
        </w:rPr>
      </w:pPr>
      <w:r>
        <w:rPr>
          <w:rFonts w:ascii="Arial" w:cs="Arial" w:eastAsia="Arial" w:hAnsi="Arial"/>
          <w:sz w:val="16"/>
          <w:szCs w:val="16"/>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Interest expense consists of floating interest payments and amortization of discounts on our outstanding notes payable relating to our Loan and Security Agreement with Oxford Finance LLC and Silicon Valley Bank, as amended, which we refer to as the Loan Agreement.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in Fair Value of Liability for Preferred Stock Warrants</w:t>
      </w:r>
    </w:p>
    <w:p>
      <w:pPr>
        <w:spacing w:after="0" w:line="117" w:lineRule="exact"/>
        <w:rPr>
          <w:sz w:val="20"/>
          <w:szCs w:val="20"/>
          <w:color w:val="auto"/>
        </w:rPr>
      </w:pPr>
    </w:p>
    <w:p>
      <w:pPr>
        <w:ind w:right="120" w:firstLine="446"/>
        <w:spacing w:after="0" w:line="279" w:lineRule="auto"/>
        <w:rPr>
          <w:sz w:val="20"/>
          <w:szCs w:val="20"/>
          <w:color w:val="auto"/>
        </w:rPr>
      </w:pPr>
      <w:r>
        <w:rPr>
          <w:rFonts w:ascii="Arial" w:cs="Arial" w:eastAsia="Arial" w:hAnsi="Arial"/>
          <w:sz w:val="17"/>
          <w:szCs w:val="17"/>
          <w:color w:val="auto"/>
        </w:rPr>
        <w:t>Income and expense from the change in fair value of our liability for preferred stock warrants results from the valuation of our outstanding warrants to purchase shares of our preferred stock, which are valued at each period end. Upon the closing of our initial public offering on January 31, 2017, the warrants to purchase shares of preferred stock converted into warrants to purchase shares of common stock, the preferred stock warrant liabilities have been reclassified to additional paid-in capital and periodic fair value adjustments are no longer required.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76" w:right="239" w:bottom="1440" w:gutter="0" w:footer="0" w:header="0"/>
        </w:sectPr>
      </w:pPr>
    </w:p>
    <w:bookmarkStart w:id="22" w:name="page23"/>
    <w:bookmarkEnd w:id="22"/>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420" w:firstLine="446"/>
        <w:spacing w:after="0" w:line="277" w:lineRule="auto"/>
        <w:rPr>
          <w:sz w:val="20"/>
          <w:szCs w:val="20"/>
          <w:color w:val="auto"/>
        </w:rPr>
      </w:pPr>
      <w:r>
        <w:rPr>
          <w:rFonts w:ascii="Arial" w:cs="Arial" w:eastAsia="Arial" w:hAnsi="Arial"/>
          <w:sz w:val="18"/>
          <w:szCs w:val="18"/>
          <w:color w:val="auto"/>
        </w:rPr>
        <w:t>Interest income consists primarily of interest earned on our short-term and long-term investments in available for sale securities, and is recognized when earned.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40" w:firstLine="446"/>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 on March 5, 2018, other than to revenue recognition upon adoption of ASC Topic 606, as discussed below.</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Revenue is recognized in accordance with revenue recognition accounting guidance, which utilizes five basic steps to determine whether revenue can be recognized and to what extent: (i) identify contract with customer; (ii) identify the performance obligation; (iii) determine the transaction price; (iv) allocate the transaction price; and (v) determine the recognition period.</w:t>
      </w:r>
    </w:p>
    <w:p>
      <w:pPr>
        <w:spacing w:after="0" w:line="181"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i w:val="1"/>
          <w:iCs w:val="1"/>
          <w:color w:val="auto"/>
        </w:rPr>
        <w:t xml:space="preserve">Performance Obligations. </w:t>
      </w:r>
      <w:r>
        <w:rPr>
          <w:rFonts w:ascii="Arial" w:cs="Arial" w:eastAsia="Arial" w:hAnsi="Arial"/>
          <w:sz w:val="18"/>
          <w:szCs w:val="18"/>
          <w:color w:val="auto"/>
        </w:rPr>
        <w:t>We evaluate deliverables on a contract by contract basis to determine whether each deliverable represents a good 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transaction price.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performance obligations may include the following:</w:t>
      </w:r>
    </w:p>
    <w:p>
      <w:pPr>
        <w:spacing w:after="0" w:line="225" w:lineRule="exact"/>
        <w:rPr>
          <w:sz w:val="20"/>
          <w:szCs w:val="20"/>
          <w:color w:val="auto"/>
        </w:rPr>
      </w:pPr>
    </w:p>
    <w:p>
      <w:pPr>
        <w:ind w:left="660" w:right="40" w:hanging="314"/>
        <w:spacing w:after="0" w:line="30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46" w:lineRule="exact"/>
        <w:rPr>
          <w:rFonts w:ascii="Arial" w:cs="Arial" w:eastAsia="Arial" w:hAnsi="Arial"/>
          <w:sz w:val="16"/>
          <w:szCs w:val="16"/>
          <w:color w:val="auto"/>
        </w:rPr>
      </w:pPr>
    </w:p>
    <w:p>
      <w:pPr>
        <w:ind w:left="660" w:right="260" w:hanging="314"/>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80" w:lineRule="exact"/>
        <w:rPr>
          <w:rFonts w:ascii="Arial" w:cs="Arial" w:eastAsia="Arial" w:hAnsi="Arial"/>
          <w:sz w:val="18"/>
          <w:szCs w:val="18"/>
          <w:color w:val="auto"/>
        </w:rPr>
      </w:pPr>
    </w:p>
    <w:p>
      <w:pPr>
        <w:jc w:val="both"/>
        <w:ind w:left="660" w:right="160" w:hanging="314"/>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Steering Committee Meetings. The performance obligations under our collaboration and license agreements may also include our participation in a steering committees, which allows us to direct the progression of our discovery programs. As these steering committees would not occur or benefit the customer without the use of our licenses, these are not considered distinct.</w:t>
      </w:r>
    </w:p>
    <w:p>
      <w:pPr>
        <w:spacing w:after="0" w:line="181"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Transaction Price. </w:t>
      </w:r>
      <w:r>
        <w:rPr>
          <w:rFonts w:ascii="Arial" w:cs="Arial" w:eastAsia="Arial" w:hAnsi="Arial"/>
          <w:sz w:val="18"/>
          <w:szCs w:val="18"/>
          <w:color w:val="auto"/>
        </w:rPr>
        <w:t>Our collaboration and license agreements generally include both fixed and variable consideration. Fixed payments, such as those for</w:t>
      </w:r>
      <w:r>
        <w:rPr>
          <w:rFonts w:ascii="Arial" w:cs="Arial" w:eastAsia="Arial" w:hAnsi="Arial"/>
          <w:sz w:val="18"/>
          <w:szCs w:val="18"/>
          <w:i w:val="1"/>
          <w:iCs w:val="1"/>
          <w:color w:val="auto"/>
        </w:rPr>
        <w:t xml:space="preserve"> </w:t>
      </w:r>
      <w:r>
        <w:rPr>
          <w:rFonts w:ascii="Arial" w:cs="Arial" w:eastAsia="Arial" w:hAnsi="Arial"/>
          <w:sz w:val="18"/>
          <w:szCs w:val="18"/>
          <w:color w:val="auto"/>
        </w:rPr>
        <w:t>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3" w:name="page24"/>
    <w:bookmarkEnd w:id="23"/>
    <w:p>
      <w:pPr>
        <w:ind w:right="380"/>
        <w:spacing w:after="0" w:line="277" w:lineRule="auto"/>
        <w:rPr>
          <w:sz w:val="20"/>
          <w:szCs w:val="20"/>
          <w:color w:val="auto"/>
        </w:rPr>
      </w:pPr>
      <w:r>
        <w:rPr>
          <w:rFonts w:ascii="Arial" w:cs="Arial" w:eastAsia="Arial" w:hAnsi="Arial"/>
          <w:sz w:val="18"/>
          <w:szCs w:val="18"/>
          <w:color w:val="auto"/>
        </w:rPr>
        <w:t>development services are updated for actual invoices. Given the nature of our agreements, milestones are estimated using the most likely amount and are evaluated on a quarterly basis. Upon commercialization, royalty payments are recognized in the period incurred.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the Three Months Ended March 31, 2018 and 2017</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440" w:firstLine="486"/>
        <w:spacing w:after="0" w:line="342" w:lineRule="auto"/>
        <w:rPr>
          <w:sz w:val="20"/>
          <w:szCs w:val="20"/>
          <w:color w:val="auto"/>
        </w:rPr>
      </w:pPr>
      <w:r>
        <w:rPr>
          <w:rFonts w:ascii="Arial" w:cs="Arial" w:eastAsia="Arial" w:hAnsi="Arial"/>
          <w:sz w:val="16"/>
          <w:szCs w:val="16"/>
          <w:color w:val="auto"/>
        </w:rPr>
        <w:t>We received no collaboration revenue for either of the three months ended March 31, 2018 or 2017. We expect that any collaboration revenue we generate will continue to fluctuate from period to period as a result of the timing and amount of milestones from our existing collaborations.</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0" w:firstLine="446"/>
        <w:spacing w:after="0" w:line="259" w:lineRule="auto"/>
        <w:rPr>
          <w:sz w:val="20"/>
          <w:szCs w:val="20"/>
          <w:color w:val="auto"/>
        </w:rPr>
      </w:pPr>
      <w:r>
        <w:rPr>
          <w:rFonts w:ascii="Arial" w:cs="Arial" w:eastAsia="Arial" w:hAnsi="Arial"/>
          <w:sz w:val="18"/>
          <w:szCs w:val="18"/>
          <w:color w:val="auto"/>
        </w:rPr>
        <w:t>Research and development expenses were $11.8 million during the three months ended March 31, 2018 compared to $7.9 million during the three months ended March 31, 2017 for an increase of $3.9 million, primarily due to a $1.5 million increase in outside services for preclinical and manufacturing expenses, a $1.2 million increase in clinical expenses, a $1.0 million increase in salaries and related expenses including stock compensation expense and a $0.6 million decrease in Australian tax incentives recognized.</w:t>
      </w:r>
    </w:p>
    <w:p>
      <w:pPr>
        <w:spacing w:after="0" w:line="187"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We expect our research and development expenses to increase as we further advance our development programs which includes entering into additional clinical trials.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80" w:firstLine="567"/>
        <w:spacing w:after="0" w:line="286" w:lineRule="auto"/>
        <w:rPr>
          <w:sz w:val="20"/>
          <w:szCs w:val="20"/>
          <w:color w:val="auto"/>
        </w:rPr>
      </w:pPr>
      <w:r>
        <w:rPr>
          <w:rFonts w:ascii="Arial" w:cs="Arial" w:eastAsia="Arial" w:hAnsi="Arial"/>
          <w:sz w:val="17"/>
          <w:szCs w:val="17"/>
          <w:color w:val="auto"/>
        </w:rPr>
        <w:t>General and administrative expenses were $3.9 million during the three months ended March 31, 2018 compared to $2.1 million during the three months ended March 31, 2017 for an increase of $1.8 million, primarily due to a $1.1 million increase in salaries and related expenses including stock compensation expense, a $0.3 million increase in consulting expenses and a $0.3 million increase in legal expenses.</w:t>
      </w:r>
    </w:p>
    <w:p>
      <w:pPr>
        <w:spacing w:after="0" w:line="166"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Interest expense was $0.5 million and $0.4 million during the three months ended March 31, 2018 and 2017, respectively, and represents effective interest of approximately 12.78% as of March 31, 2018, with an outstanding principal balance of $13.7 million as of March 31, 2018 compared to an effective interest rate of 11.82% as of March 31, 2017 with an outstanding principal balance of $15.0 million.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in Fair Value of Liabilities for Preferred Stock Warrants</w:t>
      </w:r>
    </w:p>
    <w:p>
      <w:pPr>
        <w:spacing w:after="0" w:line="117" w:lineRule="exact"/>
        <w:rPr>
          <w:sz w:val="20"/>
          <w:szCs w:val="20"/>
          <w:color w:val="auto"/>
        </w:rPr>
      </w:pPr>
    </w:p>
    <w:p>
      <w:pPr>
        <w:jc w:val="both"/>
        <w:ind w:right="160" w:firstLine="446"/>
        <w:spacing w:after="0" w:line="312" w:lineRule="auto"/>
        <w:rPr>
          <w:sz w:val="20"/>
          <w:szCs w:val="20"/>
          <w:color w:val="auto"/>
        </w:rPr>
      </w:pPr>
      <w:r>
        <w:rPr>
          <w:rFonts w:ascii="Arial" w:cs="Arial" w:eastAsia="Arial" w:hAnsi="Arial"/>
          <w:sz w:val="16"/>
          <w:szCs w:val="16"/>
          <w:color w:val="auto"/>
        </w:rPr>
        <w:t>The change in fair value of the liabilities for stock warrants resulted in no expense and expense of $1.4 million during the three months ended March 31, 2018 and 2017, respectively. As discussed in Item 1 — Note 1 above, all of the outstanding warrants to purchase shares of preferred stock automatically converted into warrants to purchase shares of common stock upon our IPO and were accounted for as equity from the conversion date forward.</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117" w:lineRule="exact"/>
        <w:rPr>
          <w:sz w:val="20"/>
          <w:szCs w:val="20"/>
          <w:color w:val="auto"/>
        </w:rPr>
      </w:pPr>
    </w:p>
    <w:p>
      <w:pPr>
        <w:ind w:right="100" w:firstLine="446"/>
        <w:spacing w:after="0" w:line="302" w:lineRule="auto"/>
        <w:rPr>
          <w:sz w:val="20"/>
          <w:szCs w:val="20"/>
          <w:color w:val="auto"/>
        </w:rPr>
      </w:pPr>
      <w:r>
        <w:rPr>
          <w:rFonts w:ascii="Arial" w:cs="Arial" w:eastAsia="Arial" w:hAnsi="Arial"/>
          <w:sz w:val="16"/>
          <w:szCs w:val="16"/>
          <w:color w:val="auto"/>
        </w:rPr>
        <w:t>Interest and other income (expense), net was $1.1 million during the three months ended March 31, 2018 and primarily consisted of interest income of approximately $1.2 million from our short-term and long-term investments and foreign exchange losses of approximately $0.1 million related to our Australian subsidiary. Interest and other income (expense), net was $0.3 million during the three months ended March 31, 2017 and primarily consisted of a foreign exchange gain of $0.2 million related to our Australian subsidiary and interest income from our money market fund of $0.1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80" w:firstLine="446"/>
        <w:spacing w:after="0" w:line="264" w:lineRule="auto"/>
        <w:rPr>
          <w:sz w:val="20"/>
          <w:szCs w:val="20"/>
          <w:color w:val="auto"/>
        </w:rPr>
      </w:pPr>
      <w:r>
        <w:rPr>
          <w:rFonts w:ascii="Arial" w:cs="Arial" w:eastAsia="Arial" w:hAnsi="Arial"/>
          <w:sz w:val="18"/>
          <w:szCs w:val="18"/>
          <w:color w:val="auto"/>
        </w:rPr>
        <w:t>From our inception through March 31, 2018, we have received an aggregate of $482.2 million to fund our operations which included $386.5 million from the sale of equity securities, $76.6 million from our collaboration agreements and $19.1 million from venture debt. As of March 31, 2018, we had $310.0 million in cash, cash equivalents and investments.</w:t>
      </w:r>
    </w:p>
    <w:p>
      <w:pPr>
        <w:spacing w:after="0" w:line="181"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rights to payments under our collaboration agreements are our only committed external source of funds.</w:t>
      </w:r>
    </w:p>
    <w:p>
      <w:pPr>
        <w:spacing w:after="0" w:line="188"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181" w:lineRule="exact"/>
        <w:rPr>
          <w:sz w:val="20"/>
          <w:szCs w:val="20"/>
          <w:color w:val="auto"/>
        </w:rPr>
      </w:pPr>
    </w:p>
    <w:p>
      <w:pPr>
        <w:jc w:val="both"/>
        <w:ind w:right="220" w:firstLine="446"/>
        <w:spacing w:after="0" w:line="264" w:lineRule="auto"/>
        <w:rPr>
          <w:sz w:val="20"/>
          <w:szCs w:val="20"/>
          <w:color w:val="auto"/>
        </w:rPr>
      </w:pPr>
      <w:r>
        <w:rPr>
          <w:rFonts w:ascii="Arial" w:cs="Arial" w:eastAsia="Arial" w:hAnsi="Arial"/>
          <w:sz w:val="18"/>
          <w:szCs w:val="18"/>
          <w:color w:val="auto"/>
        </w:rPr>
        <w:t>Under the Loan Agreement, we may borrow up to $15.0 million in three separate draws of $5.0 million each. In January 2016, we amended the Loan Agreement to combine Term B Loans and Term C Loans for a total of $10.0 million available for draw and delay the principal repayments for our Term A Loans from February 1, 2016 until February 1, 2017.</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2016, we further amended the Loan Agreement to (i) allow for the Term B Loans and Term C Loans to be drawn on December 30, 2016,</w:t>
      </w:r>
    </w:p>
    <w:p>
      <w:pPr>
        <w:spacing w:after="0" w:line="46" w:lineRule="exact"/>
        <w:rPr>
          <w:sz w:val="20"/>
          <w:szCs w:val="20"/>
          <w:color w:val="auto"/>
        </w:rPr>
      </w:pPr>
    </w:p>
    <w:p>
      <w:pPr>
        <w:ind w:right="20" w:firstLine="8"/>
        <w:spacing w:after="0" w:line="254"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 principal repayments of all Term Loans until February 1, 2018 and (iii) amend the interest rate for each Term Loan. The Term B Loans and the Term C Loans were drawn on December 30, 2016; principal repayments began in February 2018. As of March 31, 2018, there are 22 equal monthly principal and interest payments remaining on the Term Loans, with final maturity in January 2020. The Term Loans bear interest equal to the greater of 3-month U.S. LIBOR plus 6.37% or 7.3%. The rate was 8.39% as of March 31, 2018.</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40" w:firstLine="446"/>
        <w:spacing w:after="0" w:line="312" w:lineRule="auto"/>
        <w:rPr>
          <w:sz w:val="20"/>
          <w:szCs w:val="20"/>
          <w:color w:val="auto"/>
        </w:rPr>
      </w:pPr>
      <w:r>
        <w:rPr>
          <w:rFonts w:ascii="Arial" w:cs="Arial" w:eastAsia="Arial" w:hAnsi="Arial"/>
          <w:sz w:val="16"/>
          <w:szCs w:val="16"/>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believe our use of CROs and CMOs provides us with flexibility in managing our spending and limits our cost commitments at any point in time.</w:t>
      </w:r>
    </w:p>
    <w:p>
      <w:pPr>
        <w:spacing w:after="0" w:line="39"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As a publicly traded company, we incur significant legal, accounting and other expenses that were not required as a private company. In addition, the Sarbanes-Oxley Act of 2002, as well as rules adopted by the SEC and The Nasdaq Global Stock Market, require public companies to implement specified corporate governance practices that were inapplicable to us as a private company. We expect these rules and regulations will increase our legal and financial compliance costs and will make certain activities more time-consuming and costly.</w:t>
      </w:r>
    </w:p>
    <w:p>
      <w:pPr>
        <w:spacing w:after="0" w:line="187"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color w:val="auto"/>
        </w:rPr>
        <w:t>Cash, cash equivalents and investments totaled $310.0 million as of March 31, 2018, compared to $324.3 million as of December 31, 2017. We believe that our existing cash, cash equivalents and investments will fund our current operating plan through the end of 2019.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88" w:right="23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color w:val="auto"/>
        </w:rPr>
        <w:t>The following table summarizes our cash flows for the three months ended March 31, 2018 and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1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87"/>
        </w:trPr>
        <w:tc>
          <w:tcPr>
            <w:tcW w:w="7160" w:type="dxa"/>
            <w:vAlign w:val="bottom"/>
            <w:tcBorders>
              <w:bottom w:val="single" w:sz="8" w:color="CFF0FC"/>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FF0FC"/>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FF0FC"/>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cash (used in) provided by:</w:t>
            </w:r>
          </w:p>
        </w:tc>
        <w:tc>
          <w:tcPr>
            <w:tcW w:w="3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(12,478)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2,146</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(27,085)</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(29,231)</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80,704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82,087</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(11,715)</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45,522</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57,237</w:t>
            </w:r>
          </w:p>
        </w:tc>
        <w:tc>
          <w:tcPr>
            <w:tcW w:w="0" w:type="dxa"/>
            <w:vAlign w:val="bottom"/>
          </w:tcPr>
          <w:p>
            <w:pPr>
              <w:spacing w:after="0"/>
              <w:rPr>
                <w:sz w:val="1"/>
                <w:szCs w:val="1"/>
                <w:color w:val="auto"/>
              </w:rPr>
            </w:pPr>
          </w:p>
        </w:tc>
      </w:tr>
      <w:tr>
        <w:trPr>
          <w:trHeight w:val="20"/>
        </w:trPr>
        <w:tc>
          <w:tcPr>
            <w:tcW w:w="7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446"/>
        <w:spacing w:after="0" w:line="279" w:lineRule="auto"/>
        <w:rPr>
          <w:sz w:val="20"/>
          <w:szCs w:val="20"/>
          <w:color w:val="auto"/>
        </w:rPr>
      </w:pPr>
      <w:r>
        <w:rPr>
          <w:rFonts w:ascii="Arial" w:cs="Arial" w:eastAsia="Arial" w:hAnsi="Arial"/>
          <w:sz w:val="17"/>
          <w:szCs w:val="17"/>
          <w:color w:val="auto"/>
        </w:rPr>
        <w:t>Net cash used in operating activities during the three months ended March 31, 2018 of $12.5 million was primarily due to our net loss of $15.1 million, adjusted for addbacks for non-cash expenses of $2.4 million which includes stock-based compensation. Net cash used in operating activities during the three months ended March 31, 2017 of $8.1 million was primarily due to our net loss of $11.4 million, adjusted for non-cash expenses of $2.4 million which includes stock-based compensation and warrant liability fair value adjustments and increases in working capital of $0.9 million.</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Cash provided by investing activities during the three months ended March 31, 2018 primarily relates to the maturities of our investments, for which proceeds were used to acquire additional investments, while the cash used in investing activities during the three months ended March 31, 2017 was primarily due to the acquisition of investments.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The cash used in financing activities during the three months ended March 31, 2018 of $1.4 million was primarily related to principal payments of $1.3 million made on our Term Loans. Cash provided by financing activities during the three months ended March 31, 2017 of $80.7 million was primarily related to net proceeds of $80.2 million from our IPO as well as proceeds of $0.9 million from the issuance of common stock as a result of option and warrant exercises, offset by $0.4 million in payments for offering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584"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color w:val="auto"/>
        </w:rPr>
        <w:t>As of March 31, 2018, there have been no material changes surrounding our market risk, including interest rate risk, foreign currency exchange risk, and inflation risk, from the discussion provided in Item 7A. Quantitative and Qualitative Disclosures About Market Risk of our Fiscal 2017 Form 10-K.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446"/>
        <w:spacing w:after="0" w:line="272"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March 31, 2018,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spacing w:after="0" w:line="178" w:lineRule="exact"/>
        <w:rPr>
          <w:sz w:val="20"/>
          <w:szCs w:val="20"/>
          <w:color w:val="auto"/>
        </w:rPr>
      </w:pPr>
    </w:p>
    <w:p>
      <w:pPr>
        <w:ind w:right="460" w:firstLine="446"/>
        <w:spacing w:after="0" w:line="342" w:lineRule="auto"/>
        <w:rPr>
          <w:sz w:val="20"/>
          <w:szCs w:val="20"/>
          <w:color w:val="auto"/>
        </w:rPr>
      </w:pPr>
      <w:r>
        <w:rPr>
          <w:rFonts w:ascii="Arial" w:cs="Arial" w:eastAsia="Arial" w:hAnsi="Arial"/>
          <w:sz w:val="16"/>
          <w:szCs w:val="16"/>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13a-15(f) and 15d-15(f) of the Exchange Act that occurred during the quarter ended March 31, 2018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364" w:right="3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firstLine="486"/>
        <w:spacing w:after="0" w:line="312"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report,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72" w:lineRule="exact"/>
        <w:rPr>
          <w:sz w:val="20"/>
          <w:szCs w:val="20"/>
          <w:color w:val="auto"/>
        </w:rPr>
      </w:pPr>
    </w:p>
    <w:p>
      <w:pPr>
        <w:ind w:right="200" w:firstLine="446"/>
        <w:spacing w:after="0" w:line="312" w:lineRule="auto"/>
        <w:rPr>
          <w:sz w:val="20"/>
          <w:szCs w:val="20"/>
          <w:color w:val="auto"/>
        </w:rPr>
      </w:pPr>
      <w:r>
        <w:rPr>
          <w:rFonts w:ascii="Arial" w:cs="Arial" w:eastAsia="Arial" w:hAnsi="Arial"/>
          <w:sz w:val="16"/>
          <w:szCs w:val="16"/>
          <w:color w:val="auto"/>
        </w:rPr>
        <w:t>We are using our proprietary technology platform to develop therapeutic antibodies, including our wholly-owned product candidates,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47" w:lineRule="exact"/>
        <w:rPr>
          <w:sz w:val="20"/>
          <w:szCs w:val="20"/>
          <w:color w:val="auto"/>
        </w:rPr>
      </w:pPr>
    </w:p>
    <w:p>
      <w:pPr>
        <w:ind w:right="60" w:firstLine="446"/>
        <w:spacing w:after="0" w:line="273" w:lineRule="auto"/>
        <w:rPr>
          <w:sz w:val="20"/>
          <w:szCs w:val="20"/>
          <w:color w:val="auto"/>
        </w:rPr>
      </w:pPr>
      <w:r>
        <w:rPr>
          <w:rFonts w:ascii="Arial" w:cs="Arial" w:eastAsia="Arial" w:hAnsi="Arial"/>
          <w:sz w:val="17"/>
          <w:szCs w:val="17"/>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product candidates in later clinical trials may fail to demonstrate sufficient efficacy despite having progressed through initial clinical trials, even if certain analyses of primary or secondary endpoints in those early trials showed trends toward efficacy or, in some analyses, nominal statistical significance. In addition, the results of clinical trials in one set of patients or line of treatment may not be predictive of those obtained in another.</w:t>
      </w:r>
    </w:p>
    <w:p>
      <w:pPr>
        <w:spacing w:after="0" w:line="178"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62" w:lineRule="exact"/>
        <w:rPr>
          <w:sz w:val="20"/>
          <w:szCs w:val="20"/>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64" w:right="259" w:bottom="1440" w:gutter="0" w:footer="0" w:header="0"/>
        </w:sectPr>
      </w:pPr>
    </w:p>
    <w:bookmarkStart w:id="28" w:name="page29"/>
    <w:bookmarkEnd w:id="28"/>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225"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firstLine="446"/>
        <w:spacing w:after="0" w:line="238" w:lineRule="auto"/>
        <w:rPr>
          <w:sz w:val="20"/>
          <w:szCs w:val="20"/>
          <w:color w:val="auto"/>
        </w:rPr>
      </w:pPr>
      <w:r>
        <w:rPr>
          <w:rFonts w:ascii="Arial" w:cs="Arial" w:eastAsia="Arial" w:hAnsi="Arial"/>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29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73" w:lineRule="exact"/>
        <w:rPr>
          <w:sz w:val="20"/>
          <w:szCs w:val="20"/>
          <w:color w:val="auto"/>
        </w:rPr>
      </w:pPr>
    </w:p>
    <w:p>
      <w:pPr>
        <w:ind w:right="100" w:firstLine="446"/>
        <w:spacing w:after="0" w:line="241" w:lineRule="auto"/>
        <w:rPr>
          <w:sz w:val="20"/>
          <w:szCs w:val="20"/>
          <w:color w:val="auto"/>
        </w:rPr>
      </w:pPr>
      <w:r>
        <w:rPr>
          <w:rFonts w:ascii="Arial" w:cs="Arial" w:eastAsia="Arial" w:hAnsi="Arial"/>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90" w:lineRule="exact"/>
        <w:rPr>
          <w:sz w:val="20"/>
          <w:szCs w:val="20"/>
          <w:color w:val="auto"/>
        </w:rPr>
      </w:pPr>
    </w:p>
    <w:p>
      <w:pPr>
        <w:ind w:right="80" w:firstLine="486"/>
        <w:spacing w:after="0" w:line="238" w:lineRule="auto"/>
        <w:rPr>
          <w:sz w:val="20"/>
          <w:szCs w:val="20"/>
          <w:color w:val="auto"/>
        </w:rPr>
      </w:pPr>
      <w:r>
        <w:rPr>
          <w:rFonts w:ascii="Arial" w:cs="Arial" w:eastAsia="Arial" w:hAnsi="Arial"/>
          <w:sz w:val="18"/>
          <w:szCs w:val="18"/>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recently completed our Phase 1 clinical trial for ANB020 in healthy humans, and initiated patient trials with ANB020 are currently ongoing. We also have only recently completed a Phase 1 clinical trial with ANB019.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189"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In the single-ascending dose segment of our Phase 1 clinical trial of ANB020, the most common adverse events were upper respiratory tract infection and headache, and we observed one case of severe neutropenia in one individual, which was acute and not persistent, and was not determined to be drug-related. No adverse events were determined to be drug related. All safety information generated under the single-ascending dose segment of our Phase 1 clinical trial was included in the US IND and UK CTA submissions which were subsequently cleared by the FDA and MHRA, respectively. In our Phase 2a proof-of-concept trial for moderate-to-severe adult atopic dermatitis patients, one serious adverse event of severe depression was reported by a single patient on Day 140 post-ANB020, in a subject who had preexisting depression; this adverse event was not determined to be drug related. The most frequent treatment-emergent adverse events reported were mild dizziness in patients subsequent to placebo dosing, and mild headache in patients post-ANB020 administration. Subjects in our ongoing and planned clinical trials may in the future suffer significant adverse events or other side effects not observed in our preclinical studies or in our Phase 1 or Phase 2a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76" w:right="259" w:bottom="1440" w:gutter="0" w:footer="0" w:header="0"/>
        </w:sectPr>
      </w:pPr>
    </w:p>
    <w:bookmarkStart w:id="29" w:name="page30"/>
    <w:bookmarkEnd w:id="29"/>
    <w:p>
      <w:pPr>
        <w:ind w:right="80"/>
        <w:spacing w:after="0" w:line="255" w:lineRule="auto"/>
        <w:rPr>
          <w:sz w:val="20"/>
          <w:szCs w:val="20"/>
          <w:color w:val="auto"/>
        </w:rPr>
      </w:pPr>
      <w:r>
        <w:rPr>
          <w:rFonts w:ascii="Arial" w:cs="Arial" w:eastAsia="Arial" w:hAnsi="Arial"/>
          <w:sz w:val="18"/>
          <w:szCs w:val="18"/>
          <w:color w:val="auto"/>
        </w:rPr>
        <w:t>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93" w:lineRule="exact"/>
        <w:rPr>
          <w:sz w:val="20"/>
          <w:szCs w:val="20"/>
          <w:color w:val="auto"/>
        </w:rPr>
      </w:pPr>
    </w:p>
    <w:p>
      <w:pPr>
        <w:ind w:right="40" w:firstLine="446"/>
        <w:spacing w:after="0" w:line="254" w:lineRule="auto"/>
        <w:rPr>
          <w:sz w:val="20"/>
          <w:szCs w:val="20"/>
          <w:color w:val="auto"/>
        </w:rPr>
      </w:pPr>
      <w:r>
        <w:rPr>
          <w:rFonts w:ascii="Arial" w:cs="Arial" w:eastAsia="Arial" w:hAnsi="Arial"/>
          <w:sz w:val="17"/>
          <w:szCs w:val="17"/>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82" w:lineRule="exact"/>
        <w:rPr>
          <w:sz w:val="20"/>
          <w:szCs w:val="20"/>
          <w:color w:val="auto"/>
        </w:rPr>
      </w:pPr>
    </w:p>
    <w:p>
      <w:pPr>
        <w:ind w:right="180" w:firstLine="446"/>
        <w:spacing w:after="0" w:line="279" w:lineRule="auto"/>
        <w:rPr>
          <w:sz w:val="20"/>
          <w:szCs w:val="20"/>
          <w:color w:val="auto"/>
        </w:rPr>
      </w:pPr>
      <w:r>
        <w:rPr>
          <w:rFonts w:ascii="Arial" w:cs="Arial" w:eastAsia="Arial" w:hAnsi="Arial"/>
          <w:sz w:val="17"/>
          <w:szCs w:val="17"/>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76"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2"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CTA to conduct clinical trials for ANB020 in the United States and United Kingdom, respectively, and a CTN for ANB019 in Australia,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the Therapeutic Goods Administration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80" w:lineRule="exact"/>
        <w:rPr>
          <w:sz w:val="20"/>
          <w:szCs w:val="20"/>
          <w:color w:val="auto"/>
        </w:rPr>
      </w:pPr>
    </w:p>
    <w:p>
      <w:pPr>
        <w:ind w:right="40" w:firstLine="446"/>
        <w:spacing w:after="0" w:line="268" w:lineRule="auto"/>
        <w:rPr>
          <w:sz w:val="20"/>
          <w:szCs w:val="20"/>
          <w:color w:val="auto"/>
        </w:rPr>
      </w:pPr>
      <w:r>
        <w:rPr>
          <w:rFonts w:ascii="Arial" w:cs="Arial" w:eastAsia="Arial" w:hAnsi="Arial"/>
          <w:sz w:val="17"/>
          <w:szCs w:val="17"/>
          <w:color w:val="auto"/>
        </w:rPr>
        <w:t>Even if we or our collaborators initiate and complete clinical trials for our product candidates, we will not be permitted to market our product candidates in the United States until we receive approval of a Biologics License Application, or BLA, from the FDA, and will not be permitted to market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our CTN for ANB020 in Australia, obtaining clearance for our IND for a Phase 2a clinical trial of ANB020 in severe adult peanut allergy in the United States, obtaining written responses from the FDA regarding a pre-IND submission for a study of ANB020 in moderate to severe atopic dermatitis, obtaining clearance for our CTA for two Phase 2a clinical trials of ANB020 in both moderate-to-severe adult atopic dermatitis and adult eosinophilic asthma patients in the United Kingdom and obtaining clearance for our CTN for ANB019 in Australia, we have not yet discussed with the FDA or foreign regulatory authorities the development plans for any of our product candidates or the designs of any of our later-stage clinical studies. We thus may not have the full benefit of the FDA’s or foreign regulatory authorities’ current thinking on trial designs or product development for our target indications. For example, we believe a small pivotal trial, potentially with approximately 100 patients, may be sufficient to demonstrate substantial evidence of efficacy of ANB019 in generalized pustular psoriasis, or GPP, patients. However, we have not yet discussed clinical trial design for this indication with the FDA, and the FDA may disagree with our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30" w:name="page31"/>
    <w:bookmarkEnd w:id="30"/>
    <w:p>
      <w:pPr>
        <w:spacing w:after="0" w:line="257" w:lineRule="auto"/>
        <w:rPr>
          <w:sz w:val="20"/>
          <w:szCs w:val="20"/>
          <w:color w:val="auto"/>
        </w:rPr>
      </w:pPr>
      <w:r>
        <w:rPr>
          <w:rFonts w:ascii="Arial" w:cs="Arial" w:eastAsia="Arial" w:hAnsi="Arial"/>
          <w:sz w:val="18"/>
          <w:szCs w:val="18"/>
          <w:color w:val="auto"/>
        </w:rPr>
        <w:t>proposed trial design, including the number of patients necessary to demonstrate efficacy and/or may require us to conduct more than one pivotal study in order to obtain approval of a BLA. In addition, with regard to ANB020, although we intend for our investigators for our Phase 2a study to enroll only patients with severe adult peanut allergy, the protocol does not preclude enrollment of patients with non-severe adult peanut allergy. It is possible that our investigator could enroll patients with non-severe peanut allergy, which could provide us with less information than anticipated with regard to ANB020’s effect on severe peanut allergy.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Preclinical studies and clinical trials are expensive, difficult to design and implement, can take many years to complete and are uncertain as to outcome.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Products, on average, take 10 to 15 years to be developed from the time they are discovered to the time they are approved and available for treating patients.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start or end of a clinical trial is often delayed or halted for many reasons, including:</w:t>
      </w:r>
    </w:p>
    <w:p>
      <w:pPr>
        <w:spacing w:after="0" w:line="103" w:lineRule="exact"/>
        <w:rPr>
          <w:sz w:val="20"/>
          <w:szCs w:val="20"/>
          <w:color w:val="auto"/>
        </w:rPr>
      </w:pPr>
    </w:p>
    <w:p>
      <w:pPr>
        <w:ind w:left="880" w:right="54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clinical trial operations or site by the FDA or other regulatory authorities;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17" w:lineRule="exact"/>
        <w:rPr>
          <w:rFonts w:ascii="Arial" w:cs="Arial" w:eastAsia="Arial" w:hAnsi="Arial"/>
          <w:sz w:val="18"/>
          <w:szCs w:val="18"/>
          <w:color w:val="auto"/>
        </w:rPr>
      </w:pPr>
    </w:p>
    <w:p>
      <w:pPr>
        <w:ind w:left="880" w:right="40" w:hanging="440"/>
        <w:spacing w:after="0" w:line="264"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73"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clinical trial protocols;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25" w:lineRule="exact"/>
        <w:rPr>
          <w:sz w:val="20"/>
          <w:szCs w:val="20"/>
          <w:color w:val="auto"/>
        </w:rPr>
      </w:pPr>
    </w:p>
    <w:p>
      <w:pPr>
        <w:ind w:right="120" w:firstLine="446"/>
        <w:spacing w:after="0" w:line="29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17" w:lineRule="exact"/>
        <w:rPr>
          <w:sz w:val="20"/>
          <w:szCs w:val="20"/>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880" w:right="40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 obtain approval for indications or patient populations that are not as broad as intended or desired;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584" w:right="279" w:bottom="1440" w:gutter="0" w:footer="0" w:header="0"/>
        </w:sectPr>
      </w:pPr>
    </w:p>
    <w:bookmarkStart w:id="31" w:name="page32"/>
    <w:bookmarkEnd w:id="31"/>
    <w:p>
      <w:pPr>
        <w:ind w:right="560"/>
        <w:spacing w:after="0" w:line="266" w:lineRule="auto"/>
        <w:rPr>
          <w:sz w:val="20"/>
          <w:szCs w:val="20"/>
          <w:color w:val="auto"/>
        </w:rPr>
      </w:pPr>
      <w:r>
        <w:rPr>
          <w:rFonts w:ascii="Arial" w:cs="Arial" w:eastAsia="Arial" w:hAnsi="Arial"/>
          <w:sz w:val="18"/>
          <w:szCs w:val="18"/>
          <w:b w:val="1"/>
          <w:bCs w:val="1"/>
          <w:color w:val="auto"/>
        </w:rPr>
        <w:t>We may not be successful in our efforts to use our technology platform to expand our pipeline of product candidates and develop marketable products.</w:t>
      </w:r>
    </w:p>
    <w:p>
      <w:pPr>
        <w:spacing w:after="0" w:line="58" w:lineRule="exact"/>
        <w:rPr>
          <w:sz w:val="20"/>
          <w:szCs w:val="20"/>
          <w:color w:val="auto"/>
        </w:rPr>
      </w:pPr>
    </w:p>
    <w:p>
      <w:pPr>
        <w:ind w:right="120" w:firstLine="446"/>
        <w:spacing w:after="0" w:line="253"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81" w:lineRule="exact"/>
        <w:rPr>
          <w:sz w:val="20"/>
          <w:szCs w:val="20"/>
          <w:color w:val="auto"/>
        </w:rPr>
      </w:pPr>
    </w:p>
    <w:p>
      <w:pPr>
        <w:ind w:right="40" w:firstLine="446"/>
        <w:spacing w:after="0" w:line="238"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9" w:lineRule="exact"/>
        <w:rPr>
          <w:sz w:val="20"/>
          <w:szCs w:val="20"/>
          <w:color w:val="auto"/>
        </w:rPr>
      </w:pPr>
    </w:p>
    <w:p>
      <w:pPr>
        <w:ind w:right="1140"/>
        <w:spacing w:after="0" w:line="296" w:lineRule="auto"/>
        <w:rPr>
          <w:sz w:val="20"/>
          <w:szCs w:val="20"/>
          <w:color w:val="auto"/>
        </w:rPr>
      </w:pPr>
      <w:r>
        <w:rPr>
          <w:rFonts w:ascii="Arial" w:cs="Arial" w:eastAsia="Arial" w:hAnsi="Arial"/>
          <w:sz w:val="17"/>
          <w:szCs w:val="17"/>
          <w:b w:val="1"/>
          <w:bCs w:val="1"/>
          <w:color w:val="auto"/>
        </w:rPr>
        <w:t>We have recently commenced clinical development of ANB020 and ANB019, and have no other history of conducting clinical trials or commercializing biotechnology products, which may make it difficult to evaluate the prospects for our future viability.</w:t>
      </w:r>
    </w:p>
    <w:p>
      <w:pPr>
        <w:spacing w:after="0" w:line="35" w:lineRule="exact"/>
        <w:rPr>
          <w:sz w:val="20"/>
          <w:szCs w:val="20"/>
          <w:color w:val="auto"/>
        </w:rPr>
      </w:pPr>
    </w:p>
    <w:p>
      <w:pPr>
        <w:ind w:firstLine="446"/>
        <w:spacing w:after="0" w:line="238" w:lineRule="auto"/>
        <w:rPr>
          <w:sz w:val="20"/>
          <w:szCs w:val="20"/>
          <w:color w:val="auto"/>
        </w:rPr>
      </w:pPr>
      <w:r>
        <w:rPr>
          <w:rFonts w:ascii="Arial" w:cs="Arial" w:eastAsia="Arial" w:hAnsi="Arial"/>
          <w:sz w:val="18"/>
          <w:szCs w:val="18"/>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95" w:lineRule="exact"/>
        <w:rPr>
          <w:sz w:val="20"/>
          <w:szCs w:val="20"/>
          <w:color w:val="auto"/>
        </w:rPr>
      </w:pPr>
    </w:p>
    <w:p>
      <w:pPr>
        <w:jc w:val="both"/>
        <w:ind w:right="620" w:firstLine="446"/>
        <w:spacing w:after="0" w:line="248"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74" w:lineRule="exact"/>
        <w:rPr>
          <w:sz w:val="20"/>
          <w:szCs w:val="20"/>
          <w:color w:val="auto"/>
        </w:rPr>
      </w:pPr>
    </w:p>
    <w:p>
      <w:pPr>
        <w:ind w:left="880" w:right="100" w:hanging="440"/>
        <w:spacing w:after="0" w:line="262"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61" w:lineRule="exact"/>
        <w:rPr>
          <w:rFonts w:ascii="Arial" w:cs="Arial" w:eastAsia="Arial" w:hAnsi="Arial"/>
          <w:sz w:val="18"/>
          <w:szCs w:val="18"/>
          <w:color w:val="auto"/>
        </w:rPr>
      </w:pPr>
    </w:p>
    <w:p>
      <w:pPr>
        <w:ind w:left="880" w:right="600" w:hanging="440"/>
        <w:spacing w:after="0" w:line="262"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1"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688" w:right="299" w:bottom="1440" w:gutter="0" w:footer="0" w:header="0"/>
        </w:sectPr>
      </w:pPr>
    </w:p>
    <w:bookmarkStart w:id="32" w:name="page33"/>
    <w:bookmarkEnd w:id="32"/>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880" w:right="160" w:hanging="440"/>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880" w:right="120" w:hanging="440"/>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62" w:lineRule="exact"/>
        <w:rPr>
          <w:rFonts w:ascii="Arial" w:cs="Arial" w:eastAsia="Arial" w:hAnsi="Arial"/>
          <w:sz w:val="18"/>
          <w:szCs w:val="18"/>
          <w:color w:val="auto"/>
        </w:rPr>
      </w:pPr>
    </w:p>
    <w:p>
      <w:pPr>
        <w:ind w:left="880" w:right="140" w:hanging="440"/>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100" w:firstLine="446"/>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47"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5"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8"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76" w:right="239" w:bottom="1440" w:gutter="0" w:footer="0" w:header="0"/>
        </w:sectPr>
      </w:pPr>
    </w:p>
    <w:bookmarkStart w:id="33" w:name="page34"/>
    <w:bookmarkEnd w:id="33"/>
    <w:p>
      <w:pPr>
        <w:ind w:right="60" w:firstLine="446"/>
        <w:spacing w:after="0" w:line="286"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and reslizumab (Cinqair; Teva), both of which the FDA has approved for the add-on maintenance treatment in patients with severe eosinophilic asthma; antibodies such as benralizumab (AstraZeneca) that bind the IL-5 receptor; antibodies that bind to IL-13 such as lebrikizumab (Roche), tralokinumab (AstraZeneca) and anrukinzumab (Pfizer), which are in clinical testing; antibodies that bind the IL-4 receptor alpha chain, such as dupilumab (Regeneron, Sanofi) and AMG 317 (Amgen) each in clinical testing, ST2-binding antibodies including Roche’s RG6149, GSK’s GSK3772847 and Regeneron’s REGN3500 each in clinical development for asthma and related conditions, a recently announced an IL-33 related program (MEDI3506) in a Phase 1 clinical trial indicated for chronic obstructive pulmonary disease and an anti-TSLP antibody called tezepelumab (AMG 157, MEDI9929) being developed by Amgen and AstraZeneca for asthma and atopic dermatitis. For peanut allergy, our competitors include DBV Technologies, which is developing transdermal products for tolerization of food allergies, while Aimmune Therapeutics is developing oral products for peanut allergy desensitization. For atopic dermatitis, our competitors include dupilumab (Dupixent, Regeneron, Sanofi), which has been approved by the FDA, crisaborole (EUCRISA, Pfizer), which has recently been approved by the FDA, VTP-38543 (Vitae, acquired by Allergan), and JAK inhibitors such as baricitinib, PF-04965842 and upadacitinib under development by Lilly/Incyte, Pfizer and Abbvie, respectively.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and canakinumab (Ilaris, Novartis) which bind IL-1 beta and BI-655130 (Boehringer Ingelheim).</w:t>
      </w:r>
    </w:p>
    <w:p>
      <w:pPr>
        <w:spacing w:after="0" w:line="385"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BLA. To date, several biosimilar products have been approved under the BPCIA, but no interchangeable biological products have been approved.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79" w:lineRule="exact"/>
        <w:rPr>
          <w:sz w:val="20"/>
          <w:szCs w:val="20"/>
          <w:color w:val="auto"/>
        </w:rPr>
      </w:pPr>
    </w:p>
    <w:p>
      <w:pPr>
        <w:ind w:right="40" w:firstLine="446"/>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78"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4" w:name="page35"/>
    <w:bookmarkEnd w:id="34"/>
    <w:p>
      <w:pPr>
        <w:ind w:right="480"/>
        <w:spacing w:after="0" w:line="282" w:lineRule="auto"/>
        <w:rPr>
          <w:sz w:val="20"/>
          <w:szCs w:val="20"/>
          <w:color w:val="auto"/>
        </w:rPr>
      </w:pPr>
      <w:r>
        <w:rPr>
          <w:rFonts w:ascii="Arial" w:cs="Arial" w:eastAsia="Arial" w:hAnsi="Arial"/>
          <w:sz w:val="18"/>
          <w:szCs w:val="18"/>
          <w:b w:val="1"/>
          <w:bCs w:val="1"/>
          <w:color w:val="auto"/>
        </w:rPr>
        <w:t>Our product candidates may not achieve adequate market acceptance among physicians, patients, healthcare payors and others in the medical community necessary for commercial success.</w:t>
      </w:r>
    </w:p>
    <w:p>
      <w:pPr>
        <w:spacing w:after="0" w:line="58"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73" w:lineRule="exact"/>
        <w:rPr>
          <w:sz w:val="20"/>
          <w:szCs w:val="20"/>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880" w:right="22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 including any similar generic treatments;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00" w:lineRule="exact"/>
        <w:rPr>
          <w:sz w:val="20"/>
          <w:szCs w:val="20"/>
          <w:color w:val="auto"/>
        </w:rPr>
      </w:pPr>
    </w:p>
    <w:p>
      <w:pPr>
        <w:spacing w:after="0" w:line="201"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or derive sufficient revenue from that product candidate and may not become or remain profitable.</w:t>
      </w:r>
    </w:p>
    <w:p>
      <w:pPr>
        <w:spacing w:after="0" w:line="275"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34"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ANB019 for the treatment of GPP or PPP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178"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62" w:lineRule="exact"/>
        <w:rPr>
          <w:sz w:val="20"/>
          <w:szCs w:val="20"/>
          <w:color w:val="auto"/>
        </w:rPr>
      </w:pPr>
    </w:p>
    <w:p>
      <w:pPr>
        <w:ind w:left="880" w:right="520" w:hanging="440"/>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not receive marketing approval if their safe and effective use depends on a companion diagnostic; and</w:t>
      </w:r>
    </w:p>
    <w:p>
      <w:pPr>
        <w:spacing w:after="0" w:line="117" w:lineRule="exact"/>
        <w:rPr>
          <w:rFonts w:ascii="Arial" w:cs="Arial" w:eastAsia="Arial" w:hAnsi="Arial"/>
          <w:sz w:val="18"/>
          <w:szCs w:val="18"/>
          <w:color w:val="auto"/>
        </w:rPr>
      </w:pPr>
    </w:p>
    <w:p>
      <w:pPr>
        <w:ind w:left="880" w:right="500" w:hanging="440"/>
        <w:spacing w:after="0" w:line="308"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688" w:right="259" w:bottom="1440" w:gutter="0" w:footer="0" w:header="0"/>
        </w:sectPr>
      </w:pPr>
    </w:p>
    <w:bookmarkStart w:id="35" w:name="page36"/>
    <w:bookmarkEnd w:id="35"/>
    <w:p>
      <w:pPr>
        <w:ind w:right="340" w:firstLine="446"/>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29"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4" w:lineRule="exact"/>
        <w:rPr>
          <w:sz w:val="20"/>
          <w:szCs w:val="20"/>
          <w:color w:val="auto"/>
        </w:rPr>
      </w:pPr>
    </w:p>
    <w:p>
      <w:pPr>
        <w:ind w:right="120" w:firstLine="446"/>
        <w:spacing w:after="0" w:line="271" w:lineRule="auto"/>
        <w:rPr>
          <w:sz w:val="20"/>
          <w:szCs w:val="20"/>
          <w:color w:val="auto"/>
        </w:rPr>
      </w:pPr>
      <w:r>
        <w:rPr>
          <w:rFonts w:ascii="Arial" w:cs="Arial" w:eastAsia="Arial" w:hAnsi="Arial"/>
          <w:sz w:val="17"/>
          <w:szCs w:val="17"/>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current good manufacturing practices, or cGMPs, the FDA may deny BLA approval until the deficiencies are corrected or we replace the manufacturer in our BLA with a manufacturer that is in compliance.</w:t>
      </w:r>
    </w:p>
    <w:p>
      <w:pPr>
        <w:spacing w:after="0" w:line="179"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78"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 we will need to transfer to another manufacturer and complete the manufacturing validation process, which can be lengthy. If we are able to adequately validate and scale-up the manufacturing process for our product candidates with a contract manufacturer, we will still need to negotiate with such contract manufacturer an agreement for commercial supply and it is not certain we will be able to come to agreement on terms acceptable to us.</w:t>
      </w:r>
    </w:p>
    <w:p>
      <w:pPr>
        <w:spacing w:after="0" w:line="297"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Results from our initial Phase 2a clinical trials of ANB020 may not be representative of the results we will experience in later Phase 2b and registration trials. If our later clinical trials are unsuccessful, ANB020 may be delayed in development or fail entirely, which would have a material adverse impact on our business.</w:t>
      </w:r>
    </w:p>
    <w:p>
      <w:pPr>
        <w:spacing w:after="0" w:line="180" w:lineRule="exact"/>
        <w:rPr>
          <w:sz w:val="20"/>
          <w:szCs w:val="20"/>
          <w:color w:val="auto"/>
        </w:rPr>
      </w:pPr>
    </w:p>
    <w:p>
      <w:pPr>
        <w:ind w:right="100" w:firstLine="446"/>
        <w:spacing w:after="0" w:line="293" w:lineRule="auto"/>
        <w:rPr>
          <w:sz w:val="20"/>
          <w:szCs w:val="20"/>
          <w:color w:val="auto"/>
        </w:rPr>
      </w:pPr>
      <w:r>
        <w:rPr>
          <w:rFonts w:ascii="Arial" w:cs="Arial" w:eastAsia="Arial" w:hAnsi="Arial"/>
          <w:sz w:val="16"/>
          <w:szCs w:val="16"/>
          <w:color w:val="auto"/>
        </w:rPr>
        <w:t>We have elected to structure our initial phase 2a clinical trials in ANB020 as investigational studies that enroll a relatively limited number of patients and are intended to allow us to better assess patient responses and potential efficacy results before designing and commencing phase 2b clinical trials. We believe the results we have observed in the initial phase 2a clinical trials of ANB020 in atopic dermatitis and peanut allergy suggest a reasonable basis for continuing development of ANB020 in these indications through larger phase 2b clinical trials. However, our phase 2a trials involved relatively small patient populations, for example 12 patients in our phase 2a trial in atopic dermatitis and 20 patients in our phase 2a trial in peanut allergy, and the results we have observed in these smaller patient populations may not be predictive of results we will experience in later studies.</w:t>
      </w:r>
    </w:p>
    <w:p>
      <w:pPr>
        <w:spacing w:after="0" w:line="165" w:lineRule="exact"/>
        <w:rPr>
          <w:sz w:val="20"/>
          <w:szCs w:val="20"/>
          <w:color w:val="auto"/>
        </w:rPr>
      </w:pPr>
    </w:p>
    <w:p>
      <w:pPr>
        <w:ind w:right="40" w:firstLine="446"/>
        <w:spacing w:after="0" w:line="302" w:lineRule="auto"/>
        <w:rPr>
          <w:sz w:val="20"/>
          <w:szCs w:val="20"/>
          <w:color w:val="auto"/>
        </w:rPr>
      </w:pPr>
      <w:r>
        <w:rPr>
          <w:rFonts w:ascii="Arial" w:cs="Arial" w:eastAsia="Arial" w:hAnsi="Arial"/>
          <w:sz w:val="16"/>
          <w:szCs w:val="16"/>
          <w:color w:val="auto"/>
        </w:rPr>
        <w:t>In addition, later studies may also include different design elements, for example, different dosing protocols or, in the case of studies in moderate-to-severe baseline peanut allergy, screening patients on the basis of baseline OFC symptom severity and testing peanut tolerance to a higher cumulative protein dose in one or more OFC, that could contribute to us experiencing different results than we have observed in our phase 2a trials. In addition, the initial results we have reported from our phase 2a clinical trials have included interim analyses and top-line results, which may not accurately predict the final results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6" w:name="page37"/>
    <w:bookmarkEnd w:id="36"/>
    <w:p>
      <w:pPr>
        <w:spacing w:after="0" w:line="255" w:lineRule="auto"/>
        <w:rPr>
          <w:sz w:val="20"/>
          <w:szCs w:val="20"/>
          <w:color w:val="auto"/>
        </w:rPr>
      </w:pPr>
      <w:r>
        <w:rPr>
          <w:rFonts w:ascii="Arial" w:cs="Arial" w:eastAsia="Arial" w:hAnsi="Arial"/>
          <w:sz w:val="18"/>
          <w:szCs w:val="18"/>
          <w:color w:val="auto"/>
        </w:rPr>
        <w:t>clinical trial or the results of future clinical trials. For example, the top-line proof-of-concept results from our Phase 2a trial of ANB020 in adult peanut allergy patients are focused on an interim analysis of data from a subpopulation of subjects, specifically those patients that exhibited moderate-to-severe symptoms during the baseline oral food challenge (OFC), rather than on the primary efficacy endpoint specified in our protocol, which was the difference in total cumulative tolerated peanut dose from baseline to day 14 for ANB020 compared to placebo. The complete final results we report from this clinical trial may also include additional follow up data observed during an OFC administrated to some patients at day 45. Accordingly, the interim results reported for our Phase 2a trial of ANB020 in adult peanut allergy patients may not be representative of the final results we report, and these interim results may not be predictive of the results of future clinical trials.</w:t>
      </w:r>
    </w:p>
    <w:p>
      <w:pPr>
        <w:spacing w:after="0" w:line="81" w:lineRule="exact"/>
        <w:rPr>
          <w:sz w:val="20"/>
          <w:szCs w:val="20"/>
          <w:color w:val="auto"/>
        </w:rPr>
      </w:pPr>
    </w:p>
    <w:p>
      <w:pPr>
        <w:ind w:right="480" w:firstLine="446"/>
        <w:spacing w:after="0" w:line="277" w:lineRule="auto"/>
        <w:rPr>
          <w:sz w:val="20"/>
          <w:szCs w:val="20"/>
          <w:color w:val="auto"/>
        </w:rPr>
      </w:pPr>
      <w:r>
        <w:rPr>
          <w:rFonts w:ascii="Arial" w:cs="Arial" w:eastAsia="Arial" w:hAnsi="Arial"/>
          <w:sz w:val="18"/>
          <w:szCs w:val="18"/>
          <w:color w:val="auto"/>
        </w:rPr>
        <w:t>If our later clinical trials of ANB020 are unsuccessful, whether for one of the reasons mentioned above or otherwise, ANB020 may be delayed in development or fail entirely, which would have a material adverse impact on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1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8"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To date, our revenue has been primarily derived from our research collaboration and license agreements with third parties, including TESARO and Celgene,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88"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color w:val="auto"/>
        </w:rPr>
        <w:t>Since our inception, we have incurred significant operating losses in every year except fiscal year 2014. We had no collaboration revenue and our net loss was $15.1 million for the three months ended March 31, 2018 and our net loss was $11.4 million for the three months ended March 31, 2017, with no collaboration revenue. As of March 31, 2018, we had an accumulated deficit of $100.1 million.</w:t>
      </w:r>
    </w:p>
    <w:p>
      <w:pPr>
        <w:spacing w:after="0" w:line="18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have financed our operations primarily through our initial public offering of common stock in January 2017, our follow-on public offering of common stock in October 2017, private placements of our preferred stock and the issuance of debt. We have devoted substantially all of our efforts to research and development. We have only recently initiated clinical development for two of our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or our collaborators’ ability to:</w:t>
      </w:r>
    </w:p>
    <w:p>
      <w:pPr>
        <w:spacing w:after="0" w:line="84" w:lineRule="exact"/>
        <w:rPr>
          <w:sz w:val="20"/>
          <w:szCs w:val="20"/>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our research and preclinical development of our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40" w:lineRule="exact"/>
        <w:rPr>
          <w:rFonts w:ascii="Arial" w:cs="Arial" w:eastAsia="Arial" w:hAnsi="Arial"/>
          <w:sz w:val="16"/>
          <w:szCs w:val="16"/>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128" w:lineRule="exact"/>
        <w:rPr>
          <w:rFonts w:ascii="Arial" w:cs="Arial" w:eastAsia="Arial" w:hAnsi="Arial"/>
          <w:sz w:val="17"/>
          <w:szCs w:val="17"/>
          <w:color w:val="auto"/>
        </w:rPr>
      </w:pPr>
    </w:p>
    <w:p>
      <w:pPr>
        <w:ind w:left="880" w:right="2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84" w:right="259" w:bottom="1440" w:gutter="0" w:footer="0" w:header="0"/>
        </w:sectPr>
      </w:pPr>
    </w:p>
    <w:bookmarkStart w:id="37" w:name="page38"/>
    <w:bookmarkEnd w:id="37"/>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225" w:lineRule="exact"/>
        <w:rPr>
          <w:sz w:val="20"/>
          <w:szCs w:val="20"/>
          <w:color w:val="auto"/>
        </w:rPr>
      </w:pPr>
    </w:p>
    <w:p>
      <w:pPr>
        <w:ind w:right="140" w:firstLine="446"/>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ANB020, or any of our other product candidates, are approved for commercial sale, we anticipate incurring significant costs associated with the commercial launch of any product candidate.</w:t>
      </w:r>
    </w:p>
    <w:p>
      <w:pPr>
        <w:spacing w:after="0" w:line="188" w:lineRule="exact"/>
        <w:rPr>
          <w:sz w:val="20"/>
          <w:szCs w:val="20"/>
          <w:color w:val="auto"/>
        </w:rPr>
      </w:pPr>
    </w:p>
    <w:p>
      <w:pPr>
        <w:ind w:right="80" w:firstLine="446"/>
        <w:spacing w:after="0" w:line="253" w:lineRule="auto"/>
        <w:rPr>
          <w:sz w:val="20"/>
          <w:szCs w:val="20"/>
          <w:color w:val="auto"/>
        </w:rPr>
      </w:pPr>
      <w:r>
        <w:rPr>
          <w:rFonts w:ascii="Arial" w:cs="Arial" w:eastAsia="Arial" w:hAnsi="Arial"/>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30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8" w:lineRule="exact"/>
        <w:rPr>
          <w:sz w:val="20"/>
          <w:szCs w:val="20"/>
          <w:color w:val="auto"/>
        </w:rPr>
      </w:pPr>
    </w:p>
    <w:p>
      <w:pPr>
        <w:ind w:right="20" w:firstLine="446"/>
        <w:spacing w:after="0" w:line="269" w:lineRule="auto"/>
        <w:rPr>
          <w:sz w:val="20"/>
          <w:szCs w:val="20"/>
          <w:color w:val="auto"/>
        </w:rPr>
      </w:pPr>
      <w:r>
        <w:rPr>
          <w:rFonts w:ascii="Arial" w:cs="Arial" w:eastAsia="Arial" w:hAnsi="Arial"/>
          <w:sz w:val="17"/>
          <w:szCs w:val="17"/>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through the end of 2019. However, circumstances may cause us to consume capital more rapidly than we currently anticipate. For example, as we continue to move our product candidates through preclinical studies, submit INDs or foreign equivalents and commence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83" w:lineRule="exact"/>
        <w:rPr>
          <w:sz w:val="20"/>
          <w:szCs w:val="20"/>
          <w:color w:val="auto"/>
        </w:rPr>
      </w:pPr>
    </w:p>
    <w:p>
      <w:pPr>
        <w:ind w:firstLine="446"/>
        <w:spacing w:after="0" w:line="312"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39" w:lineRule="exact"/>
        <w:rPr>
          <w:sz w:val="20"/>
          <w:szCs w:val="20"/>
          <w:color w:val="auto"/>
        </w:rPr>
      </w:pPr>
    </w:p>
    <w:p>
      <w:pPr>
        <w:ind w:left="880" w:hanging="440"/>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our product candidates or cease operations altogether;</w:t>
      </w:r>
    </w:p>
    <w:p>
      <w:pPr>
        <w:spacing w:after="0" w:line="140" w:lineRule="exact"/>
        <w:rPr>
          <w:rFonts w:ascii="Arial" w:cs="Arial" w:eastAsia="Arial" w:hAnsi="Arial"/>
          <w:sz w:val="16"/>
          <w:szCs w:val="16"/>
          <w:color w:val="auto"/>
        </w:rPr>
      </w:pPr>
    </w:p>
    <w:p>
      <w:pPr>
        <w:ind w:left="880" w:right="6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62" w:lineRule="exact"/>
        <w:rPr>
          <w:rFonts w:ascii="Arial" w:cs="Arial" w:eastAsia="Arial" w:hAnsi="Arial"/>
          <w:sz w:val="18"/>
          <w:szCs w:val="18"/>
          <w:color w:val="auto"/>
        </w:rPr>
      </w:pPr>
    </w:p>
    <w:p>
      <w:pPr>
        <w:ind w:left="880" w:right="28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future product candidates that we otherwise would seek to develop or commercialize ourselves; or</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76" w:right="259" w:bottom="1440" w:gutter="0" w:footer="0" w:header="0"/>
        </w:sectPr>
      </w:pPr>
    </w:p>
    <w:bookmarkStart w:id="38" w:name="page39"/>
    <w:bookmarkEnd w:id="38"/>
    <w:p>
      <w:pPr>
        <w:ind w:right="80" w:firstLine="446"/>
        <w:spacing w:after="0" w:line="273"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70" w:lineRule="exact"/>
        <w:rPr>
          <w:sz w:val="20"/>
          <w:szCs w:val="20"/>
          <w:color w:val="auto"/>
        </w:rPr>
      </w:pPr>
    </w:p>
    <w:p>
      <w:pPr>
        <w:ind w:left="880" w:right="140" w:hanging="440"/>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number and size of clinical trials needed to show safety, efficacy and an acceptable risk/benefit profile for any of our product candidates;</w:t>
      </w:r>
    </w:p>
    <w:p>
      <w:pPr>
        <w:spacing w:after="0" w:line="128" w:lineRule="exact"/>
        <w:rPr>
          <w:rFonts w:ascii="Arial" w:cs="Arial" w:eastAsia="Arial" w:hAnsi="Arial"/>
          <w:sz w:val="17"/>
          <w:szCs w:val="17"/>
          <w:color w:val="auto"/>
        </w:rPr>
      </w:pPr>
    </w:p>
    <w:p>
      <w:pPr>
        <w:ind w:left="880" w:right="540" w:hanging="440"/>
        <w:spacing w:after="0" w:line="308"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38" w:lineRule="exact"/>
        <w:rPr>
          <w:rFonts w:ascii="Arial" w:cs="Arial" w:eastAsia="Arial" w:hAnsi="Arial"/>
          <w:sz w:val="17"/>
          <w:szCs w:val="17"/>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17" w:lineRule="exact"/>
        <w:rPr>
          <w:rFonts w:ascii="Arial" w:cs="Arial" w:eastAsia="Arial" w:hAnsi="Arial"/>
          <w:sz w:val="18"/>
          <w:szCs w:val="18"/>
          <w:color w:val="auto"/>
        </w:rPr>
      </w:pPr>
    </w:p>
    <w:p>
      <w:pPr>
        <w:jc w:val="both"/>
        <w:ind w:left="880" w:right="600" w:hanging="440"/>
        <w:spacing w:after="0" w:line="264"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73"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 and</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346" w:lineRule="exact"/>
        <w:rPr>
          <w:sz w:val="20"/>
          <w:szCs w:val="20"/>
          <w:color w:val="auto"/>
        </w:rPr>
      </w:pPr>
    </w:p>
    <w:p>
      <w:pPr>
        <w:ind w:right="300" w:firstLine="446"/>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due to lack of capital, our business, financial condition and results of operations could be adversely affected.</w:t>
      </w:r>
    </w:p>
    <w:p>
      <w:pPr>
        <w:spacing w:after="0" w:line="27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8" w:lineRule="exact"/>
        <w:rPr>
          <w:sz w:val="20"/>
          <w:szCs w:val="20"/>
          <w:color w:val="auto"/>
        </w:rPr>
      </w:pPr>
    </w:p>
    <w:p>
      <w:pPr>
        <w:ind w:right="20" w:firstLine="446"/>
        <w:spacing w:after="0" w:line="254"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9" w:name="page40"/>
    <w:bookmarkEnd w:id="39"/>
    <w:p>
      <w:pPr>
        <w:ind w:right="5260"/>
        <w:spacing w:after="0" w:line="425" w:lineRule="auto"/>
        <w:rPr>
          <w:sz w:val="20"/>
          <w:szCs w:val="20"/>
          <w:color w:val="auto"/>
        </w:rPr>
      </w:pPr>
      <w:r>
        <w:rPr>
          <w:rFonts w:ascii="Arial" w:cs="Arial" w:eastAsia="Arial" w:hAnsi="Arial"/>
          <w:sz w:val="16"/>
          <w:szCs w:val="16"/>
          <w:b w:val="1"/>
          <w:bCs w:val="1"/>
          <w:color w:val="auto"/>
        </w:rPr>
        <w:t>Risks Related to Managing Growth, Operations and Macroeconomic Conditions We must attract and retain highly skilled employees in order to succeed.</w:t>
      </w:r>
    </w:p>
    <w:p>
      <w:pPr>
        <w:spacing w:after="0" w:line="1" w:lineRule="exact"/>
        <w:rPr>
          <w:sz w:val="20"/>
          <w:szCs w:val="20"/>
          <w:color w:val="auto"/>
        </w:rPr>
      </w:pPr>
    </w:p>
    <w:p>
      <w:pPr>
        <w:ind w:right="140" w:firstLine="446"/>
        <w:spacing w:after="0" w:line="290"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operating results and increase our capabilities to successfully commercialize our product candidates.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including our Chief Financial Officer, who joined us in January 2017, have worked together for only a relatively short period of time and it may be difficult to evaluate their effectiveness, on an individual or collective basis, and ability to address future challenges to our business.</w:t>
      </w:r>
    </w:p>
    <w:p>
      <w:pPr>
        <w:spacing w:after="0" w:line="166" w:lineRule="exact"/>
        <w:rPr>
          <w:sz w:val="20"/>
          <w:szCs w:val="20"/>
          <w:color w:val="auto"/>
        </w:rPr>
      </w:pPr>
    </w:p>
    <w:p>
      <w:pPr>
        <w:ind w:right="140" w:firstLine="446"/>
        <w:spacing w:after="0" w:line="302"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5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2"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We expect to expand our development and regulatory capabilities, and as a result, we may encounter difficulties in managing our growth, which could disrupt our operations.</w:t>
      </w:r>
    </w:p>
    <w:p>
      <w:pPr>
        <w:spacing w:after="0" w:line="58"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3"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b w:val="1"/>
          <w:bCs w:val="1"/>
          <w:color w:val="auto"/>
        </w:rPr>
        <w:t>We conduct significant operations through our Australian wholly-owned subsidiary. If we lose our ability to operate in Australia, or if our subsidiary is unable to receive the research and development tax credit allowed by Australian regulations, our business and results of operations will suffer.</w:t>
      </w:r>
    </w:p>
    <w:p>
      <w:pPr>
        <w:spacing w:after="0" w:line="73" w:lineRule="exact"/>
        <w:rPr>
          <w:sz w:val="20"/>
          <w:szCs w:val="20"/>
          <w:color w:val="auto"/>
        </w:rPr>
      </w:pPr>
    </w:p>
    <w:p>
      <w:pPr>
        <w:ind w:right="80" w:firstLine="446"/>
        <w:spacing w:after="0" w:line="262" w:lineRule="auto"/>
        <w:rPr>
          <w:sz w:val="20"/>
          <w:szCs w:val="20"/>
          <w:color w:val="auto"/>
        </w:rPr>
      </w:pPr>
      <w:r>
        <w:rPr>
          <w:rFonts w:ascii="Arial" w:cs="Arial" w:eastAsia="Arial" w:hAnsi="Arial"/>
          <w:sz w:val="18"/>
          <w:szCs w:val="18"/>
          <w:color w:val="auto"/>
        </w:rPr>
        <w:t>In March 2015, we formed a wholly-owned Australian subsidiary, AnaptysBio Pty Ltd, or AnaptysBio Pty, to develop and commercialize our ANB019 and ANB020 antibody program in Australia. Due to the geographical distance and lack of</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88" w:right="239" w:bottom="1440" w:gutter="0" w:footer="0" w:header="0"/>
        </w:sectPr>
      </w:pPr>
    </w:p>
    <w:bookmarkStart w:id="40" w:name="page41"/>
    <w:bookmarkEnd w:id="40"/>
    <w:p>
      <w:pPr>
        <w:spacing w:after="0" w:line="243" w:lineRule="auto"/>
        <w:rPr>
          <w:sz w:val="20"/>
          <w:szCs w:val="20"/>
          <w:color w:val="auto"/>
        </w:rPr>
      </w:pPr>
      <w:r>
        <w:rPr>
          <w:rFonts w:ascii="Arial" w:cs="Arial" w:eastAsia="Arial" w:hAnsi="Arial"/>
          <w:sz w:val="18"/>
          <w:szCs w:val="18"/>
          <w:color w:val="auto"/>
        </w:rPr>
        <w:t>employees currently in Australia, as well as our lack of experience operating in Australia, we may not be able to efficiently or successfully monitor, develop and commercialize our lead products or antibody program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88" w:lineRule="exact"/>
        <w:rPr>
          <w:sz w:val="20"/>
          <w:szCs w:val="20"/>
          <w:color w:val="auto"/>
        </w:rPr>
      </w:pPr>
    </w:p>
    <w:p>
      <w:pPr>
        <w:ind w:right="60" w:firstLine="446"/>
        <w:spacing w:after="0" w:line="294" w:lineRule="auto"/>
        <w:rPr>
          <w:sz w:val="20"/>
          <w:szCs w:val="20"/>
          <w:color w:val="auto"/>
        </w:rPr>
      </w:pPr>
      <w:r>
        <w:rPr>
          <w:rFonts w:ascii="Arial" w:cs="Arial" w:eastAsia="Arial" w:hAnsi="Arial"/>
          <w:sz w:val="16"/>
          <w:szCs w:val="16"/>
          <w:color w:val="auto"/>
        </w:rPr>
        <w:t>In addition, current Australian tax regulations provide for a refundable research and development tax credit equal to 43.5% of qualified expenditures. If we are ineligible or unable to receive the research and development tax credit, or if we lose our ability to operate AnaptysBio Pty in Australia, or the Australian government significantly reduces or eliminates the tax credit, our business and results of operation would be adversely affected.</w:t>
      </w:r>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the development or commercialization of our product candidates could be delayed or stopped.</w:t>
      </w:r>
    </w:p>
    <w:p>
      <w:pPr>
        <w:spacing w:after="0" w:line="62" w:lineRule="exact"/>
        <w:rPr>
          <w:sz w:val="20"/>
          <w:szCs w:val="20"/>
          <w:color w:val="auto"/>
        </w:rPr>
      </w:pPr>
    </w:p>
    <w:p>
      <w:pPr>
        <w:ind w:right="20" w:firstLine="446"/>
        <w:spacing w:after="0" w:line="274" w:lineRule="auto"/>
        <w:rPr>
          <w:sz w:val="20"/>
          <w:szCs w:val="20"/>
          <w:color w:val="auto"/>
        </w:rPr>
      </w:pPr>
      <w:r>
        <w:rPr>
          <w:rFonts w:ascii="Arial" w:cs="Arial" w:eastAsia="Arial" w:hAnsi="Arial"/>
          <w:sz w:val="16"/>
          <w:szCs w:val="16"/>
          <w:color w:val="auto"/>
        </w:rPr>
        <w:t>The manufacture of biotechnology products is complex and requires significant expertise and capital investment, including the development of advanced manufacturing techniques and process controls. We and our contract manufacturers must comply with cGMP regulations and guidelines for the manufacturing of biologics used in clinical trials and, if approved, marketed products. To date, neither we nor our contract manufacturers has manufactured or attempted to manufacture cGMP batches of our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64" w:lineRule="exact"/>
        <w:rPr>
          <w:sz w:val="20"/>
          <w:szCs w:val="20"/>
          <w:color w:val="auto"/>
        </w:rPr>
      </w:pPr>
    </w:p>
    <w:p>
      <w:pPr>
        <w:ind w:right="160" w:firstLine="446"/>
        <w:spacing w:after="0" w:line="243"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8" w:lineRule="exact"/>
        <w:rPr>
          <w:sz w:val="20"/>
          <w:szCs w:val="20"/>
          <w:color w:val="auto"/>
        </w:rPr>
      </w:pPr>
    </w:p>
    <w:p>
      <w:pPr>
        <w:ind w:right="60" w:firstLine="446"/>
        <w:spacing w:after="0" w:line="252" w:lineRule="auto"/>
        <w:rPr>
          <w:sz w:val="20"/>
          <w:szCs w:val="20"/>
          <w:color w:val="auto"/>
        </w:rPr>
      </w:pPr>
      <w:r>
        <w:rPr>
          <w:rFonts w:ascii="Arial" w:cs="Arial" w:eastAsia="Arial" w:hAnsi="Arial"/>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our product candidates or products and could have an adverse effect on our business, prospects, financial condition and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disruption, damage and financial obligation as a result of system failures.</w:t>
      </w:r>
    </w:p>
    <w:p>
      <w:pPr>
        <w:spacing w:after="0" w:line="108" w:lineRule="exact"/>
        <w:rPr>
          <w:sz w:val="20"/>
          <w:szCs w:val="20"/>
          <w:color w:val="auto"/>
        </w:rPr>
      </w:pPr>
    </w:p>
    <w:p>
      <w:pPr>
        <w:ind w:firstLine="446"/>
        <w:spacing w:after="0" w:line="238" w:lineRule="auto"/>
        <w:rPr>
          <w:sz w:val="20"/>
          <w:szCs w:val="20"/>
          <w:color w:val="auto"/>
        </w:rPr>
      </w:pPr>
      <w:r>
        <w:rPr>
          <w:rFonts w:ascii="Arial" w:cs="Arial" w:eastAsia="Arial" w:hAnsi="Arial"/>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76"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candidates may be delayed. Furthermore, we may incur additional costs to remedy the damages caused by these disruptions or security breaches.</w:t>
      </w:r>
    </w:p>
    <w:p>
      <w:pPr>
        <w:spacing w:after="0" w:line="32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Our operations are vulnerable to interruption by fire, earthquake, power loss, telecommunications failure, terrorist activity and other events beyond our control, which could harm our business.</w:t>
      </w:r>
    </w:p>
    <w:p>
      <w:pPr>
        <w:spacing w:after="0" w:line="58" w:lineRule="exact"/>
        <w:rPr>
          <w:sz w:val="20"/>
          <w:szCs w:val="20"/>
          <w:color w:val="auto"/>
        </w:rPr>
      </w:pPr>
    </w:p>
    <w:p>
      <w:pPr>
        <w:ind w:right="40" w:firstLine="446"/>
        <w:spacing w:after="0" w:line="255" w:lineRule="auto"/>
        <w:rPr>
          <w:sz w:val="20"/>
          <w:szCs w:val="20"/>
          <w:color w:val="auto"/>
        </w:rPr>
      </w:pPr>
      <w:r>
        <w:rPr>
          <w:rFonts w:ascii="Arial" w:cs="Arial" w:eastAsia="Arial" w:hAnsi="Arial"/>
          <w:sz w:val="17"/>
          <w:szCs w:val="17"/>
          <w:color w:val="auto"/>
        </w:rPr>
        <w:t>Our facility is located in a seismically active region, which has also historically been subject to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event, we could lose all our antibody sequences, which would have an adverse effect on our ability to perform our obligations under our collaborations and discover new targets.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04"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b w:val="1"/>
          <w:b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73" w:lineRule="exact"/>
        <w:rPr>
          <w:sz w:val="20"/>
          <w:szCs w:val="20"/>
          <w:color w:val="auto"/>
        </w:rPr>
      </w:pPr>
    </w:p>
    <w:p>
      <w:pPr>
        <w:ind w:right="120" w:firstLine="446"/>
        <w:spacing w:after="0" w:line="238" w:lineRule="auto"/>
        <w:rPr>
          <w:sz w:val="20"/>
          <w:szCs w:val="20"/>
          <w:color w:val="auto"/>
        </w:rPr>
      </w:pPr>
      <w:r>
        <w:rPr>
          <w:rFonts w:ascii="Arial" w:cs="Arial" w:eastAsia="Arial" w:hAnsi="Arial"/>
          <w:sz w:val="18"/>
          <w:szCs w:val="18"/>
          <w:color w:val="auto"/>
        </w:rPr>
        <w:t>We have entered into collaborations with other biotechnology companies to develop several of our product candidates, and such collaborations currently represent a significant portion of our product pipeline. In addition, we have entered into other collaborations pursuant to which we have provided access to our technology platform to our collaborators to enable the optimization of their own product candidates. We have entered into antibody generation and/or development collaborations with various collaborators, including TESARO and Celgene, under which we have generated therapeutic quality antibodies using our technology platform and conducted certain preclinical studies in collaboration. We are currently aware that TESARO and Celgene have advanced multiple antibodies generated through our collaboration into clinical trials. If our collaborators terminate any of our collaborations, we may not receive all or any of this funding, which would adversely affect our business or financial condition. Our operational obligations under each of our collaborations has ended.</w:t>
      </w:r>
    </w:p>
    <w:p>
      <w:pPr>
        <w:spacing w:after="0" w:line="195" w:lineRule="exact"/>
        <w:rPr>
          <w:sz w:val="20"/>
          <w:szCs w:val="20"/>
          <w:color w:val="auto"/>
        </w:rPr>
      </w:pPr>
    </w:p>
    <w:p>
      <w:pPr>
        <w:ind w:right="20" w:firstLine="446"/>
        <w:spacing w:after="0" w:line="254" w:lineRule="auto"/>
        <w:rPr>
          <w:sz w:val="20"/>
          <w:szCs w:val="20"/>
          <w:color w:val="auto"/>
        </w:rPr>
      </w:pPr>
      <w:r>
        <w:rPr>
          <w:rFonts w:ascii="Arial" w:cs="Arial" w:eastAsia="Arial" w:hAnsi="Arial"/>
          <w:sz w:val="17"/>
          <w:szCs w:val="17"/>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8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may not succeed in establishing and maintaining additional development collaborations, which could adversely affect our ability to develop and commercialize product candidates.</w:t>
      </w:r>
    </w:p>
    <w:p>
      <w:pPr>
        <w:spacing w:after="0" w:line="58"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a development collaboration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76" w:right="25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color w:val="auto"/>
        </w:rPr>
        <w:t>Moreover, if we fail to establish and maintain additional development collaborations related to our product candidates:</w:t>
      </w:r>
    </w:p>
    <w:p>
      <w:pPr>
        <w:spacing w:after="0" w:line="117"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880" w:right="60" w:hanging="440"/>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880" w:right="280" w:hanging="440"/>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w:t>
      </w:r>
    </w:p>
    <w:p>
      <w:pPr>
        <w:spacing w:after="0" w:line="329"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If third parties on which we depend to conduct our planned preclinical studies, or any future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2"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We rely on third party clinical investigators, contract research organizations (for non-clinical and clinical activities) or CROs, contract manufacturing organizations, or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178"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 if our product candidates receive regulatory approval, they will be subject to significant post-marketing regulatory requirements.</w:t>
      </w:r>
    </w:p>
    <w:p>
      <w:pPr>
        <w:spacing w:after="0" w:line="133"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64"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237" w:lineRule="exact"/>
        <w:rPr>
          <w:sz w:val="20"/>
          <w:szCs w:val="20"/>
          <w:color w:val="auto"/>
        </w:rPr>
      </w:pPr>
    </w:p>
    <w:p>
      <w:pPr>
        <w:ind w:right="120" w:firstLine="446"/>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88" w:right="239" w:bottom="1440" w:gutter="0" w:footer="0" w:header="0"/>
        </w:sectPr>
      </w:pPr>
    </w:p>
    <w:bookmarkStart w:id="44" w:name="page45"/>
    <w:bookmarkEnd w:id="44"/>
    <w:p>
      <w:pPr>
        <w:ind w:firstLine="446"/>
        <w:spacing w:after="0" w:line="287"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7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failure to obtain regulatory approval in international jurisdictions would prevent us from marketing our product candidates outside the United States.</w:t>
      </w:r>
    </w:p>
    <w:p>
      <w:pPr>
        <w:spacing w:after="0" w:line="58" w:lineRule="exact"/>
        <w:rPr>
          <w:sz w:val="20"/>
          <w:szCs w:val="20"/>
          <w:color w:val="auto"/>
        </w:rPr>
      </w:pPr>
    </w:p>
    <w:p>
      <w:pPr>
        <w:ind w:right="160" w:firstLine="446"/>
        <w:spacing w:after="0" w:line="293" w:lineRule="auto"/>
        <w:rPr>
          <w:sz w:val="20"/>
          <w:szCs w:val="20"/>
          <w:color w:val="auto"/>
        </w:rPr>
      </w:pPr>
      <w:r>
        <w:rPr>
          <w:rFonts w:ascii="Arial" w:cs="Arial" w:eastAsia="Arial" w:hAnsi="Arial"/>
          <w:sz w:val="16"/>
          <w:szCs w:val="16"/>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65" w:lineRule="exact"/>
        <w:rPr>
          <w:sz w:val="20"/>
          <w:szCs w:val="20"/>
          <w:color w:val="auto"/>
        </w:rPr>
      </w:pPr>
    </w:p>
    <w:p>
      <w:pPr>
        <w:ind w:right="160" w:firstLine="446"/>
        <w:spacing w:after="0" w:line="302"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5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have conducted, or plan to conduct, our initial clinical trials for ANB020 and ANB019 outside of the United States. However, the FDA and other foreign equivalents may not accept data from such trials, in which case our development plans will be delayed, which could materially harm our business.</w:t>
      </w:r>
    </w:p>
    <w:p>
      <w:pPr>
        <w:spacing w:after="0" w:line="72"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We have conducted our initial clinical trial for ANB020 in Australia and have initiated a Phase 1 clinical trial for ANB019 in Australia. We believe that clinical data generated in Australia will be accepted by the FDA and its foreign equivalents outside of Australia, and therefore may enable us to commence Phase 2 and possibly registration clinical trials in the United States or the United Kingdom following submission of an IND or CTA, without the need for us to repeat our Phase 1 trials in the United States or the United Kingdom. While we have received clearance from the FDA and MHRA to begin Phase 2 clinical trials for ANB020, there can be no assurance the FDA, MHRA or other foreign equivalents will accept data from the clinical trials we are conducting or plan to conduct in Australia for ANB019. If the FDA, MHRA or other foreign equivalents do not accept any such data, we would likely be required to conduct additional Phase 1 clinical trials, which would be costly and time consuming, and delay aspects of our development plan, which could harm our business.</w:t>
      </w:r>
    </w:p>
    <w:p>
      <w:pPr>
        <w:spacing w:after="0" w:line="167"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Although the FDA, MHRA and other foreign equivalents may accept data from clinical trials conducted entirely outside the United States and not under an IND, acceptance of such study data is generally subject to certain conditions. For example, the FDA requires the clinical trial to have been conducted in accordance with GCPs and the FDA must be able to validate the data from the clinical trial through an onsite inspection if it deems such inspection necessary. In addition, when studies are conducted only at sites outside of the United States, the FDA generally does not provide advance comment on the clinical protocols for the studies, and therefore there is an additional potential risk that the FDA could determine that the study design or protocol for a non-U.S. clinical trial was inadequate, which would likely require us to conduct additional clinical trials.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 the following:</w:t>
      </w:r>
    </w:p>
    <w:p>
      <w:pPr>
        <w:spacing w:after="0" w:line="117" w:lineRule="exact"/>
        <w:rPr>
          <w:sz w:val="20"/>
          <w:szCs w:val="20"/>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5" w:name="page46"/>
    <w:bookmarkEnd w:id="45"/>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25" w:lineRule="exact"/>
        <w:rPr>
          <w:sz w:val="20"/>
          <w:szCs w:val="20"/>
          <w:color w:val="auto"/>
        </w:rPr>
      </w:pPr>
    </w:p>
    <w:p>
      <w:pPr>
        <w:ind w:right="160" w:firstLine="446"/>
        <w:spacing w:after="0" w:line="279" w:lineRule="auto"/>
        <w:rPr>
          <w:sz w:val="20"/>
          <w:szCs w:val="20"/>
          <w:color w:val="auto"/>
        </w:rPr>
      </w:pPr>
      <w:r>
        <w:rPr>
          <w:rFonts w:ascii="Arial" w:cs="Arial" w:eastAsia="Arial" w:hAnsi="Arial"/>
          <w:sz w:val="17"/>
          <w:szCs w:val="17"/>
          <w:color w:val="auto"/>
        </w:rPr>
        <w:t>In addition, in June 2016, the United Kingdom held a referendum and voted in favor of leaving the European Union. This has created political and economic uncertainty, particularly in the United Kingdom and the European Union, and could cause disruptions to, and create uncertainty surrounding, our planned clinical trial in the United Kingdom, including affecting our relationships with our existing and prospective customers, partners and employees, and could have a material impact on the regulatory regime applicable to our planned clinical trial in the United Kingdom.</w:t>
      </w:r>
    </w:p>
    <w:p>
      <w:pPr>
        <w:spacing w:after="0" w:line="276" w:lineRule="exact"/>
        <w:rPr>
          <w:sz w:val="20"/>
          <w:szCs w:val="20"/>
          <w:color w:val="auto"/>
        </w:rPr>
      </w:pPr>
    </w:p>
    <w:p>
      <w:pPr>
        <w:ind w:right="380"/>
        <w:spacing w:after="0" w:line="313" w:lineRule="auto"/>
        <w:rPr>
          <w:sz w:val="20"/>
          <w:szCs w:val="20"/>
          <w:color w:val="auto"/>
        </w:rPr>
      </w:pPr>
      <w:r>
        <w:rPr>
          <w:rFonts w:ascii="Arial" w:cs="Arial" w:eastAsia="Arial" w:hAnsi="Arial"/>
          <w:sz w:val="17"/>
          <w:szCs w:val="17"/>
          <w:b w:val="1"/>
          <w:bCs w:val="1"/>
          <w:color w:val="auto"/>
        </w:rPr>
        <w:t>We plan to seek Orphan Drug Designation for ANB019 or certain of our other product candidates and we may not be able to obtain or maintain Orphan Drug Designation or obtain the benefits associated with Orphan Drug status, including market exclusivity.</w:t>
      </w:r>
    </w:p>
    <w:p>
      <w:pPr>
        <w:spacing w:after="0" w:line="34" w:lineRule="exact"/>
        <w:rPr>
          <w:sz w:val="20"/>
          <w:szCs w:val="20"/>
          <w:color w:val="auto"/>
        </w:rPr>
      </w:pPr>
    </w:p>
    <w:p>
      <w:pPr>
        <w:ind w:firstLine="446"/>
        <w:spacing w:after="0" w:line="287" w:lineRule="auto"/>
        <w:rPr>
          <w:sz w:val="20"/>
          <w:szCs w:val="20"/>
          <w:color w:val="auto"/>
        </w:rPr>
      </w:pPr>
      <w:r>
        <w:rPr>
          <w:rFonts w:ascii="Arial" w:cs="Arial" w:eastAsia="Arial" w:hAnsi="Arial"/>
          <w:sz w:val="16"/>
          <w:szCs w:val="16"/>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European Union.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69" w:lineRule="exact"/>
        <w:rPr>
          <w:sz w:val="20"/>
          <w:szCs w:val="20"/>
          <w:color w:val="auto"/>
        </w:rPr>
      </w:pPr>
    </w:p>
    <w:p>
      <w:pPr>
        <w:ind w:right="320" w:firstLine="446"/>
        <w:spacing w:after="0" w:line="279" w:lineRule="auto"/>
        <w:rPr>
          <w:sz w:val="20"/>
          <w:szCs w:val="20"/>
          <w:color w:val="auto"/>
        </w:rPr>
      </w:pPr>
      <w:r>
        <w:rPr>
          <w:rFonts w:ascii="Arial" w:cs="Arial" w:eastAsia="Arial" w:hAnsi="Arial"/>
          <w:sz w:val="17"/>
          <w:szCs w:val="17"/>
          <w:color w:val="auto"/>
        </w:rPr>
        <w:t>We have not applied for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71"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right="140" w:firstLine="446"/>
        <w:spacing w:after="0" w:line="254" w:lineRule="auto"/>
        <w:rPr>
          <w:sz w:val="20"/>
          <w:szCs w:val="20"/>
          <w:color w:val="auto"/>
        </w:rPr>
      </w:pPr>
      <w:r>
        <w:rPr>
          <w:rFonts w:ascii="Arial" w:cs="Arial" w:eastAsia="Arial" w:hAnsi="Arial"/>
          <w:sz w:val="18"/>
          <w:szCs w:val="18"/>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76" w:right="239" w:bottom="1440" w:gutter="0" w:footer="0" w:header="0"/>
        </w:sectPr>
      </w:pPr>
    </w:p>
    <w:bookmarkStart w:id="46" w:name="page47"/>
    <w:bookmarkEnd w:id="46"/>
    <w:p>
      <w:pPr>
        <w:ind w:right="500"/>
        <w:spacing w:after="0" w:line="277" w:lineRule="auto"/>
        <w:rPr>
          <w:sz w:val="20"/>
          <w:szCs w:val="20"/>
          <w:color w:val="auto"/>
        </w:rPr>
      </w:pPr>
      <w:r>
        <w:rPr>
          <w:rFonts w:ascii="Arial" w:cs="Arial" w:eastAsia="Arial" w:hAnsi="Arial"/>
          <w:sz w:val="18"/>
          <w:szCs w:val="18"/>
          <w:color w:val="auto"/>
        </w:rPr>
        <w:t>coverage and reimbursement are not available or reimbursement is available only to limited levels, we may not successfully commercialize any product candidate for which we obtain marketing approval.</w:t>
      </w:r>
    </w:p>
    <w:p>
      <w:pPr>
        <w:spacing w:after="0" w:line="170" w:lineRule="exact"/>
        <w:rPr>
          <w:sz w:val="20"/>
          <w:szCs w:val="20"/>
          <w:color w:val="auto"/>
        </w:rPr>
      </w:pPr>
    </w:p>
    <w:p>
      <w:pPr>
        <w:ind w:right="60" w:firstLine="446"/>
        <w:spacing w:after="0" w:line="29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67" w:lineRule="exact"/>
        <w:rPr>
          <w:sz w:val="20"/>
          <w:szCs w:val="20"/>
          <w:color w:val="auto"/>
        </w:rPr>
      </w:pPr>
    </w:p>
    <w:p>
      <w:pPr>
        <w:ind w:right="40" w:firstLine="446"/>
        <w:spacing w:after="0" w:line="254"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92"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78" w:lineRule="exact"/>
        <w:rPr>
          <w:sz w:val="20"/>
          <w:szCs w:val="20"/>
          <w:color w:val="auto"/>
        </w:rPr>
      </w:pPr>
    </w:p>
    <w:p>
      <w:pPr>
        <w:ind w:firstLine="446"/>
        <w:spacing w:after="0" w:line="257" w:lineRule="auto"/>
        <w:rPr>
          <w:sz w:val="20"/>
          <w:szCs w:val="20"/>
          <w:color w:val="auto"/>
        </w:rPr>
      </w:pPr>
      <w:r>
        <w:rPr>
          <w:rFonts w:ascii="Arial" w:cs="Arial" w:eastAsia="Arial" w:hAnsi="Arial"/>
          <w:sz w:val="17"/>
          <w:szCs w:val="17"/>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76" w:lineRule="exact"/>
        <w:rPr>
          <w:sz w:val="20"/>
          <w:szCs w:val="20"/>
          <w:color w:val="auto"/>
        </w:rPr>
      </w:pPr>
    </w:p>
    <w:p>
      <w:pPr>
        <w:ind w:right="40" w:firstLine="446"/>
        <w:spacing w:after="0" w:line="263"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or AMA,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0" w:lineRule="exact"/>
        <w:rPr>
          <w:sz w:val="20"/>
          <w:szCs w:val="20"/>
          <w:color w:val="auto"/>
        </w:rPr>
      </w:pPr>
    </w:p>
    <w:p>
      <w:pPr>
        <w:ind w:firstLine="446"/>
        <w:spacing w:after="0" w:line="243" w:lineRule="auto"/>
        <w:rPr>
          <w:sz w:val="20"/>
          <w:szCs w:val="20"/>
          <w:color w:val="auto"/>
        </w:rPr>
      </w:pPr>
      <w:r>
        <w:rPr>
          <w:rFonts w:ascii="Arial" w:cs="Arial" w:eastAsia="Arial" w:hAnsi="Arial"/>
          <w:sz w:val="18"/>
          <w:szCs w:val="18"/>
          <w:color w:val="auto"/>
        </w:rPr>
        <w:t>Furthermore, some of our target indications, including for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88" w:lineRule="exact"/>
        <w:rPr>
          <w:sz w:val="20"/>
          <w:szCs w:val="20"/>
          <w:color w:val="auto"/>
        </w:rPr>
      </w:pPr>
    </w:p>
    <w:p>
      <w:pPr>
        <w:ind w:right="20" w:firstLine="446"/>
        <w:spacing w:after="0" w:line="243"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76" w:right="239"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we or our collaborators receive regulatory approval, less favorable coverage policies and reimbursement rates may be implemented in the future.</w:t>
      </w:r>
    </w:p>
    <w:p>
      <w:pPr>
        <w:spacing w:after="0" w:line="32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Recently enacted legislation may increase the difficulty and cost for us to obtain marketing approval of and commercialize our product candidates and affect the prices we may obtain.</w:t>
      </w:r>
    </w:p>
    <w:p>
      <w:pPr>
        <w:spacing w:after="0" w:line="166" w:lineRule="exact"/>
        <w:rPr>
          <w:sz w:val="20"/>
          <w:szCs w:val="20"/>
          <w:color w:val="auto"/>
        </w:rPr>
      </w:pPr>
    </w:p>
    <w:p>
      <w:pPr>
        <w:ind w:firstLine="554"/>
        <w:spacing w:after="0" w:line="254" w:lineRule="auto"/>
        <w:rPr>
          <w:sz w:val="20"/>
          <w:szCs w:val="20"/>
          <w:color w:val="auto"/>
        </w:rPr>
      </w:pPr>
      <w:r>
        <w:rPr>
          <w:rFonts w:ascii="Arial" w:cs="Arial" w:eastAsia="Arial" w:hAnsi="Arial"/>
          <w:sz w:val="18"/>
          <w:szCs w:val="18"/>
          <w:color w:val="auto"/>
        </w:rPr>
        <w:t>Some of the provisions of the ACA have yet to be implemented and there have been judicial and Congressional challenges to certain aspects of the ACA. In addition, the current administration and Congress have previously sought, and will likely continue to seek, legislative and regulatory changes, including repeal and replacement of all or certain provisions of the ACA. While Congress has not passed repeal legislation, the Tax Cuts and Jobs Act of 2017 includes a provision repealing,</w:t>
      </w:r>
    </w:p>
    <w:p>
      <w:pPr>
        <w:spacing w:after="0" w:line="2" w:lineRule="exact"/>
        <w:rPr>
          <w:sz w:val="20"/>
          <w:szCs w:val="20"/>
          <w:color w:val="auto"/>
        </w:rPr>
      </w:pPr>
    </w:p>
    <w:p>
      <w:pPr>
        <w:ind w:right="2240"/>
        <w:spacing w:after="0" w:line="255" w:lineRule="auto"/>
        <w:rPr>
          <w:sz w:val="20"/>
          <w:szCs w:val="20"/>
          <w:color w:val="auto"/>
        </w:rPr>
      </w:pPr>
      <w:r>
        <w:rPr>
          <w:rFonts w:ascii="Arial" w:cs="Arial" w:eastAsia="Arial" w:hAnsi="Arial"/>
          <w:sz w:val="18"/>
          <w:szCs w:val="18"/>
          <w:color w:val="auto"/>
        </w:rPr>
        <w:t>effective January 1, 2019, the tax-based shared responsibility payment imposed by the ACA on certain individuals who fail to maintain qualifying health coverage for all or part of a year that is commonly referred to as the “individual mandate”. Congress may consider other legislation to repeal or replace elements of the ACA.</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difficulties from changes to current regulations and future legislation.</w:t>
      </w:r>
    </w:p>
    <w:p>
      <w:pPr>
        <w:spacing w:after="0" w:line="121"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80" w:firstLine="446"/>
        <w:spacing w:after="0" w:line="288" w:lineRule="auto"/>
        <w:rPr>
          <w:sz w:val="20"/>
          <w:szCs w:val="20"/>
          <w:color w:val="auto"/>
        </w:rPr>
      </w:pPr>
      <w:r>
        <w:rPr>
          <w:rFonts w:ascii="Arial" w:cs="Arial" w:eastAsia="Arial" w:hAnsi="Arial"/>
          <w:sz w:val="16"/>
          <w:szCs w:val="16"/>
          <w:color w:val="auto"/>
        </w:rPr>
        <w:t>More recently, President Trump has signed an executive order and made statements that suggest he plans to seek repeal of all or portions of the ACA. There is uncertainty with respect to which legislation, if any, will be enacted and the impact President Trump’s Administration may have, if any, and any changes likely will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 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2027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69"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Likewise, the annual Medicare Physician Fee Schedule update, which, until recently, was based on a target-setting formula system called the Sustainable Growth Rate, or SGR, was adjusted to reflect the comparison of actual expenditures to target expenditures. Because one of the factors for calculating the SGR was linked to the growth in the U.S. gross domestic product, or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80" w:lineRule="exact"/>
        <w:rPr>
          <w:sz w:val="20"/>
          <w:szCs w:val="20"/>
          <w:color w:val="auto"/>
        </w:rPr>
      </w:pPr>
    </w:p>
    <w:p>
      <w:pPr>
        <w:ind w:right="200" w:firstLine="446"/>
        <w:spacing w:after="0" w:line="279"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8" w:name="page49"/>
    <w:bookmarkEnd w:id="48"/>
    <w:p>
      <w:pPr>
        <w:ind w:right="160" w:firstLine="44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9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8" w:lineRule="exact"/>
        <w:rPr>
          <w:sz w:val="20"/>
          <w:szCs w:val="20"/>
          <w:color w:val="auto"/>
        </w:rPr>
      </w:pPr>
    </w:p>
    <w:p>
      <w:pPr>
        <w:ind w:firstLine="446"/>
        <w:spacing w:after="0" w:line="288"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7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Our relationships with customers and third-party payors will be subject to applicable anti-kickback, fraud and abuse, transparency and other healthcare laws and regulations, which could expose us to, among other things, criminal sanctions, civil penalties, contractual damages, reputational harm, administrative burdens and diminished profits and future earnings.</w:t>
      </w:r>
    </w:p>
    <w:p>
      <w:pPr>
        <w:spacing w:after="0" w:line="72"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46" w:lineRule="exact"/>
        <w:rPr>
          <w:sz w:val="20"/>
          <w:szCs w:val="20"/>
          <w:color w:val="auto"/>
        </w:rPr>
      </w:pPr>
    </w:p>
    <w:p>
      <w:pPr>
        <w:ind w:left="880" w:right="80" w:hanging="440"/>
        <w:spacing w:after="0" w:line="259"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880" w:right="20" w:hanging="440"/>
        <w:spacing w:after="0" w:line="259"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880" w:right="100" w:hanging="440"/>
        <w:spacing w:after="0" w:line="342"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among other things, executing or attempting to execute a scheme to defraud any healthcare benefit program or making false statements relating to healthcare matters;</w:t>
      </w:r>
    </w:p>
    <w:p>
      <w:pPr>
        <w:spacing w:after="0" w:line="15" w:lineRule="exact"/>
        <w:rPr>
          <w:rFonts w:ascii="Arial" w:cs="Arial" w:eastAsia="Arial" w:hAnsi="Arial"/>
          <w:sz w:val="16"/>
          <w:szCs w:val="16"/>
          <w:color w:val="auto"/>
        </w:rPr>
      </w:pPr>
    </w:p>
    <w:p>
      <w:pPr>
        <w:jc w:val="both"/>
        <w:ind w:left="880" w:hanging="440"/>
        <w:spacing w:after="0" w:line="264"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ind w:left="880" w:right="200" w:hanging="440"/>
        <w:spacing w:after="0" w:line="276" w:lineRule="auto"/>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help by physicians and their immediate family members. The information was made publicly available on a searchable website in September 2014 and will be disclosed on an annual basis; 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9" w:name="page50"/>
    <w:bookmarkEnd w:id="49"/>
    <w:p>
      <w:pPr>
        <w:ind w:left="880" w:right="20" w:hanging="440"/>
        <w:spacing w:after="0" w:line="342"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24" w:lineRule="exact"/>
        <w:rPr>
          <w:sz w:val="20"/>
          <w:szCs w:val="20"/>
          <w:color w:val="auto"/>
        </w:rPr>
      </w:pPr>
    </w:p>
    <w:p>
      <w:pPr>
        <w:ind w:right="60" w:firstLine="446"/>
        <w:spacing w:after="0" w:line="269" w:lineRule="auto"/>
        <w:rPr>
          <w:sz w:val="20"/>
          <w:szCs w:val="20"/>
          <w:color w:val="auto"/>
        </w:rPr>
      </w:pPr>
      <w:r>
        <w:rPr>
          <w:rFonts w:ascii="Arial" w:cs="Arial" w:eastAsia="Arial" w:hAnsi="Arial"/>
          <w:sz w:val="17"/>
          <w:szCs w:val="17"/>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For example, several states now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or prohibit prescription drug price gouging. And states such as California, Connecticut, Nevada, and Massachusetts require pharmaceutical companies to implement compliance programs and/or marketing codes. Other states are considering similar proposals. Compliance with these laws is difficult and time consuming, and companies that do not comply with these state laws face civil penalties. State and foreign laws also govern the privacy and security of health information in some circumstances, many of which differ from each other in significant ways and often are not preempted by HIPAA, thus complicating compliance efforts.</w:t>
      </w:r>
    </w:p>
    <w:p>
      <w:pPr>
        <w:spacing w:after="0" w:line="183" w:lineRule="exact"/>
        <w:rPr>
          <w:sz w:val="20"/>
          <w:szCs w:val="20"/>
          <w:color w:val="auto"/>
        </w:rPr>
      </w:pPr>
    </w:p>
    <w:p>
      <w:pPr>
        <w:ind w:right="40" w:firstLine="446"/>
        <w:spacing w:after="0" w:line="270"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8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employees may engage in misconduct or other improper activities, including noncompliance with regulatory standards and requirements and insider trading.</w:t>
      </w:r>
    </w:p>
    <w:p>
      <w:pPr>
        <w:spacing w:after="0" w:line="58"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76" w:right="259" w:bottom="1440" w:gutter="0" w:footer="0" w:header="0"/>
        </w:sectPr>
      </w:pPr>
    </w:p>
    <w:bookmarkStart w:id="50" w:name="page51"/>
    <w:bookmarkEnd w:id="50"/>
    <w:p>
      <w:pPr>
        <w:ind w:right="20"/>
        <w:spacing w:after="0" w:line="289" w:lineRule="auto"/>
        <w:rPr>
          <w:sz w:val="20"/>
          <w:szCs w:val="20"/>
          <w:color w:val="auto"/>
        </w:rPr>
      </w:pPr>
      <w:r>
        <w:rPr>
          <w:rFonts w:ascii="Arial" w:cs="Arial" w:eastAsia="Arial" w:hAnsi="Arial"/>
          <w:sz w:val="16"/>
          <w:szCs w:val="16"/>
          <w:color w:val="auto"/>
        </w:rPr>
        <w:t>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67" w:lineRule="exact"/>
        <w:rPr>
          <w:sz w:val="20"/>
          <w:szCs w:val="20"/>
          <w:color w:val="auto"/>
        </w:rPr>
      </w:pPr>
    </w:p>
    <w:p>
      <w:pPr>
        <w:ind w:right="60" w:firstLine="446"/>
        <w:spacing w:after="0" w:line="28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69"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9" w:lineRule="exact"/>
        <w:rPr>
          <w:sz w:val="20"/>
          <w:szCs w:val="20"/>
          <w:color w:val="auto"/>
        </w:rPr>
      </w:pPr>
    </w:p>
    <w:p>
      <w:pPr>
        <w:ind w:right="40" w:firstLine="446"/>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83" w:lineRule="exact"/>
        <w:rPr>
          <w:sz w:val="20"/>
          <w:szCs w:val="20"/>
          <w:color w:val="auto"/>
        </w:rPr>
      </w:pPr>
    </w:p>
    <w:p>
      <w:pPr>
        <w:ind w:right="40" w:firstLine="446"/>
        <w:spacing w:after="0" w:line="254"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76" w:right="239" w:bottom="1440" w:gutter="0" w:footer="0" w:header="0"/>
        </w:sectPr>
      </w:pPr>
    </w:p>
    <w:bookmarkStart w:id="51" w:name="page52"/>
    <w:bookmarkEnd w:id="51"/>
    <w:p>
      <w:pPr>
        <w:ind w:right="200"/>
        <w:spacing w:after="0" w:line="277" w:lineRule="auto"/>
        <w:rPr>
          <w:sz w:val="20"/>
          <w:szCs w:val="20"/>
          <w:color w:val="auto"/>
        </w:rPr>
      </w:pPr>
      <w:r>
        <w:rPr>
          <w:rFonts w:ascii="Arial" w:cs="Arial" w:eastAsia="Arial" w:hAnsi="Arial"/>
          <w:sz w:val="18"/>
          <w:szCs w:val="18"/>
          <w:color w:val="auto"/>
        </w:rPr>
        <w:t>occurs, our competitors may take advantage of our investment in development and clinical trials by referencing our clinical and preclinical data and launch their product earlier than might otherwise be the case.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78" w:lineRule="exact"/>
        <w:rPr>
          <w:sz w:val="20"/>
          <w:szCs w:val="20"/>
          <w:color w:val="auto"/>
        </w:rPr>
      </w:pPr>
    </w:p>
    <w:p>
      <w:pPr>
        <w:ind w:right="100" w:firstLine="446"/>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 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patent law could diminish the value of patents in general, thereby impairing our ability to protect our product candidates.</w:t>
      </w:r>
    </w:p>
    <w:p>
      <w:pPr>
        <w:spacing w:after="0" w:line="133" w:lineRule="exact"/>
        <w:rPr>
          <w:sz w:val="20"/>
          <w:szCs w:val="20"/>
          <w:color w:val="auto"/>
        </w:rPr>
      </w:pPr>
    </w:p>
    <w:p>
      <w:pPr>
        <w:jc w:val="both"/>
        <w:ind w:right="220" w:firstLine="446"/>
        <w:spacing w:after="0" w:line="26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1" w:lineRule="exact"/>
        <w:rPr>
          <w:sz w:val="20"/>
          <w:szCs w:val="20"/>
          <w:color w:val="auto"/>
        </w:rPr>
      </w:pPr>
    </w:p>
    <w:p>
      <w:pPr>
        <w:ind w:right="140" w:firstLine="446"/>
        <w:spacing w:after="0" w:line="279"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71" w:lineRule="exact"/>
        <w:rPr>
          <w:sz w:val="20"/>
          <w:szCs w:val="20"/>
          <w:color w:val="auto"/>
        </w:rPr>
      </w:pPr>
    </w:p>
    <w:p>
      <w:pPr>
        <w:ind w:right="20" w:firstLine="446"/>
        <w:spacing w:after="0" w:line="276"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3"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584" w:right="29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uncertainties and costs surrounding the prosecution of our patent applications and the enforcement or defense of our issued patents.</w:t>
      </w:r>
    </w:p>
    <w:p>
      <w:pPr>
        <w:spacing w:after="0" w:line="225" w:lineRule="exact"/>
        <w:rPr>
          <w:sz w:val="20"/>
          <w:szCs w:val="20"/>
          <w:color w:val="auto"/>
        </w:rPr>
      </w:pPr>
    </w:p>
    <w:p>
      <w:pPr>
        <w:ind w:right="80" w:firstLine="446"/>
        <w:spacing w:after="0" w:line="268" w:lineRule="auto"/>
        <w:rPr>
          <w:sz w:val="20"/>
          <w:szCs w:val="20"/>
          <w:color w:val="auto"/>
        </w:rPr>
      </w:pPr>
      <w:r>
        <w:rPr>
          <w:rFonts w:ascii="Arial" w:cs="Arial" w:eastAsia="Arial" w:hAnsi="Arial"/>
          <w:sz w:val="17"/>
          <w:szCs w:val="17"/>
          <w:color w:val="auto"/>
        </w:rPr>
        <w:t>The USPTO has developed new regulations and procedures to govern administration of the Leahy-Smith Act, and many of the substantive changes to patent law associated with the Leahy-Smith Act, and, in particular, the first to file provisions, only became effective in 2013.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 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292"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ind w:right="20" w:firstLine="446"/>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7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8"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3" w:name="page54"/>
    <w:bookmarkEnd w:id="53"/>
    <w:p>
      <w:pPr>
        <w:ind w:right="40" w:firstLine="446"/>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8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8" w:lineRule="exact"/>
        <w:rPr>
          <w:sz w:val="20"/>
          <w:szCs w:val="20"/>
          <w:color w:val="auto"/>
        </w:rPr>
      </w:pPr>
    </w:p>
    <w:p>
      <w:pPr>
        <w:ind w:right="160" w:firstLine="446"/>
        <w:spacing w:after="0" w:line="288" w:lineRule="auto"/>
        <w:rPr>
          <w:sz w:val="20"/>
          <w:szCs w:val="20"/>
          <w:color w:val="auto"/>
        </w:rPr>
      </w:pPr>
      <w:r>
        <w:rPr>
          <w:rFonts w:ascii="Arial" w:cs="Arial" w:eastAsia="Arial" w:hAnsi="Arial"/>
          <w:sz w:val="16"/>
          <w:szCs w:val="16"/>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69"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in the United States or other jurisdictions.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195" w:lineRule="exact"/>
        <w:rPr>
          <w:sz w:val="20"/>
          <w:szCs w:val="20"/>
          <w:color w:val="auto"/>
        </w:rPr>
      </w:pPr>
    </w:p>
    <w:p>
      <w:pPr>
        <w:ind w:right="120" w:firstLine="446"/>
        <w:spacing w:after="0" w:line="279" w:lineRule="auto"/>
        <w:rPr>
          <w:sz w:val="20"/>
          <w:szCs w:val="20"/>
          <w:color w:val="auto"/>
        </w:rPr>
      </w:pPr>
      <w:r>
        <w:rPr>
          <w:rFonts w:ascii="Arial" w:cs="Arial" w:eastAsia="Arial" w:hAnsi="Arial"/>
          <w:sz w:val="17"/>
          <w:szCs w:val="17"/>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584" w:right="279" w:bottom="1440" w:gutter="0" w:footer="0" w:header="0"/>
        </w:sectPr>
      </w:pPr>
    </w:p>
    <w:bookmarkStart w:id="54" w:name="page55"/>
    <w:bookmarkEnd w:id="54"/>
    <w:p>
      <w:pPr>
        <w:ind w:right="80" w:firstLine="446"/>
        <w:spacing w:after="0" w:line="24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292"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If we breach the license agreements related to our product candidates, we could lose the ability to continue the development and commercialization of our product candidates.</w:t>
      </w:r>
    </w:p>
    <w:p>
      <w:pPr>
        <w:spacing w:after="0" w:line="58" w:lineRule="exact"/>
        <w:rPr>
          <w:sz w:val="20"/>
          <w:szCs w:val="20"/>
          <w:color w:val="auto"/>
        </w:rPr>
      </w:pPr>
    </w:p>
    <w:p>
      <w:pPr>
        <w:ind w:right="60" w:firstLine="446"/>
        <w:spacing w:after="0" w:line="270" w:lineRule="auto"/>
        <w:rPr>
          <w:sz w:val="20"/>
          <w:szCs w:val="20"/>
          <w:color w:val="auto"/>
        </w:rPr>
      </w:pPr>
      <w:r>
        <w:rPr>
          <w:rFonts w:ascii="Arial" w:cs="Arial" w:eastAsia="Arial" w:hAnsi="Arial"/>
          <w:sz w:val="16"/>
          <w:szCs w:val="16"/>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04" w:lineRule="exact"/>
        <w:rPr>
          <w:sz w:val="20"/>
          <w:szCs w:val="20"/>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26" w:lineRule="exact"/>
        <w:rPr>
          <w:rFonts w:ascii="Arial" w:cs="Arial" w:eastAsia="Arial" w:hAnsi="Arial"/>
          <w:sz w:val="16"/>
          <w:szCs w:val="16"/>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03" w:lineRule="exact"/>
        <w:rPr>
          <w:rFonts w:ascii="Arial" w:cs="Arial" w:eastAsia="Arial" w:hAnsi="Arial"/>
          <w:sz w:val="18"/>
          <w:szCs w:val="18"/>
          <w:color w:val="auto"/>
        </w:rPr>
      </w:pPr>
    </w:p>
    <w:p>
      <w:pPr>
        <w:ind w:left="880" w:right="580" w:hanging="440"/>
        <w:spacing w:after="0" w:line="262"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61"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12" w:lineRule="exact"/>
        <w:rPr>
          <w:sz w:val="20"/>
          <w:szCs w:val="20"/>
          <w:color w:val="auto"/>
        </w:rPr>
      </w:pPr>
    </w:p>
    <w:p>
      <w:pPr>
        <w:ind w:right="220" w:firstLine="446"/>
        <w:spacing w:after="0" w:line="262"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73"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3" w:lineRule="exact"/>
        <w:rPr>
          <w:sz w:val="20"/>
          <w:szCs w:val="20"/>
          <w:color w:val="auto"/>
        </w:rPr>
      </w:pPr>
    </w:p>
    <w:p>
      <w:pPr>
        <w:ind w:right="100" w:firstLine="446"/>
        <w:spacing w:after="0"/>
        <w:rPr>
          <w:sz w:val="20"/>
          <w:szCs w:val="20"/>
          <w:color w:val="auto"/>
        </w:rPr>
      </w:pPr>
      <w:r>
        <w:rPr>
          <w:rFonts w:ascii="Arial" w:cs="Arial" w:eastAsia="Arial" w:hAnsi="Arial"/>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90" w:lineRule="exact"/>
        <w:rPr>
          <w:sz w:val="20"/>
          <w:szCs w:val="20"/>
          <w:color w:val="auto"/>
        </w:rPr>
      </w:pPr>
    </w:p>
    <w:p>
      <w:pPr>
        <w:ind w:right="360" w:firstLine="446"/>
        <w:spacing w:after="0" w:line="297"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584" w:right="259" w:bottom="1440" w:gutter="0" w:footer="0" w:header="0"/>
        </w:sectPr>
      </w:pPr>
    </w:p>
    <w:bookmarkStart w:id="55" w:name="page56"/>
    <w:bookmarkEnd w:id="55"/>
    <w:p>
      <w:pPr>
        <w:jc w:val="both"/>
        <w:ind w:right="100"/>
        <w:spacing w:after="0" w:line="279" w:lineRule="auto"/>
        <w:rPr>
          <w:sz w:val="20"/>
          <w:szCs w:val="20"/>
          <w:color w:val="auto"/>
        </w:rPr>
      </w:pPr>
      <w:r>
        <w:rPr>
          <w:rFonts w:ascii="Arial" w:cs="Arial" w:eastAsia="Arial" w:hAnsi="Arial"/>
          <w:sz w:val="17"/>
          <w:szCs w:val="17"/>
          <w:color w:val="auto"/>
        </w:rPr>
        <w:t>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7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8" w:lineRule="exact"/>
        <w:rPr>
          <w:sz w:val="20"/>
          <w:szCs w:val="20"/>
          <w:color w:val="auto"/>
        </w:rPr>
      </w:pPr>
    </w:p>
    <w:p>
      <w:pPr>
        <w:ind w:right="140" w:firstLine="446"/>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and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8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8" w:lineRule="exact"/>
        <w:rPr>
          <w:sz w:val="20"/>
          <w:szCs w:val="20"/>
          <w:color w:val="auto"/>
        </w:rPr>
      </w:pPr>
    </w:p>
    <w:p>
      <w:pPr>
        <w:ind w:right="20" w:firstLine="446"/>
        <w:spacing w:after="0" w:line="271"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62" w:lineRule="exact"/>
        <w:rPr>
          <w:sz w:val="20"/>
          <w:szCs w:val="20"/>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880" w:right="1000" w:hanging="440"/>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our public offerings and may not use them effectively.</w:t>
      </w:r>
    </w:p>
    <w:p>
      <w:pPr>
        <w:spacing w:after="0" w:line="121"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688" w:right="2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right="20" w:firstLine="446"/>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are an emerging growth company, and we cannot be certain if the reduced reporting requirements applicable to emerging growth companies will make our common stock less attractive to investors.</w:t>
      </w:r>
    </w:p>
    <w:p>
      <w:pPr>
        <w:spacing w:after="0" w:line="58" w:lineRule="exact"/>
        <w:rPr>
          <w:sz w:val="20"/>
          <w:szCs w:val="20"/>
          <w:color w:val="auto"/>
        </w:rPr>
      </w:pPr>
    </w:p>
    <w:p>
      <w:pPr>
        <w:ind w:right="40" w:firstLine="446"/>
        <w:spacing w:after="0" w:line="271"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the Sarbanes-Oxley Act, reduced disclosure obligations regarding executive compensation in our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9" w:lineRule="exact"/>
        <w:rPr>
          <w:sz w:val="20"/>
          <w:szCs w:val="20"/>
          <w:color w:val="auto"/>
        </w:rPr>
      </w:pPr>
    </w:p>
    <w:p>
      <w:pPr>
        <w:ind w:right="20" w:firstLine="446"/>
        <w:spacing w:after="0" w:line="27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are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73" w:lineRule="exact"/>
        <w:rPr>
          <w:sz w:val="20"/>
          <w:szCs w:val="20"/>
          <w:color w:val="auto"/>
        </w:rPr>
      </w:pPr>
    </w:p>
    <w:p>
      <w:pPr>
        <w:ind w:right="20" w:firstLine="446"/>
        <w:spacing w:after="0" w:line="276" w:lineRule="auto"/>
        <w:rPr>
          <w:sz w:val="20"/>
          <w:szCs w:val="20"/>
          <w:color w:val="auto"/>
        </w:rPr>
      </w:pPr>
      <w:r>
        <w:rPr>
          <w:rFonts w:ascii="Arial" w:cs="Arial" w:eastAsia="Arial" w:hAnsi="Arial"/>
          <w:sz w:val="17"/>
          <w:szCs w:val="17"/>
          <w:color w:val="auto"/>
        </w:rPr>
        <w:t>We will remain an emerging growth company until the earlier of (i) the last day of the fiscal year (a) following the fifth anniversary of the closing of our initial public offering, (b) in which we have total annual gross revenue of at least $1 billion or (c) in which we are deemed to be a large accelerated filer, which requires the market value of our common stock that is held by non-affiliates to exceed $700 million as of the prior June 30th, and (ii) the date on which we have issued more than $1 billion in non-convertible debt during the prior three-year period. We no longer expect to be an emerging growth company in fiscal year 2018, and if so, will need to comply with the auditor attestation requirements of Section 404 of the Sarbanes-Oxley Act.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increased costs and devote substantial management time as a result of operating as a public company.</w:t>
      </w:r>
    </w:p>
    <w:p>
      <w:pPr>
        <w:spacing w:after="0" w:line="121" w:lineRule="exact"/>
        <w:rPr>
          <w:sz w:val="20"/>
          <w:szCs w:val="20"/>
          <w:color w:val="auto"/>
        </w:rPr>
      </w:pPr>
    </w:p>
    <w:p>
      <w:pPr>
        <w:ind w:right="60" w:firstLine="446"/>
        <w:spacing w:after="0" w:line="270"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Moreover, these rules and regulations substantially increase our legal and financial compliance costs and make some activities more time-consuming and costly. The increased costs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2" w:lineRule="exact"/>
        <w:rPr>
          <w:sz w:val="20"/>
          <w:szCs w:val="20"/>
          <w:color w:val="auto"/>
        </w:rPr>
      </w:pPr>
    </w:p>
    <w:p>
      <w:pPr>
        <w:ind w:right="100" w:firstLine="446"/>
        <w:spacing w:after="0" w:line="270" w:lineRule="auto"/>
        <w:rPr>
          <w:sz w:val="20"/>
          <w:szCs w:val="20"/>
          <w:color w:val="auto"/>
        </w:rPr>
      </w:pPr>
      <w:r>
        <w:rPr>
          <w:rFonts w:ascii="Arial" w:cs="Arial" w:eastAsia="Arial" w:hAnsi="Arial"/>
          <w:sz w:val="17"/>
          <w:szCs w:val="17"/>
          <w:color w:val="auto"/>
        </w:rPr>
        <w:t>In addition, as a public company we incur additional costs and obligations in order to comply with SEC rules that implement Section 404 of the Sarbanes-Oxley Act. Under these rules, beginning with our annual report for the year ending December 31, 2017, we were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engaged in a process to document and evaluate our internal control over financial reporting, which is both costly and challenging. In this regard, we have dedicated and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688" w:right="259" w:bottom="1440" w:gutter="0" w:footer="0" w:header="0"/>
        </w:sectPr>
      </w:pPr>
    </w:p>
    <w:bookmarkStart w:id="58" w:name="page59"/>
    <w:bookmarkEnd w:id="58"/>
    <w:p>
      <w:pPr>
        <w:ind w:right="120"/>
        <w:spacing w:after="0" w:line="282" w:lineRule="auto"/>
        <w:rPr>
          <w:sz w:val="20"/>
          <w:szCs w:val="20"/>
          <w:color w:val="auto"/>
        </w:rPr>
      </w:pPr>
      <w:r>
        <w:rPr>
          <w:rFonts w:ascii="Arial" w:cs="Arial" w:eastAsia="Arial" w:hAnsi="Arial"/>
          <w:sz w:val="18"/>
          <w:szCs w:val="18"/>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58" w:lineRule="exact"/>
        <w:rPr>
          <w:sz w:val="20"/>
          <w:szCs w:val="20"/>
          <w:color w:val="auto"/>
        </w:rPr>
      </w:pPr>
    </w:p>
    <w:p>
      <w:pPr>
        <w:ind w:firstLine="446"/>
        <w:spacing w:after="0" w:line="290" w:lineRule="auto"/>
        <w:rPr>
          <w:sz w:val="20"/>
          <w:szCs w:val="20"/>
          <w:color w:val="auto"/>
        </w:rPr>
      </w:pPr>
      <w:r>
        <w:rPr>
          <w:rFonts w:ascii="Arial" w:cs="Arial" w:eastAsia="Arial" w:hAnsi="Arial"/>
          <w:sz w:val="16"/>
          <w:szCs w:val="16"/>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240" w:firstLine="446"/>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58"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3"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17" w:lineRule="exact"/>
        <w:rPr>
          <w:rFonts w:ascii="Arial" w:cs="Arial" w:eastAsia="Arial" w:hAnsi="Arial"/>
          <w:sz w:val="18"/>
          <w:szCs w:val="18"/>
          <w:color w:val="auto"/>
        </w:rPr>
      </w:pPr>
    </w:p>
    <w:p>
      <w:pPr>
        <w:ind w:left="880" w:right="60" w:hanging="440"/>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688" w:right="279" w:bottom="1440" w:gutter="0" w:footer="0" w:header="0"/>
        </w:sectPr>
      </w:pPr>
    </w:p>
    <w:bookmarkStart w:id="59" w:name="page60"/>
    <w:bookmarkEnd w:id="59"/>
    <w:p>
      <w:pPr>
        <w:ind w:left="880" w:hanging="440"/>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right="160" w:firstLine="446"/>
        <w:spacing w:after="0" w:line="34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2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8"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additional issuances of equity securities.</w:t>
      </w:r>
    </w:p>
    <w:p>
      <w:pPr>
        <w:spacing w:after="0" w:line="72" w:lineRule="exact"/>
        <w:rPr>
          <w:sz w:val="20"/>
          <w:szCs w:val="20"/>
          <w:color w:val="auto"/>
        </w:rPr>
      </w:pPr>
    </w:p>
    <w:p>
      <w:pPr>
        <w:ind w:right="60" w:firstLine="446"/>
        <w:spacing w:after="0" w:line="269" w:lineRule="auto"/>
        <w:rPr>
          <w:sz w:val="20"/>
          <w:szCs w:val="20"/>
          <w:color w:val="auto"/>
        </w:rPr>
      </w:pPr>
      <w:r>
        <w:rPr>
          <w:rFonts w:ascii="Arial" w:cs="Arial" w:eastAsia="Arial" w:hAnsi="Arial"/>
          <w:sz w:val="17"/>
          <w:szCs w:val="17"/>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or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2016, noting no ownership changes during fiscal 2015 or fiscal 2016.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75" w:lineRule="exact"/>
        <w:rPr>
          <w:sz w:val="20"/>
          <w:szCs w:val="20"/>
          <w:color w:val="auto"/>
        </w:rPr>
      </w:pPr>
    </w:p>
    <w:p>
      <w:pPr>
        <w:ind w:right="40" w:firstLine="554"/>
        <w:spacing w:after="0" w:line="288" w:lineRule="auto"/>
        <w:rPr>
          <w:sz w:val="20"/>
          <w:szCs w:val="20"/>
          <w:color w:val="auto"/>
        </w:rPr>
      </w:pPr>
      <w:r>
        <w:rPr>
          <w:rFonts w:ascii="Arial" w:cs="Arial" w:eastAsia="Arial" w:hAnsi="Arial"/>
          <w:sz w:val="16"/>
          <w:szCs w:val="16"/>
          <w:color w:val="auto"/>
        </w:rPr>
        <w:t>On December 22, 2017, the President of the United States, signed into law the Tax Reform Act. The legislation significantly changes U.S. tax law by, among other things, lowering the corporate income tax rates. The Tax Reform Act permanently reduces the U.S. corporate income tax rate from a maximum of 35% to a flat 21% rate, effective January 1, 2018. Additionally, the Tax Reform Act will no longer allow deductions for compensation in excess of $1 million for certain employees, even if paid as commissions or performance based compensation. We may be subject to these limitations as provided for under Section 162(m) of the Internal Revenue Code in the future. The Tax Reform Act also limits the amount taxpayers are able to deduct for federal net operating loss (NOL) carryforwards generated in taxable years beginning after December 31, 2017 to 80% of the taxpayer’s taxable income. The law also generally repeals all carrybacks. However, any NOLs generated in taxable years after December 31, 2017 can be carried forward indefinitely. Losses arising in taxable years beginning before December 31, 2017 may still be carried back two years and are subject to their current expiration period. As of December 31, 2017, we have approximately $60.1 million of federal NOLs that were generated prior to 2018 which expire beginning December 31, 2028 through December 31, 2037, if not used to reduce income taxes payable in the future. Federal NOLs generated by us subsequent to 2017 may only offset 80% of taxable income.</w:t>
      </w:r>
    </w:p>
    <w:p>
      <w:pPr>
        <w:spacing w:after="0" w:line="61" w:lineRule="exact"/>
        <w:rPr>
          <w:sz w:val="20"/>
          <w:szCs w:val="20"/>
          <w:color w:val="auto"/>
        </w:rPr>
      </w:pPr>
    </w:p>
    <w:p>
      <w:pPr>
        <w:ind w:right="120" w:firstLine="554"/>
        <w:spacing w:after="0" w:line="255" w:lineRule="auto"/>
        <w:rPr>
          <w:sz w:val="20"/>
          <w:szCs w:val="20"/>
          <w:color w:val="auto"/>
        </w:rPr>
      </w:pPr>
      <w:r>
        <w:rPr>
          <w:rFonts w:ascii="Arial" w:cs="Arial" w:eastAsia="Arial" w:hAnsi="Arial"/>
          <w:sz w:val="18"/>
          <w:szCs w:val="18"/>
          <w:color w:val="auto"/>
        </w:rPr>
        <w:t>The SEC staff issued Staff Accounting Bulletin No. 118, or “SAB 118” to address the application of U.S. GAAP in situations when a registrant does not have the necessary information available, prepared or analyzed (including computations) in reasonable detail to complete the accounting for certain income tax effects of the Tax Reform Act. We have recognized provision tax impacts related to the revaluation of deferred tax assets and liabilities and included this amount in its consolidated financial statements for the year ended December 31, 2017. The ultimate impact may differ from these provision amounts, due to, among other things, additional analysis, changes in interpretations and assumptions we have made, additional regulatory guidance that may be issued, and actions we may take as a result of the Tax Reform Act. The accounting is expected to be complete when the 2017 U.S. corporate income tax return is filed in 2018.</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76"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On January 25, 2017, our Registration Statement on Form S-1 (File No. 333-206849) relating to the IPO of our common stock was declared effective by the SEC. Pursuant to such Registration Statement, we sold an aggregate of 5,750,000 shares of our common stock at a price of $15.00 per share. Credit Suisse Securities (USA) LLC, Stifel, Nicolaus &amp; Company, Incorporated, JMP Securities LLC and Wedbush Securities Inc. acted as underwriters. On January 31, 2017, we closed the sale of such shares, resulting in aggregate cash proceeds to us of approximately $80.2 million, net of underwriting discounts and commissions.</w:t>
      </w:r>
    </w:p>
    <w:p>
      <w:pPr>
        <w:spacing w:after="0" w:line="188" w:lineRule="exact"/>
        <w:rPr>
          <w:sz w:val="20"/>
          <w:szCs w:val="20"/>
          <w:color w:val="auto"/>
        </w:rPr>
      </w:pPr>
    </w:p>
    <w:p>
      <w:pPr>
        <w:ind w:right="360" w:firstLine="446"/>
        <w:spacing w:after="0" w:line="277" w:lineRule="auto"/>
        <w:rPr>
          <w:sz w:val="20"/>
          <w:szCs w:val="20"/>
          <w:color w:val="auto"/>
        </w:rPr>
      </w:pPr>
      <w:r>
        <w:rPr>
          <w:rFonts w:ascii="Arial" w:cs="Arial" w:eastAsia="Arial" w:hAnsi="Arial"/>
          <w:sz w:val="18"/>
          <w:szCs w:val="18"/>
          <w:color w:val="auto"/>
        </w:rPr>
        <w:t>There has been no material change in the expected use of the net proceeds from our IPO, as described in our final prospectus filed with the SEC on January 26, 2017 pursuant to Rule 424(b) under the Securities Act of 1933, as amended.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exhibits filed or furnished as part of this Quarterly Report on Form 10-Q are set forth on the Exhibit Index, below.</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526" w:right="2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gridSpan w:val="4"/>
          </w:tcPr>
          <w:p>
            <w:pPr>
              <w:ind w:left="3840"/>
              <w:spacing w:after="0"/>
              <w:rPr>
                <w:sz w:val="20"/>
                <w:szCs w:val="20"/>
                <w:color w:val="auto"/>
              </w:rPr>
            </w:pPr>
            <w:r>
              <w:rPr>
                <w:rFonts w:ascii="Arial" w:cs="Arial" w:eastAsia="Arial" w:hAnsi="Arial"/>
                <w:sz w:val="18"/>
                <w:szCs w:val="18"/>
                <w:b w:val="1"/>
                <w:bCs w:val="1"/>
                <w:color w:val="auto"/>
              </w:rPr>
              <w:t>EXHIBIT INDEX</w:t>
            </w:r>
          </w:p>
        </w:tc>
      </w:tr>
      <w:tr>
        <w:trPr>
          <w:trHeight w:val="607"/>
        </w:trPr>
        <w:tc>
          <w:tcPr>
            <w:tcW w:w="1160" w:type="dxa"/>
            <w:vAlign w:val="bottom"/>
            <w:gridSpan w:val="6"/>
          </w:tcPr>
          <w:p>
            <w:pPr>
              <w:ind w:left="24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1160" w:type="dxa"/>
            <w:vAlign w:val="bottom"/>
            <w:gridSpan w:val="6"/>
          </w:tcPr>
          <w:p>
            <w:pPr>
              <w:ind w:left="24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10120" w:type="dxa"/>
            <w:vAlign w:val="bottom"/>
            <w:gridSpan w:val="4"/>
          </w:tcPr>
          <w:p>
            <w:pPr>
              <w:ind w:left="4360"/>
              <w:spacing w:after="0"/>
              <w:rPr>
                <w:sz w:val="20"/>
                <w:szCs w:val="20"/>
                <w:color w:val="auto"/>
              </w:rPr>
            </w:pPr>
            <w:r>
              <w:rPr>
                <w:rFonts w:ascii="Arial" w:cs="Arial" w:eastAsia="Arial" w:hAnsi="Arial"/>
                <w:sz w:val="16"/>
                <w:szCs w:val="16"/>
                <w:b w:val="1"/>
                <w:bCs w:val="1"/>
                <w:color w:val="auto"/>
              </w:rPr>
              <w:t>Exhibit Description</w:t>
            </w:r>
          </w:p>
        </w:tc>
      </w:tr>
      <w:tr>
        <w:trPr>
          <w:trHeight w:val="114"/>
        </w:trPr>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6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r>
      <w:tr>
        <w:trPr>
          <w:trHeight w:val="183"/>
        </w:trPr>
        <w:tc>
          <w:tcPr>
            <w:tcW w:w="660" w:type="dxa"/>
            <w:vAlign w:val="bottom"/>
            <w:gridSpan w:val="3"/>
          </w:tcPr>
          <w:p>
            <w:pPr>
              <w:jc w:val="center"/>
              <w:ind w:left="299"/>
              <w:spacing w:after="0" w:line="183" w:lineRule="exact"/>
              <w:rPr>
                <w:rFonts w:ascii="Arial" w:cs="Arial" w:eastAsia="Arial" w:hAnsi="Arial"/>
                <w:sz w:val="16"/>
                <w:szCs w:val="16"/>
                <w:color w:val="0000FF"/>
                <w:w w:val="89"/>
              </w:rPr>
            </w:pPr>
            <w:hyperlink w:anchor="page64">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hyperlink>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gridSpan w:val="4"/>
          </w:tcPr>
          <w:p>
            <w:pPr>
              <w:spacing w:after="0" w:line="183" w:lineRule="exact"/>
              <w:rPr>
                <w:rFonts w:ascii="Arial" w:cs="Arial" w:eastAsia="Arial" w:hAnsi="Arial"/>
                <w:sz w:val="16"/>
                <w:szCs w:val="16"/>
                <w:color w:val="0000FF"/>
                <w:w w:val="93"/>
              </w:rPr>
            </w:pPr>
            <w:hyperlink w:anchor="page64">
              <w:r>
                <w:rPr>
                  <w:rFonts w:ascii="Arial" w:cs="Arial" w:eastAsia="Arial" w:hAnsi="Arial"/>
                  <w:sz w:val="16"/>
                  <w:szCs w:val="16"/>
                  <w:color w:val="0000FF"/>
                  <w:w w:val="93"/>
                </w:rPr>
                <w:t>Certification of Principal Executive Officer, pursuant to Rule 13a-14(a)/15d-14(a), as adopted pursuant to Section 302 of the Sarbanes-Oxley Act of 2002.</w:t>
              </w:r>
            </w:hyperlink>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660" w:type="dxa"/>
            <w:vAlign w:val="bottom"/>
            <w:gridSpan w:val="3"/>
          </w:tcPr>
          <w:p>
            <w:pPr>
              <w:jc w:val="center"/>
              <w:ind w:left="299"/>
              <w:spacing w:after="0"/>
              <w:rPr>
                <w:rFonts w:ascii="Arial" w:cs="Arial" w:eastAsia="Arial" w:hAnsi="Arial"/>
                <w:sz w:val="16"/>
                <w:szCs w:val="16"/>
                <w:color w:val="0000FF"/>
                <w:w w:val="89"/>
              </w:rPr>
            </w:pPr>
            <w:hyperlink w:anchor="page65">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hyperlink>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4"/>
          </w:tcPr>
          <w:p>
            <w:pPr>
              <w:spacing w:after="0"/>
              <w:rPr>
                <w:rFonts w:ascii="Arial" w:cs="Arial" w:eastAsia="Arial" w:hAnsi="Arial"/>
                <w:sz w:val="16"/>
                <w:szCs w:val="16"/>
                <w:color w:val="0000FF"/>
                <w:w w:val="94"/>
              </w:rPr>
            </w:pPr>
            <w:hyperlink w:anchor="page65">
              <w:r>
                <w:rPr>
                  <w:rFonts w:ascii="Arial" w:cs="Arial" w:eastAsia="Arial" w:hAnsi="Arial"/>
                  <w:sz w:val="16"/>
                  <w:szCs w:val="16"/>
                  <w:color w:val="0000FF"/>
                  <w:w w:val="94"/>
                </w:rPr>
                <w:t>Certification of Principal Financial Officer, pursuant to Rule 13a-14(a)/15d-14(a), as adopted pursuant to Section 302 of the Sarbanes-Oxley Act of 2002</w:t>
              </w:r>
            </w:hyperlink>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18"/>
        </w:trPr>
        <w:tc>
          <w:tcPr>
            <w:tcW w:w="700" w:type="dxa"/>
            <w:vAlign w:val="bottom"/>
            <w:gridSpan w:val="4"/>
          </w:tcPr>
          <w:p>
            <w:pPr>
              <w:jc w:val="center"/>
              <w:ind w:left="259"/>
              <w:spacing w:after="0"/>
              <w:rPr>
                <w:rFonts w:ascii="Arial" w:cs="Arial" w:eastAsia="Arial" w:hAnsi="Arial"/>
                <w:sz w:val="16"/>
                <w:szCs w:val="16"/>
                <w:color w:val="0000FF"/>
                <w:w w:val="96"/>
              </w:rPr>
            </w:pPr>
            <w:hyperlink w:anchor="page66">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4"/>
          </w:tcPr>
          <w:p>
            <w:pPr>
              <w:spacing w:after="0"/>
              <w:rPr>
                <w:rFonts w:ascii="Arial" w:cs="Arial" w:eastAsia="Arial" w:hAnsi="Arial"/>
                <w:sz w:val="16"/>
                <w:szCs w:val="16"/>
                <w:color w:val="0000FF"/>
                <w:w w:val="96"/>
              </w:rPr>
            </w:pPr>
            <w:hyperlink w:anchor="page66">
              <w:r>
                <w:rPr>
                  <w:rFonts w:ascii="Arial" w:cs="Arial" w:eastAsia="Arial" w:hAnsi="Arial"/>
                  <w:sz w:val="16"/>
                  <w:szCs w:val="16"/>
                  <w:color w:val="0000FF"/>
                  <w:w w:val="96"/>
                </w:rPr>
                <w:t>Certification of Chief Executive Officer, pursuant to 18 U.S.C. Section 1350, as adopted pursuant to Section 906 of the Sarbanes-Oxley Act of 2002.</w:t>
              </w:r>
            </w:hyperlink>
          </w:p>
        </w:tc>
      </w:tr>
      <w:tr>
        <w:trPr>
          <w:trHeight w:val="20"/>
        </w:trPr>
        <w:tc>
          <w:tcPr>
            <w:tcW w:w="34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3"/>
          </w:tcPr>
          <w:p>
            <w:pPr>
              <w:spacing w:after="0" w:line="20" w:lineRule="exact"/>
              <w:rPr>
                <w:sz w:val="1"/>
                <w:szCs w:val="1"/>
                <w:color w:val="auto"/>
              </w:rPr>
            </w:pPr>
          </w:p>
        </w:tc>
      </w:tr>
      <w:tr>
        <w:trPr>
          <w:trHeight w:val="318"/>
        </w:trPr>
        <w:tc>
          <w:tcPr>
            <w:tcW w:w="700" w:type="dxa"/>
            <w:vAlign w:val="bottom"/>
            <w:gridSpan w:val="4"/>
          </w:tcPr>
          <w:p>
            <w:pPr>
              <w:jc w:val="center"/>
              <w:ind w:left="259"/>
              <w:spacing w:after="0"/>
              <w:rPr>
                <w:rFonts w:ascii="Arial" w:cs="Arial" w:eastAsia="Arial" w:hAnsi="Arial"/>
                <w:sz w:val="16"/>
                <w:szCs w:val="16"/>
                <w:color w:val="0000FF"/>
                <w:w w:val="96"/>
              </w:rPr>
            </w:pPr>
            <w:hyperlink w:anchor="page67">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2*</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4"/>
          </w:tcPr>
          <w:p>
            <w:pPr>
              <w:spacing w:after="0"/>
              <w:rPr>
                <w:rFonts w:ascii="Arial" w:cs="Arial" w:eastAsia="Arial" w:hAnsi="Arial"/>
                <w:sz w:val="16"/>
                <w:szCs w:val="16"/>
                <w:color w:val="0000FF"/>
                <w:w w:val="97"/>
              </w:rPr>
            </w:pPr>
            <w:hyperlink w:anchor="page67">
              <w:r>
                <w:rPr>
                  <w:rFonts w:ascii="Arial" w:cs="Arial" w:eastAsia="Arial" w:hAnsi="Arial"/>
                  <w:sz w:val="16"/>
                  <w:szCs w:val="16"/>
                  <w:color w:val="0000FF"/>
                  <w:w w:val="97"/>
                </w:rPr>
                <w:t>Certification of Chief Financial Officer, pursuant to 18 U.S.C. Section 1350, as adopted pursuant to Section 906 of the Sarbanes-Oxley Act of 2002.</w:t>
              </w:r>
            </w:hyperlink>
          </w:p>
        </w:tc>
      </w:tr>
      <w:tr>
        <w:trPr>
          <w:trHeight w:val="20"/>
        </w:trPr>
        <w:tc>
          <w:tcPr>
            <w:tcW w:w="34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r>
      <w:tr>
        <w:trPr>
          <w:trHeight w:val="352"/>
        </w:trPr>
        <w:tc>
          <w:tcPr>
            <w:tcW w:w="1160" w:type="dxa"/>
            <w:vAlign w:val="bottom"/>
            <w:gridSpan w:val="6"/>
          </w:tcPr>
          <w:p>
            <w:pPr>
              <w:ind w:left="24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24"/>
                <w:szCs w:val="24"/>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XBRL Report Instance Document</w:t>
            </w:r>
          </w:p>
        </w:tc>
      </w:tr>
      <w:tr>
        <w:trPr>
          <w:trHeight w:val="338"/>
        </w:trPr>
        <w:tc>
          <w:tcPr>
            <w:tcW w:w="1160" w:type="dxa"/>
            <w:vAlign w:val="bottom"/>
            <w:gridSpan w:val="6"/>
          </w:tcPr>
          <w:p>
            <w:pPr>
              <w:ind w:left="2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24"/>
                <w:szCs w:val="24"/>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XBRL Taxonomy Extension Schema Document</w:t>
            </w:r>
          </w:p>
        </w:tc>
      </w:tr>
      <w:tr>
        <w:trPr>
          <w:trHeight w:val="338"/>
        </w:trPr>
        <w:tc>
          <w:tcPr>
            <w:tcW w:w="1160" w:type="dxa"/>
            <w:vAlign w:val="bottom"/>
            <w:gridSpan w:val="6"/>
          </w:tcPr>
          <w:p>
            <w:pPr>
              <w:ind w:left="2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24"/>
                <w:szCs w:val="24"/>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XBRL Taxonomy Calculation Linkbase Document</w:t>
            </w:r>
          </w:p>
        </w:tc>
      </w:tr>
      <w:tr>
        <w:trPr>
          <w:trHeight w:val="338"/>
        </w:trPr>
        <w:tc>
          <w:tcPr>
            <w:tcW w:w="1160" w:type="dxa"/>
            <w:vAlign w:val="bottom"/>
            <w:gridSpan w:val="6"/>
          </w:tcPr>
          <w:p>
            <w:pPr>
              <w:ind w:left="2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24"/>
                <w:szCs w:val="24"/>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XBRL Taxonomy Label Linkbase Document</w:t>
            </w:r>
          </w:p>
        </w:tc>
      </w:tr>
      <w:tr>
        <w:trPr>
          <w:trHeight w:val="338"/>
        </w:trPr>
        <w:tc>
          <w:tcPr>
            <w:tcW w:w="1160" w:type="dxa"/>
            <w:vAlign w:val="bottom"/>
            <w:gridSpan w:val="6"/>
          </w:tcPr>
          <w:p>
            <w:pPr>
              <w:ind w:left="24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4"/>
                <w:szCs w:val="24"/>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XBRL Presentation Linkbase Document</w:t>
            </w:r>
          </w:p>
        </w:tc>
      </w:tr>
      <w:tr>
        <w:trPr>
          <w:trHeight w:val="338"/>
        </w:trPr>
        <w:tc>
          <w:tcPr>
            <w:tcW w:w="1160" w:type="dxa"/>
            <w:vAlign w:val="bottom"/>
            <w:gridSpan w:val="6"/>
          </w:tcPr>
          <w:p>
            <w:pPr>
              <w:ind w:left="2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24"/>
                <w:szCs w:val="24"/>
                <w:color w:val="auto"/>
              </w:rPr>
            </w:pPr>
          </w:p>
        </w:tc>
        <w:tc>
          <w:tcPr>
            <w:tcW w:w="10120" w:type="dxa"/>
            <w:vAlign w:val="bottom"/>
            <w:gridSpan w:val="4"/>
          </w:tcPr>
          <w:p>
            <w:pPr>
              <w:spacing w:after="0"/>
              <w:rPr>
                <w:sz w:val="20"/>
                <w:szCs w:val="20"/>
                <w:color w:val="auto"/>
              </w:rPr>
            </w:pPr>
            <w:r>
              <w:rPr>
                <w:rFonts w:ascii="Arial" w:cs="Arial" w:eastAsia="Arial" w:hAnsi="Arial"/>
                <w:sz w:val="16"/>
                <w:szCs w:val="16"/>
                <w:color w:val="auto"/>
              </w:rPr>
              <w:t>XBRL Taxonomy Extension Definition Linkbase Document</w:t>
            </w:r>
          </w:p>
        </w:tc>
      </w:tr>
    </w:tbl>
    <w:p>
      <w:pPr>
        <w:spacing w:after="0" w:line="32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364" w:right="319" w:bottom="1440" w:gutter="0" w:footer="0" w:header="0"/>
        </w:sectPr>
      </w:pPr>
    </w:p>
    <w:bookmarkStart w:id="62" w:name="page63"/>
    <w:bookmarkEnd w:id="6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560" w:type="dxa"/>
            <w:vAlign w:val="bottom"/>
            <w:gridSpan w:val="2"/>
          </w:tcPr>
          <w:p>
            <w:pPr>
              <w:ind w:left="2560"/>
              <w:spacing w:after="0"/>
              <w:rPr>
                <w:sz w:val="20"/>
                <w:szCs w:val="20"/>
                <w:color w:val="auto"/>
              </w:rPr>
            </w:pPr>
            <w:r>
              <w:rPr>
                <w:rFonts w:ascii="Arial" w:cs="Arial" w:eastAsia="Arial" w:hAnsi="Arial"/>
                <w:sz w:val="18"/>
                <w:szCs w:val="18"/>
                <w:color w:val="auto"/>
              </w:rPr>
              <w:t>ANAPTYSBIO, INC.</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60"/>
              <w:spacing w:after="0"/>
              <w:rPr>
                <w:sz w:val="20"/>
                <w:szCs w:val="20"/>
                <w:color w:val="auto"/>
              </w:rPr>
            </w:pPr>
            <w:r>
              <w:rPr>
                <w:rFonts w:ascii="Arial" w:cs="Arial" w:eastAsia="Arial" w:hAnsi="Arial"/>
                <w:sz w:val="18"/>
                <w:szCs w:val="18"/>
                <w:color w:val="auto"/>
              </w:rPr>
              <w:t>May 8, 2018</w:t>
            </w:r>
          </w:p>
        </w:tc>
        <w:tc>
          <w:tcPr>
            <w:tcW w:w="2980" w:type="dxa"/>
            <w:vAlign w:val="bottom"/>
          </w:tcPr>
          <w:p>
            <w:pPr>
              <w:ind w:left="2560"/>
              <w:spacing w:after="0"/>
              <w:rPr>
                <w:sz w:val="20"/>
                <w:szCs w:val="20"/>
                <w:color w:val="auto"/>
              </w:rPr>
            </w:pPr>
            <w:r>
              <w:rPr>
                <w:rFonts w:ascii="Arial" w:cs="Arial" w:eastAsia="Arial" w:hAnsi="Arial"/>
                <w:sz w:val="18"/>
                <w:szCs w:val="18"/>
                <w:color w:val="auto"/>
              </w:rPr>
              <w:t>By:</w:t>
            </w:r>
          </w:p>
        </w:tc>
        <w:tc>
          <w:tcPr>
            <w:tcW w:w="4580" w:type="dxa"/>
            <w:vAlign w:val="bottom"/>
          </w:tcPr>
          <w:p>
            <w:pPr>
              <w:ind w:left="20"/>
              <w:spacing w:after="0"/>
              <w:rPr>
                <w:sz w:val="20"/>
                <w:szCs w:val="20"/>
                <w:color w:val="auto"/>
              </w:rPr>
            </w:pPr>
            <w:r>
              <w:rPr>
                <w:rFonts w:ascii="Arial" w:cs="Arial" w:eastAsia="Arial" w:hAnsi="Arial"/>
                <w:sz w:val="18"/>
                <w:szCs w:val="18"/>
                <w:color w:val="auto"/>
              </w:rPr>
              <w:t>/s/ Hamza Suria</w:t>
            </w:r>
          </w:p>
        </w:tc>
      </w:tr>
      <w:tr>
        <w:trPr>
          <w:trHeight w:val="41"/>
        </w:trPr>
        <w:tc>
          <w:tcPr>
            <w:tcW w:w="5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2980" w:type="dxa"/>
            <w:vAlign w:val="bottom"/>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r>
      <w:tr>
        <w:trPr>
          <w:trHeight w:val="237"/>
        </w:trPr>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Hamza Suria</w:t>
            </w:r>
          </w:p>
        </w:tc>
      </w:tr>
      <w:tr>
        <w:trPr>
          <w:trHeight w:val="270"/>
        </w:trPr>
        <w:tc>
          <w:tcPr>
            <w:tcW w:w="5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5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60"/>
              <w:spacing w:after="0"/>
              <w:rPr>
                <w:sz w:val="20"/>
                <w:szCs w:val="20"/>
                <w:color w:val="auto"/>
              </w:rPr>
            </w:pPr>
            <w:r>
              <w:rPr>
                <w:rFonts w:ascii="Arial" w:cs="Arial" w:eastAsia="Arial" w:hAnsi="Arial"/>
                <w:sz w:val="18"/>
                <w:szCs w:val="18"/>
                <w:color w:val="auto"/>
              </w:rPr>
              <w:t>May 8, 2018</w:t>
            </w:r>
          </w:p>
        </w:tc>
        <w:tc>
          <w:tcPr>
            <w:tcW w:w="2980" w:type="dxa"/>
            <w:vAlign w:val="bottom"/>
          </w:tcPr>
          <w:p>
            <w:pPr>
              <w:ind w:left="2560"/>
              <w:spacing w:after="0"/>
              <w:rPr>
                <w:sz w:val="20"/>
                <w:szCs w:val="20"/>
                <w:color w:val="auto"/>
              </w:rPr>
            </w:pPr>
            <w:r>
              <w:rPr>
                <w:rFonts w:ascii="Arial" w:cs="Arial" w:eastAsia="Arial" w:hAnsi="Arial"/>
                <w:sz w:val="18"/>
                <w:szCs w:val="18"/>
                <w:color w:val="auto"/>
              </w:rPr>
              <w:t>By:</w:t>
            </w:r>
          </w:p>
        </w:tc>
        <w:tc>
          <w:tcPr>
            <w:tcW w:w="4580" w:type="dxa"/>
            <w:vAlign w:val="bottom"/>
          </w:tcPr>
          <w:p>
            <w:pPr>
              <w:ind w:left="20"/>
              <w:spacing w:after="0"/>
              <w:rPr>
                <w:sz w:val="20"/>
                <w:szCs w:val="20"/>
                <w:color w:val="auto"/>
              </w:rPr>
            </w:pPr>
            <w:r>
              <w:rPr>
                <w:rFonts w:ascii="Arial" w:cs="Arial" w:eastAsia="Arial" w:hAnsi="Arial"/>
                <w:sz w:val="18"/>
                <w:szCs w:val="18"/>
                <w:color w:val="auto"/>
              </w:rPr>
              <w:t>/s/ Dominic G. Piscitelli</w:t>
            </w:r>
          </w:p>
        </w:tc>
      </w:tr>
      <w:tr>
        <w:trPr>
          <w:trHeight w:val="41"/>
        </w:trPr>
        <w:tc>
          <w:tcPr>
            <w:tcW w:w="5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2980" w:type="dxa"/>
            <w:vAlign w:val="bottom"/>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r>
      <w:tr>
        <w:trPr>
          <w:trHeight w:val="237"/>
        </w:trPr>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Dominic G. Piscitelli</w:t>
            </w:r>
          </w:p>
        </w:tc>
      </w:tr>
      <w:tr>
        <w:trPr>
          <w:trHeight w:val="270"/>
        </w:trPr>
        <w:tc>
          <w:tcPr>
            <w:tcW w:w="5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5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486"/>
        </w:trPr>
        <w:tc>
          <w:tcPr>
            <w:tcW w:w="5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980" w:type="dxa"/>
            <w:vAlign w:val="bottom"/>
          </w:tcPr>
          <w:p>
            <w:pPr>
              <w:jc w:val="right"/>
              <w:ind w:right="710"/>
              <w:spacing w:after="0"/>
              <w:rPr>
                <w:sz w:val="20"/>
                <w:szCs w:val="20"/>
                <w:color w:val="auto"/>
              </w:rPr>
            </w:pPr>
            <w:r>
              <w:rPr>
                <w:rFonts w:ascii="Arial" w:cs="Arial" w:eastAsia="Arial" w:hAnsi="Arial"/>
                <w:sz w:val="18"/>
                <w:szCs w:val="18"/>
                <w:color w:val="auto"/>
              </w:rPr>
              <w:t>61</w:t>
            </w:r>
          </w:p>
        </w:tc>
        <w:tc>
          <w:tcPr>
            <w:tcW w:w="4580" w:type="dxa"/>
            <w:vAlign w:val="bottom"/>
          </w:tcPr>
          <w:p>
            <w:pPr>
              <w:spacing w:after="0"/>
              <w:rPr>
                <w:sz w:val="24"/>
                <w:szCs w:val="24"/>
                <w:color w:val="auto"/>
              </w:rPr>
            </w:pPr>
          </w:p>
        </w:tc>
      </w:tr>
    </w:tbl>
    <w:p>
      <w:pPr>
        <w:sectPr>
          <w:pgSz w:w="11900" w:h="16838" w:orient="portrait"/>
          <w:cols w:equalWidth="0" w:num="1">
            <w:col w:w="11320"/>
          </w:cols>
          <w:pgMar w:left="240" w:top="36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Hamza Suria, certify that:</w:t>
      </w:r>
    </w:p>
    <w:p>
      <w:pPr>
        <w:spacing w:after="0" w:line="117"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17"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60" w:hanging="172"/>
        <w:spacing w:after="0" w:line="277" w:lineRule="auto"/>
        <w:tabs>
          <w:tab w:leader="none" w:pos="1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180" w:right="200" w:hanging="172"/>
        <w:spacing w:after="0" w:line="277" w:lineRule="auto"/>
        <w:tabs>
          <w:tab w:leader="none" w:pos="1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420" w:right="260" w:hanging="169"/>
        <w:spacing w:after="0" w:line="264" w:lineRule="auto"/>
        <w:tabs>
          <w:tab w:leader="none" w:pos="44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100" w:hanging="169"/>
        <w:spacing w:after="0" w:line="277" w:lineRule="auto"/>
        <w:tabs>
          <w:tab w:leader="none" w:pos="453"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420" w:right="180" w:hanging="169"/>
        <w:spacing w:after="0" w:line="264" w:lineRule="auto"/>
        <w:tabs>
          <w:tab w:leader="none" w:pos="44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260" w:hanging="169"/>
        <w:spacing w:after="0" w:line="277" w:lineRule="auto"/>
        <w:tabs>
          <w:tab w:leader="none" w:pos="45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420"/>
          </w:cols>
          <w:pgMar w:left="240" w:top="6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Dominic G. Piscitelli, certify that:</w:t>
      </w:r>
    </w:p>
    <w:p>
      <w:pPr>
        <w:spacing w:after="0" w:line="117"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17"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60" w:hanging="172"/>
        <w:spacing w:after="0" w:line="277" w:lineRule="auto"/>
        <w:tabs>
          <w:tab w:leader="none" w:pos="1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180" w:right="200" w:hanging="172"/>
        <w:spacing w:after="0" w:line="277" w:lineRule="auto"/>
        <w:tabs>
          <w:tab w:leader="none" w:pos="1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420" w:right="260" w:hanging="169"/>
        <w:spacing w:after="0" w:line="264" w:lineRule="auto"/>
        <w:tabs>
          <w:tab w:leader="none" w:pos="44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100" w:hanging="169"/>
        <w:spacing w:after="0" w:line="277" w:lineRule="auto"/>
        <w:tabs>
          <w:tab w:leader="none" w:pos="453"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420" w:right="180" w:hanging="169"/>
        <w:spacing w:after="0" w:line="264" w:lineRule="auto"/>
        <w:tabs>
          <w:tab w:leader="none" w:pos="44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260" w:hanging="169"/>
        <w:spacing w:after="0" w:line="277" w:lineRule="auto"/>
        <w:tabs>
          <w:tab w:leader="none" w:pos="45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Dominic G. Piscitelli</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Hamza Suria, Chief Executive Officer of AnaptysBio, Inc. (Company), do hereby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880" w:right="640" w:hanging="440"/>
        <w:spacing w:after="0" w:line="342" w:lineRule="auto"/>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2018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80" w:right="18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420"/>
          </w:cols>
          <w:pgMar w:left="240" w:top="6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Dominic G. Piscitelli, Chief Financial Officer of AnaptysBio, Inc. (Company), do hereby certify, pursuant to 18 U.S.C. Section 1350, as adopted pursuant to Section 906 of the Sarbanes-Oxley Act of 2002, that to the best of my knowledge:</w:t>
      </w:r>
    </w:p>
    <w:p>
      <w:pPr>
        <w:spacing w:after="0" w:line="62" w:lineRule="exact"/>
        <w:rPr>
          <w:sz w:val="20"/>
          <w:szCs w:val="20"/>
          <w:color w:val="auto"/>
        </w:rPr>
      </w:pPr>
    </w:p>
    <w:p>
      <w:pPr>
        <w:ind w:left="880" w:right="640" w:hanging="440"/>
        <w:spacing w:after="0" w:line="342"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2018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80" w:right="180" w:hanging="440"/>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Dominic G. Piscitelli</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6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lvl w:ilvl="1">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3"/>
    </w:lvl>
  </w:abstractNum>
  <w:abstractNum w:abstractNumId="6">
    <w:nsid w:val="2443A858"/>
    <w:multiLevelType w:val="hybridMultilevel"/>
    <w:lvl w:ilvl="0">
      <w:lvlJc w:val="left"/>
      <w:lvlText w:val="%1."/>
      <w:numFmt w:val="decimal"/>
      <w:start w:val="6"/>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lowerRoman"/>
      <w:start w:val="2"/>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2019-12-28T22:22:25Z</dcterms:created>
  <dcterms:modified xsi:type="dcterms:W3CDTF">2019-12-28T22:22:25Z</dcterms:modified>
</cp:coreProperties>
</file>