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ASHINGTON</w:t>
      </w:r>
      <w:r>
        <w:rPr>
          <w:rFonts w:ascii="Times New Roman" w:cs="Times New Roman" w:eastAsia="Times New Roman" w:hAnsi="Times New Roman"/>
          <w:sz w:val="22"/>
          <w:szCs w:val="22"/>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6"/>
          <w:szCs w:val="36"/>
          <w:b w:val="1"/>
          <w:bCs w:val="1"/>
          <w:color w:val="auto"/>
        </w:rPr>
        <w:t>SCHEDULE 13D</w:t>
      </w:r>
    </w:p>
    <w:p>
      <w:pPr>
        <w:spacing w:after="0" w:line="23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 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 OF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AnaptysBio,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032724106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Steve R. Bailey</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Frazier Healthcare Partners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601 Union Street, Suite 3200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Seattle, WA 98101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Telephone: (206) 621-7200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16, 2020</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2"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Frazier Healthcare V,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5"/>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0"/>
                <w:szCs w:val="10"/>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6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FHM V, L.P.</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5"/>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0"/>
                <w:szCs w:val="10"/>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6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Page 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FHM V,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5"/>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0"/>
                <w:szCs w:val="10"/>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gridSpan w:val="2"/>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6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660" w:type="dxa"/>
            <w:vAlign w:val="bottom"/>
            <w:tcBorders>
              <w:right w:val="single" w:sz="8" w:color="auto"/>
            </w:tcBorders>
            <w:gridSpan w:val="2"/>
          </w:tcPr>
          <w:p>
            <w:pPr>
              <w:jc w:val="center"/>
              <w:ind w:right="17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Page 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Frazier Healthcare VII,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Page 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Frazier Healthcare VII-A,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Page 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w w:val="98"/>
              </w:rPr>
              <w:t>FHM VII, L.P.</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Page 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FHM VII,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Page 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James N. Topper</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 Citizen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117,895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0"/>
                <w:szCs w:val="10"/>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117,895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1,017,595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Page 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Patrick J. Heron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 Citizen</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5"/>
                <w:szCs w:val="15"/>
                <w:color w:val="auto"/>
              </w:rPr>
            </w:pPr>
          </w:p>
        </w:tc>
        <w:tc>
          <w:tcPr>
            <w:tcW w:w="9300" w:type="dxa"/>
            <w:vAlign w:val="bottom"/>
            <w:tcBorders>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4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2"/>
                <w:szCs w:val="12"/>
                <w:color w:val="auto"/>
              </w:rPr>
            </w:pPr>
          </w:p>
        </w:tc>
        <w:tc>
          <w:tcPr>
            <w:tcW w:w="93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Page 10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Alan Frazier</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 Citizen</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5"/>
                <w:szCs w:val="15"/>
                <w:color w:val="auto"/>
              </w:rPr>
            </w:pPr>
          </w:p>
        </w:tc>
        <w:tc>
          <w:tcPr>
            <w:tcW w:w="9300" w:type="dxa"/>
            <w:vAlign w:val="bottom"/>
            <w:tcBorders>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4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2"/>
                <w:szCs w:val="12"/>
                <w:color w:val="auto"/>
              </w:rPr>
            </w:pPr>
          </w:p>
        </w:tc>
        <w:tc>
          <w:tcPr>
            <w:tcW w:w="93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Page 11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Nader Naini</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 Citizen</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32"/>
        </w:trPr>
        <w:tc>
          <w:tcPr>
            <w:tcW w:w="42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Shares</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4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5"/>
                <w:szCs w:val="15"/>
                <w:color w:val="auto"/>
              </w:rPr>
            </w:pPr>
          </w:p>
        </w:tc>
        <w:tc>
          <w:tcPr>
            <w:tcW w:w="9300" w:type="dxa"/>
            <w:vAlign w:val="bottom"/>
            <w:tcBorders>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Borders>
              <w:left w:val="single" w:sz="8" w:color="auto"/>
            </w:tcBorders>
          </w:tcPr>
          <w:p>
            <w:pPr>
              <w:spacing w:after="0"/>
              <w:rPr>
                <w:sz w:val="19"/>
                <w:szCs w:val="19"/>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Person</w:t>
            </w:r>
          </w:p>
        </w:tc>
        <w:tc>
          <w:tcPr>
            <w:tcW w:w="4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3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With:</w:t>
            </w:r>
          </w:p>
        </w:tc>
        <w:tc>
          <w:tcPr>
            <w:tcW w:w="4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2"/>
                <w:szCs w:val="12"/>
                <w:color w:val="auto"/>
              </w:rPr>
            </w:pPr>
          </w:p>
        </w:tc>
        <w:tc>
          <w:tcPr>
            <w:tcW w:w="93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2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Page 12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Nathan Every</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 Citizen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0"/>
                <w:szCs w:val="10"/>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Page 13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032724106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Brian Morfitt</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 Citizen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0"/>
                <w:szCs w:val="10"/>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899,700 shares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8"/>
              </w:rPr>
              <w:t>899,700 shares</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Page 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Amendment No. 4 (“Amendment No. 4”) to Schedule 13D amends the statement on Schedule 13D filed on February 10, 2017 (the “Original Schedule 13D”), as amended on February 26, 2018, May 15, 2018 and February 14, 2019 (the “Prior Amendments”, and together with the Original Schedule 13D and this Amendment No. 3, the “Schedule 13D”) with respect to the Common Stock of AnaptysBio, Inc. (the “Issuer”), having its principal executive office at 10421 Pacific Center Court, Suite 200, San Diego, CA 92121. Except as otherwise specified in Amendment No. 4, all items in the Schedule 13D are unchanged. All capitalized terms used in this Amendment No. 4 and not otherwise defined herein have the meanings ascribed to such terms in the Original Schedule 13D.</w:t>
      </w:r>
    </w:p>
    <w:p>
      <w:pPr>
        <w:spacing w:after="0" w:line="3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as follows:</w:t>
      </w:r>
    </w:p>
    <w:p>
      <w:pPr>
        <w:spacing w:after="0" w:line="131" w:lineRule="exact"/>
        <w:rPr>
          <w:sz w:val="20"/>
          <w:szCs w:val="20"/>
          <w:color w:val="auto"/>
        </w:rPr>
      </w:pPr>
    </w:p>
    <w:p>
      <w:pPr>
        <w:ind w:left="960" w:right="2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FH V is the record owner of 0 shares of Common Stock. FM V L.P. is the sole general partner of FH V. FM V L.L.C. is the sole general partner of FM V L.P.</w:t>
      </w:r>
    </w:p>
    <w:p>
      <w:pPr>
        <w:spacing w:after="0" w:line="53" w:lineRule="exact"/>
        <w:rPr>
          <w:rFonts w:ascii="Times New Roman" w:cs="Times New Roman" w:eastAsia="Times New Roman" w:hAnsi="Times New Roman"/>
          <w:sz w:val="18"/>
          <w:szCs w:val="18"/>
          <w:color w:val="auto"/>
        </w:rPr>
      </w:pPr>
    </w:p>
    <w:p>
      <w:pPr>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FH VII is the record owner of 700,171 shares of Common Stock (the “FH VII Shares”) and FH VII-A is the record owner of 199,529 shares of Common Stock (the “FH VII-A Shares”). As the sole general partner of FH VII and of FH VII-A, FM VII L.P. may be deemed to own beneficially the FH VII Shares and FH VII-A Shares. As the sole general partner of FM VII L.P., FM VII L.L.C. may be deemed to own beneficially the FH VII Shares and FH VII-A Shares. As members of FM VII L.L.C., each of the FM VII Members may be deemed to own beneficially the FH VII Shares and FH VII-A Shares.</w:t>
      </w:r>
    </w:p>
    <w:p>
      <w:pPr>
        <w:spacing w:after="0" w:line="75" w:lineRule="exact"/>
        <w:rPr>
          <w:rFonts w:ascii="Times New Roman" w:cs="Times New Roman" w:eastAsia="Times New Roman" w:hAnsi="Times New Roman"/>
          <w:sz w:val="18"/>
          <w:szCs w:val="18"/>
          <w:color w:val="auto"/>
        </w:rPr>
      </w:pPr>
    </w:p>
    <w:p>
      <w:pPr>
        <w:ind w:left="98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16, 2020, Topper is the record owner of 80,812 shares of Common Stock and 37,083 shares of Common Stock that are issuable upon the exercise of options held directly by Topper that are exercisable within 60 days of November 16, 2020 (collectively, the “Topper Shares”). Topper is a FM V Member and a FM VII Member and therefore may be deemed to own beneficially the Topper Shares, the FH VII Shares and FH VII-A Shares.</w:t>
      </w:r>
    </w:p>
    <w:p>
      <w:pPr>
        <w:spacing w:after="0" w:line="71"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outstanding shares of Common Stock of the Issuer, which may be deemed to be beneficially owned by each Reporting Person is set forth on Line 13 of such Reporting Person’s cover sheet. Such percentages, other than the percentage for Topper, was calculated based on the 27,347,805 shares of Common Stock outstanding on November 2, 2020 as set forth in the Issuer’s Form 10-Q filed on November 4, 2020.</w:t>
      </w:r>
    </w:p>
    <w:p>
      <w:pPr>
        <w:spacing w:after="0" w:line="71" w:lineRule="exact"/>
        <w:rPr>
          <w:rFonts w:ascii="Times New Roman" w:cs="Times New Roman" w:eastAsia="Times New Roman" w:hAnsi="Times New Roman"/>
          <w:sz w:val="18"/>
          <w:szCs w:val="18"/>
          <w:color w:val="auto"/>
        </w:rPr>
      </w:pPr>
    </w:p>
    <w:p>
      <w:pPr>
        <w:ind w:left="98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Topper’s percentage was calculated based on (i) 27,347,805 shares of Common Stock outstanding on November 2, 2020 as set forth in the Issuer’s Form 10-Q filed on November 4, 2020, and (ii) 37,083 shares of Common Stock that are issuable upon the exercise of options held directly by Topper that are exercisable within 60 days of November 16, 2020.</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shares as to which such person has: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cover sheets.</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cover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1">
            <w:col w:w="11000"/>
          </w:cols>
          <w:pgMar w:left="440" w:top="266" w:right="459" w:bottom="1440" w:gutter="0" w:footer="0" w:header="0"/>
        </w:sectPr>
      </w:pPr>
    </w:p>
    <w:bookmarkStart w:id="15" w:name="page16"/>
    <w:bookmarkEnd w:id="15"/>
    <w:p>
      <w:pPr>
        <w:ind w:left="1540" w:hanging="533"/>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Sole power to dispose or to direct the disposition: See line 9 of cover sheets.</w:t>
      </w:r>
    </w:p>
    <w:p>
      <w:pPr>
        <w:spacing w:after="0" w:line="130" w:lineRule="exact"/>
        <w:rPr>
          <w:rFonts w:ascii="Times New Roman" w:cs="Times New Roman" w:eastAsia="Times New Roman" w:hAnsi="Times New Roman"/>
          <w:sz w:val="18"/>
          <w:szCs w:val="18"/>
          <w:color w:val="auto"/>
        </w:rPr>
      </w:pPr>
    </w:p>
    <w:p>
      <w:pPr>
        <w:ind w:left="1540" w:hanging="533"/>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cover sheets.</w:t>
      </w:r>
    </w:p>
    <w:p>
      <w:pPr>
        <w:spacing w:after="0" w:line="130"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16, 2020, FH V, distributed in-kind, without consideration, a total of 973,612 shares of Common Stock of the Issuer to its general and limited partners.</w:t>
      </w:r>
    </w:p>
    <w:p>
      <w:pPr>
        <w:spacing w:after="0" w:line="53" w:lineRule="exact"/>
        <w:rPr>
          <w:rFonts w:ascii="Times New Roman" w:cs="Times New Roman" w:eastAsia="Times New Roman" w:hAnsi="Times New Roman"/>
          <w:sz w:val="18"/>
          <w:szCs w:val="18"/>
          <w:color w:val="auto"/>
        </w:rPr>
      </w:pPr>
    </w:p>
    <w:p>
      <w:pPr>
        <w:ind w:left="5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16, 2020, FH VII, distributed in-kind, without consideration, a total of 344,860 shares of Common Stock of the Issuer to its general and limited partners.</w:t>
      </w:r>
    </w:p>
    <w:p>
      <w:pPr>
        <w:spacing w:after="0" w:line="53"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November 16, 2020, FH VIIA, distributed in-kind, without consideration, a total of 98,275 shares of Common Stock of the Issuer to its general and limited partners.</w:t>
      </w:r>
    </w:p>
    <w:p>
      <w:pPr>
        <w:spacing w:after="0" w:line="67"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the FH VII Shares, the FH VIIA Shares and the Topper Shares beneficially owned by any of the Reporting Persons, as the case may be.</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16, 2020.</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1">
            <w:col w:w="10580"/>
          </w:cols>
          <w:pgMar w:left="860" w:top="270" w:right="4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HEALTHCARE V, L.P.</w:t>
            </w:r>
          </w:p>
        </w:tc>
      </w:tr>
      <w:tr>
        <w:trPr>
          <w:trHeight w:val="216"/>
        </w:trPr>
        <w:tc>
          <w:tcPr>
            <w:tcW w:w="3540" w:type="dxa"/>
            <w:vAlign w:val="bottom"/>
          </w:tcPr>
          <w:p>
            <w:pPr>
              <w:spacing w:after="0"/>
              <w:rPr>
                <w:sz w:val="18"/>
                <w:szCs w:val="18"/>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 V, L.P.</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FHM V, L.L.C.</w:t>
            </w:r>
          </w:p>
        </w:tc>
      </w:tr>
      <w:tr>
        <w:trPr>
          <w:trHeight w:val="445"/>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HEALTHCARE VII, L.P.</w:t>
            </w:r>
          </w:p>
        </w:tc>
      </w:tr>
      <w:tr>
        <w:trPr>
          <w:trHeight w:val="216"/>
        </w:trPr>
        <w:tc>
          <w:tcPr>
            <w:tcW w:w="3540" w:type="dxa"/>
            <w:vAlign w:val="bottom"/>
          </w:tcPr>
          <w:p>
            <w:pPr>
              <w:spacing w:after="0"/>
              <w:rPr>
                <w:sz w:val="18"/>
                <w:szCs w:val="18"/>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VII,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FRAZIER HEALTHCARE VII-A, L.P.</w:t>
            </w:r>
          </w:p>
        </w:tc>
      </w:tr>
      <w:tr>
        <w:trPr>
          <w:trHeight w:val="216"/>
        </w:trPr>
        <w:tc>
          <w:tcPr>
            <w:tcW w:w="3540" w:type="dxa"/>
            <w:vAlign w:val="bottom"/>
          </w:tcPr>
          <w:p>
            <w:pPr>
              <w:spacing w:after="0"/>
              <w:rPr>
                <w:sz w:val="18"/>
                <w:szCs w:val="18"/>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VII,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60"/>
        </w:trPr>
        <w:tc>
          <w:tcPr>
            <w:tcW w:w="3540" w:type="dxa"/>
            <w:vAlign w:val="bottom"/>
          </w:tcPr>
          <w:p>
            <w:pPr>
              <w:spacing w:after="0"/>
              <w:rPr>
                <w:sz w:val="24"/>
                <w:szCs w:val="24"/>
                <w:color w:val="auto"/>
              </w:rPr>
            </w:pPr>
          </w:p>
        </w:tc>
        <w:tc>
          <w:tcPr>
            <w:tcW w:w="74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Page 17</w:t>
            </w:r>
          </w:p>
        </w:tc>
      </w:tr>
    </w:tbl>
    <w:p>
      <w:pPr>
        <w:sectPr>
          <w:pgSz w:w="11900" w:h="16838" w:orient="portrait"/>
          <w:cols w:equalWidth="0" w:num="1">
            <w:col w:w="11020"/>
          </w:cols>
          <w:pgMar w:left="440" w:top="266" w:right="4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650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FHM VII, L.P.</w:t>
            </w:r>
          </w:p>
        </w:tc>
      </w:tr>
      <w:tr>
        <w:trPr>
          <w:trHeight w:val="234"/>
        </w:trPr>
        <w:tc>
          <w:tcPr>
            <w:tcW w:w="4520" w:type="dxa"/>
            <w:vAlign w:val="bottom"/>
          </w:tcPr>
          <w:p>
            <w:pPr>
              <w:spacing w:after="0"/>
              <w:rPr>
                <w:sz w:val="20"/>
                <w:szCs w:val="20"/>
                <w:color w:val="auto"/>
              </w:rPr>
            </w:pPr>
          </w:p>
        </w:tc>
        <w:tc>
          <w:tcPr>
            <w:tcW w:w="65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4520" w:type="dxa"/>
            <w:vAlign w:val="bottom"/>
          </w:tcPr>
          <w:p>
            <w:pPr>
              <w:spacing w:after="0"/>
              <w:rPr>
                <w:sz w:val="24"/>
                <w:szCs w:val="24"/>
                <w:color w:val="auto"/>
              </w:rPr>
            </w:pP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650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FHM VII, L.L.C.</w:t>
            </w:r>
          </w:p>
        </w:tc>
      </w:tr>
      <w:tr>
        <w:trPr>
          <w:trHeight w:val="432"/>
        </w:trPr>
        <w:tc>
          <w:tcPr>
            <w:tcW w:w="4520" w:type="dxa"/>
            <w:vAlign w:val="bottom"/>
          </w:tcPr>
          <w:p>
            <w:pPr>
              <w:spacing w:after="0"/>
              <w:rPr>
                <w:sz w:val="24"/>
                <w:szCs w:val="24"/>
                <w:color w:val="auto"/>
              </w:rPr>
            </w:pP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James Topper</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Patrick Heron</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Nader Naini</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Nathan Every</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Brian Morfitt</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Alan Frazier</w:t>
            </w:r>
          </w:p>
        </w:tc>
      </w:tr>
      <w:tr>
        <w:trPr>
          <w:trHeight w:val="42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2020</w:t>
            </w:r>
          </w:p>
        </w:tc>
        <w:tc>
          <w:tcPr>
            <w:tcW w:w="32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45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Schedule 13D was executed by Steve R. Bailey on behalf of the individuals listed above pursuant to a Power of Attorney, a copy of which was filed with the SEC on May 15, 2018.</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2."/>
      <w:numFmt w:val="lowerLetter"/>
      <w:start w:val="1"/>
    </w:lvl>
  </w:abstractNum>
  <w:abstractNum w:abstractNumId="2">
    <w:nsid w:val="2AE8944A"/>
    <w:multiLevelType w:val="hybridMultilevel"/>
    <w:lvl w:ilvl="0">
      <w:lvlJc w:val="left"/>
      <w:lvlText w:val="%1"/>
      <w:numFmt w:val="lowerLetter"/>
      <w:start w:val="1"/>
    </w:lvl>
    <w:lvl w:ilvl="1">
      <w:lvlJc w:val="left"/>
      <w:lvlText w:val="%2."/>
      <w:numFmt w:val="lowerLetter"/>
      <w:start w:val="3"/>
    </w:lvl>
  </w:abstractNum>
  <w:abstractNum w:abstractNumId="3">
    <w:nsid w:val="625558EC"/>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2020-11-18T14:37:52Z</dcterms:created>
  <dcterms:modified xsi:type="dcterms:W3CDTF">2020-11-18T14:37:52Z</dcterms:modified>
</cp:coreProperties>
</file>