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6393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63931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Londei Marco</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19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01/25/2017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ANAPTYSBIO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ANAB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ANAPTYSBIO,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10421 PACIFIC CENTER COURT, SUITE</w:t>
      </w:r>
    </w:p>
    <w:p>
      <w:pPr>
        <w:spacing w:after="0" w:line="3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w:t>
      </w:r>
    </w:p>
    <w:p>
      <w:pPr>
        <w:spacing w:after="0" w:line="29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SAN DIEGO  CA</w:t>
            </w:r>
          </w:p>
        </w:tc>
        <w:tc>
          <w:tcPr>
            <w:tcW w:w="840" w:type="dxa"/>
            <w:vAlign w:val="bottom"/>
          </w:tcPr>
          <w:p>
            <w:pPr>
              <w:jc w:val="right"/>
              <w:spacing w:after="0"/>
              <w:rPr>
                <w:sz w:val="20"/>
                <w:szCs w:val="20"/>
                <w:color w:val="auto"/>
              </w:rPr>
            </w:pPr>
            <w:r>
              <w:rPr>
                <w:rFonts w:ascii="Arial" w:cs="Arial" w:eastAsia="Arial" w:hAnsi="Arial"/>
                <w:sz w:val="18"/>
                <w:szCs w:val="18"/>
                <w:color w:val="0000FF"/>
              </w:rPr>
              <w:t>92121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6"/>
        <w:spacing w:after="0"/>
        <w:rPr>
          <w:sz w:val="20"/>
          <w:szCs w:val="20"/>
          <w:color w:val="auto"/>
        </w:rPr>
      </w:pPr>
      <w:r>
        <w:rPr>
          <w:rFonts w:ascii="Arial" w:cs="Arial" w:eastAsia="Arial" w:hAnsi="Arial"/>
          <w:sz w:val="18"/>
          <w:szCs w:val="18"/>
          <w:color w:val="0000FF"/>
        </w:rPr>
        <w:t>Chief Medical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Series D Preferred Stock</w:t>
            </w:r>
          </w:p>
        </w:tc>
        <w:tc>
          <w:tcPr>
            <w:tcW w:w="90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5"/>
              <w:spacing w:after="0"/>
              <w:rPr>
                <w:sz w:val="20"/>
                <w:szCs w:val="20"/>
                <w:color w:val="auto"/>
              </w:rPr>
            </w:pPr>
            <w:r>
              <w:rPr>
                <w:rFonts w:ascii="Arial" w:cs="Arial" w:eastAsia="Arial" w:hAnsi="Arial"/>
                <w:sz w:val="18"/>
                <w:szCs w:val="18"/>
                <w:color w:val="0000FF"/>
                <w:w w:val="88"/>
              </w:rPr>
              <w:t>2,020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0.00</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900" w:type="dxa"/>
            <w:vAlign w:val="bottom"/>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10/27/2024</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5"/>
              <w:spacing w:after="0"/>
              <w:rPr>
                <w:sz w:val="20"/>
                <w:szCs w:val="20"/>
                <w:color w:val="auto"/>
              </w:rPr>
            </w:pPr>
            <w:r>
              <w:rPr>
                <w:rFonts w:ascii="Arial" w:cs="Arial" w:eastAsia="Arial" w:hAnsi="Arial"/>
                <w:sz w:val="18"/>
                <w:szCs w:val="18"/>
                <w:color w:val="0000FF"/>
                <w:w w:val="86"/>
              </w:rPr>
              <w:t>160,965</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0.7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900" w:type="dxa"/>
            <w:vAlign w:val="bottom"/>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08/13/2025</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5"/>
              <w:spacing w:after="0"/>
              <w:rPr>
                <w:sz w:val="20"/>
                <w:szCs w:val="20"/>
                <w:color w:val="auto"/>
              </w:rPr>
            </w:pPr>
            <w:r>
              <w:rPr>
                <w:rFonts w:ascii="Arial" w:cs="Arial" w:eastAsia="Arial" w:hAnsi="Arial"/>
                <w:sz w:val="18"/>
                <w:szCs w:val="18"/>
                <w:color w:val="0000FF"/>
                <w:w w:val="87"/>
              </w:rPr>
              <w:t>92,223</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6.93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4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share of Preferred Stock will be automatically converted into one (1) share of Common Stock, for no additional consideration, immediately prior to the consummation of the Issuer's initial public offering, and has no expiration date.</w:t>
      </w:r>
    </w:p>
    <w:p>
      <w:pPr>
        <w:spacing w:after="0" w:line="30" w:lineRule="exact"/>
        <w:rPr>
          <w:rFonts w:ascii="Arial" w:cs="Arial" w:eastAsia="Arial" w:hAnsi="Arial"/>
          <w:sz w:val="14"/>
          <w:szCs w:val="14"/>
          <w:color w:val="008000"/>
        </w:rPr>
      </w:pPr>
    </w:p>
    <w:p>
      <w:pPr>
        <w:ind w:left="40" w:right="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stock option vested and became exercisable as to 25% of the shares subject to the option on October 24, 2015, and thereafter vests as to 1/48th of the shares in equal monthly installments, until such time as the option is 100% vested, subject to the continuing employment of the Reporting Person on each vesting date.</w:t>
      </w:r>
    </w:p>
    <w:p>
      <w:pPr>
        <w:spacing w:after="0" w:line="30"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stock option vested and became exercisable as to 25% of the shares subject to the option on August 13, 2016, and thereafter vests as to 1/48th of the shares in equal monthly installments, until such time as the option is 100% vested, subject to the continuing employment of the Reporting Person on each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Marco Londei by Dominic</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01/25/2017</w:t>
            </w:r>
          </w:p>
        </w:tc>
        <w:tc>
          <w:tcPr>
            <w:tcW w:w="0" w:type="dxa"/>
            <w:vAlign w:val="bottom"/>
          </w:tcPr>
          <w:p>
            <w:pPr>
              <w:spacing w:after="0"/>
              <w:rPr>
                <w:sz w:val="1"/>
                <w:szCs w:val="1"/>
                <w:color w:val="auto"/>
              </w:rPr>
            </w:pPr>
          </w:p>
        </w:tc>
      </w:tr>
      <w:tr>
        <w:trPr>
          <w:trHeight w:val="88"/>
        </w:trPr>
        <w:tc>
          <w:tcPr>
            <w:tcW w:w="190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Piscitelli, Attorney-in-Fact</w:t>
            </w:r>
          </w:p>
        </w:tc>
        <w:tc>
          <w:tcPr>
            <w:tcW w:w="3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900" w:type="dxa"/>
            <w:vAlign w:val="bottom"/>
            <w:tcBorders>
              <w:bottom w:val="single" w:sz="8" w:color="auto"/>
            </w:tcBorders>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KNOW ALL MEN BY THESE PRESENTS, that the undersigned hereby constitutes and appoints Hamza Suria, Dominic Piscitelli, Ryan McRobert, Nanette Agustines and Winston Macaraeg, and each of them, as his or her true and lawful attorney-in-fact to:</w:t>
      </w:r>
    </w:p>
    <w:p>
      <w:pPr>
        <w:spacing w:after="0" w:line="207" w:lineRule="exact"/>
        <w:rPr>
          <w:sz w:val="20"/>
          <w:szCs w:val="20"/>
          <w:color w:val="auto"/>
        </w:rPr>
      </w:pPr>
    </w:p>
    <w:p>
      <w:pPr>
        <w:ind w:right="619" w:firstLine="851"/>
        <w:spacing w:after="0" w:line="268" w:lineRule="auto"/>
        <w:tabs>
          <w:tab w:leader="none" w:pos="16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representative of AnaptysBio, Inc. (the "Company"), any and all Form ID, or</w:t>
      </w:r>
    </w:p>
    <w:p>
      <w:pPr>
        <w:ind w:right="1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Form 3, 4 or 5 reports and any amendments thereto required to be filed by the undersigned in accordance with Section 16(a) of the Securities Exchange Act of</w:t>
      </w:r>
    </w:p>
    <w:p>
      <w:pPr>
        <w:ind w:right="18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1934 (the "Exchange Act") and the rules thereunder with respect to transactions in the Company's securities;</w:t>
      </w:r>
    </w:p>
    <w:p>
      <w:pPr>
        <w:spacing w:after="0" w:line="5" w:lineRule="exact"/>
        <w:rPr>
          <w:rFonts w:ascii="Courier New" w:cs="Courier New" w:eastAsia="Courier New" w:hAnsi="Courier New"/>
          <w:sz w:val="16"/>
          <w:szCs w:val="16"/>
          <w:color w:val="auto"/>
        </w:rPr>
      </w:pPr>
    </w:p>
    <w:p>
      <w:pPr>
        <w:ind w:right="73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ID, or Form</w:t>
      </w:r>
    </w:p>
    <w:p>
      <w:pPr>
        <w:spacing w:after="0" w:line="5"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4 or 5 report and any amendments thereto and timely file such report with the U.S. Securities and Exchange Commission and any stock exchange or similar authority; and</w:t>
      </w:r>
    </w:p>
    <w:p>
      <w:pPr>
        <w:spacing w:after="0" w:line="6" w:lineRule="exact"/>
        <w:rPr>
          <w:rFonts w:ascii="Courier New" w:cs="Courier New" w:eastAsia="Courier New" w:hAnsi="Courier New"/>
          <w:sz w:val="18"/>
          <w:szCs w:val="18"/>
          <w:color w:val="auto"/>
        </w:rPr>
      </w:pPr>
    </w:p>
    <w:p>
      <w:pPr>
        <w:ind w:right="1459" w:firstLine="851"/>
        <w:spacing w:after="0" w:line="268" w:lineRule="auto"/>
        <w:tabs>
          <w:tab w:leader="none" w:pos="16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 in-fact, may be of benefit to,</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209"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2017.</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Marco Londei</w:t>
      </w:r>
    </w:p>
    <w:p>
      <w:pPr>
        <w:spacing w:after="0" w:line="238" w:lineRule="auto"/>
        <w:rPr>
          <w:sz w:val="20"/>
          <w:szCs w:val="20"/>
          <w:color w:val="auto"/>
        </w:rPr>
      </w:pPr>
      <w:r>
        <w:rPr>
          <w:rFonts w:ascii="Courier New" w:cs="Courier New" w:eastAsia="Courier New" w:hAnsi="Courier New"/>
          <w:sz w:val="18"/>
          <w:szCs w:val="18"/>
          <w:color w:val="auto"/>
        </w:rPr>
        <w:t>Marco Londei</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54500" TargetMode="External"/><Relationship Id="rId12"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2019-12-04T01:24:59Z</dcterms:created>
  <dcterms:modified xsi:type="dcterms:W3CDTF">2019-12-04T01:24:59Z</dcterms:modified>
</cp:coreProperties>
</file>