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ANAPTYSBIO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#032724106</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line="4"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#032724106</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203"/>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2520" w:type="dxa"/>
            <w:vAlign w:val="bottom"/>
          </w:tcPr>
          <w:p>
            <w:pPr>
              <w:ind w:left="100"/>
              <w:spacing w:after="0"/>
              <w:rPr>
                <w:sz w:val="20"/>
                <w:szCs w:val="20"/>
                <w:color w:val="auto"/>
              </w:rPr>
            </w:pPr>
            <w:r>
              <w:rPr>
                <w:rFonts w:ascii="Courier New" w:cs="Courier New" w:eastAsia="Courier New" w:hAnsi="Courier New"/>
                <w:sz w:val="18"/>
                <w:szCs w:val="18"/>
                <w:color w:val="auto"/>
              </w:rPr>
              <w:t>[ ]</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Delaware</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114,370</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3,324,468</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3,324,468</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14.148%</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HC</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#032724106</w:t>
            </w:r>
          </w:p>
        </w:tc>
        <w:tc>
          <w:tcPr>
            <w:tcW w:w="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4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w:t>
            </w: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United States of America</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3,324,468</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0</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3,324,468</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14.148%</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w:t>
            </w: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Name of Issuer:</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100"/>
              <w:spacing w:after="0"/>
              <w:rPr>
                <w:sz w:val="20"/>
                <w:szCs w:val="20"/>
                <w:color w:val="auto"/>
              </w:rPr>
            </w:pPr>
            <w:r>
              <w:rPr>
                <w:rFonts w:ascii="Courier New" w:cs="Courier New" w:eastAsia="Courier New" w:hAnsi="Courier New"/>
                <w:sz w:val="18"/>
                <w:szCs w:val="18"/>
                <w:color w:val="auto"/>
              </w:rPr>
              <w:t>ANAPTYSBIO INC</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Address of Issuer's Principal Executive Offices:</w:t>
            </w: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10421 PACIFIC CENTER COURT</w:t>
            </w:r>
          </w:p>
        </w:tc>
        <w:tc>
          <w:tcPr>
            <w:tcW w:w="2260" w:type="dxa"/>
            <w:vAlign w:val="bottom"/>
          </w:tcPr>
          <w:p>
            <w:pPr>
              <w:spacing w:after="0"/>
              <w:rPr>
                <w:sz w:val="24"/>
                <w:szCs w:val="24"/>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SUITE 200</w:t>
            </w:r>
          </w:p>
        </w:tc>
        <w:tc>
          <w:tcPr>
            <w:tcW w:w="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SAN DIEGO, CA 92121</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USA</w:t>
            </w: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Name of Person Filing:</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FMR LLC</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2(b).</w:t>
            </w:r>
          </w:p>
        </w:tc>
        <w:tc>
          <w:tcPr>
            <w:tcW w:w="6480" w:type="dxa"/>
            <w:vAlign w:val="bottom"/>
            <w:gridSpan w:val="4"/>
          </w:tcPr>
          <w:p>
            <w:pPr>
              <w:ind w:left="160"/>
              <w:spacing w:after="0"/>
              <w:rPr>
                <w:sz w:val="20"/>
                <w:szCs w:val="20"/>
                <w:color w:val="auto"/>
              </w:rPr>
            </w:pPr>
            <w:r>
              <w:rPr>
                <w:rFonts w:ascii="Courier New" w:cs="Courier New" w:eastAsia="Courier New" w:hAnsi="Courier New"/>
                <w:sz w:val="18"/>
                <w:szCs w:val="18"/>
                <w:color w:val="auto"/>
              </w:rPr>
              <w:t>Address or Principal Business Office or, if None,</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Residence:</w:t>
            </w:r>
          </w:p>
        </w:tc>
        <w:tc>
          <w:tcPr>
            <w:tcW w:w="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8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245 Summer Street, Boston, Massachusetts 02210</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2(c).</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Citizenship:</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Not applicable</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2(d).</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Title of Class of Securities:</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COMMON STOCK</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2(e).</w:t>
            </w:r>
          </w:p>
        </w:tc>
        <w:tc>
          <w:tcPr>
            <w:tcW w:w="3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CUSIP Number:</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520" w:type="dxa"/>
            <w:vAlign w:val="bottom"/>
          </w:tcPr>
          <w:p>
            <w:pPr>
              <w:ind w:left="200"/>
              <w:spacing w:after="0"/>
              <w:rPr>
                <w:sz w:val="20"/>
                <w:szCs w:val="20"/>
                <w:color w:val="auto"/>
              </w:rPr>
            </w:pPr>
            <w:r>
              <w:rPr>
                <w:rFonts w:ascii="Courier New" w:cs="Courier New" w:eastAsia="Courier New" w:hAnsi="Courier New"/>
                <w:sz w:val="18"/>
                <w:szCs w:val="18"/>
                <w:color w:val="auto"/>
              </w:rPr>
              <w:t>032724106</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648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7"/>
              </w:rPr>
              <w:t>This statement is filed pursuant to Rule 13d-1(b) or 13d-2(b)</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or (c) and the</w:t>
            </w:r>
          </w:p>
        </w:tc>
        <w:tc>
          <w:tcPr>
            <w:tcW w:w="8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person filing, FMR LLC,</w:t>
            </w:r>
          </w:p>
        </w:tc>
        <w:tc>
          <w:tcPr>
            <w:tcW w:w="648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is a parent holding company in accordance with</w:t>
            </w:r>
          </w:p>
        </w:tc>
      </w:tr>
      <w:tr>
        <w:trPr>
          <w:trHeight w:val="203"/>
        </w:trPr>
        <w:tc>
          <w:tcPr>
            <w:tcW w:w="67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Section 240.13d-1(b)(1)(ii)(G).   (Note:  See Exhibit A).</w:t>
            </w:r>
          </w:p>
        </w:tc>
        <w:tc>
          <w:tcPr>
            <w:tcW w:w="226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Ownership</w:t>
            </w: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(a)</w:t>
            </w:r>
          </w:p>
        </w:tc>
        <w:tc>
          <w:tcPr>
            <w:tcW w:w="3420" w:type="dxa"/>
            <w:vAlign w:val="bottom"/>
            <w:gridSpan w:val="2"/>
          </w:tcPr>
          <w:p>
            <w:pPr>
              <w:spacing w:after="0"/>
              <w:rPr>
                <w:sz w:val="20"/>
                <w:szCs w:val="20"/>
                <w:color w:val="auto"/>
              </w:rPr>
            </w:pPr>
            <w:r>
              <w:rPr>
                <w:rFonts w:ascii="Courier New" w:cs="Courier New" w:eastAsia="Courier New" w:hAnsi="Courier New"/>
                <w:sz w:val="18"/>
                <w:szCs w:val="18"/>
                <w:color w:val="auto"/>
              </w:rPr>
              <w:t>Amount Beneficially Owned:</w:t>
            </w:r>
          </w:p>
        </w:tc>
        <w:tc>
          <w:tcPr>
            <w:tcW w:w="226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3,324,468</w:t>
            </w: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(b)</w:t>
            </w:r>
          </w:p>
        </w:tc>
        <w:tc>
          <w:tcPr>
            <w:tcW w:w="2520" w:type="dxa"/>
            <w:vAlign w:val="bottom"/>
          </w:tcPr>
          <w:p>
            <w:pPr>
              <w:spacing w:after="0"/>
              <w:rPr>
                <w:sz w:val="20"/>
                <w:szCs w:val="20"/>
                <w:color w:val="auto"/>
              </w:rPr>
            </w:pPr>
            <w:r>
              <w:rPr>
                <w:rFonts w:ascii="Courier New" w:cs="Courier New" w:eastAsia="Courier New" w:hAnsi="Courier New"/>
                <w:sz w:val="18"/>
                <w:szCs w:val="18"/>
                <w:color w:val="auto"/>
              </w:rPr>
              <w:t>Percent of Class:</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14.148%</w:t>
            </w:r>
          </w:p>
        </w:tc>
        <w:tc>
          <w:tcPr>
            <w:tcW w:w="2260" w:type="dxa"/>
            <w:vAlign w:val="bottom"/>
          </w:tcPr>
          <w:p>
            <w:pPr>
              <w:spacing w:after="0"/>
              <w:rPr>
                <w:sz w:val="24"/>
                <w:szCs w:val="24"/>
                <w:color w:val="auto"/>
              </w:rPr>
            </w:pPr>
          </w:p>
        </w:tc>
      </w:tr>
      <w:tr>
        <w:trPr>
          <w:trHeight w:val="405"/>
        </w:trPr>
        <w:tc>
          <w:tcPr>
            <w:tcW w:w="248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(c)</w:t>
            </w:r>
          </w:p>
        </w:tc>
        <w:tc>
          <w:tcPr>
            <w:tcW w:w="5680" w:type="dxa"/>
            <w:vAlign w:val="bottom"/>
            <w:gridSpan w:val="3"/>
          </w:tcPr>
          <w:p>
            <w:pPr>
              <w:spacing w:after="0"/>
              <w:rPr>
                <w:sz w:val="20"/>
                <w:szCs w:val="20"/>
                <w:color w:val="auto"/>
              </w:rPr>
            </w:pPr>
            <w:r>
              <w:rPr>
                <w:rFonts w:ascii="Courier New" w:cs="Courier New" w:eastAsia="Courier New" w:hAnsi="Courier New"/>
                <w:sz w:val="18"/>
                <w:szCs w:val="18"/>
                <w:color w:val="auto"/>
              </w:rPr>
              <w:t>Number of shares as to which such person has:</w:t>
            </w:r>
          </w:p>
        </w:tc>
      </w:tr>
    </w:tbl>
    <w:p>
      <w:pPr>
        <w:sectPr>
          <w:pgSz w:w="11900" w:h="16838" w:orient="portrait"/>
          <w:cols w:equalWidth="0" w:num="1">
            <w:col w:w="10219"/>
          </w:cols>
          <w:pgMar w:left="240" w:top="244"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sole power to</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vote or to</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direct the vote:</w:t>
            </w:r>
          </w:p>
        </w:tc>
        <w:tc>
          <w:tcPr>
            <w:tcW w:w="420" w:type="dxa"/>
            <w:vAlign w:val="bottom"/>
          </w:tcPr>
          <w:p>
            <w:pPr>
              <w:spacing w:after="0"/>
              <w:rPr>
                <w:sz w:val="17"/>
                <w:szCs w:val="17"/>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114,370</w:t>
            </w:r>
          </w:p>
        </w:tc>
        <w:tc>
          <w:tcPr>
            <w:tcW w:w="18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shared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to vote or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506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sole power to dispose 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3,324,468</w:t>
            </w: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1840" w:type="dxa"/>
            <w:vAlign w:val="bottom"/>
          </w:tcPr>
          <w:p>
            <w:pPr>
              <w:ind w:left="1220"/>
              <w:spacing w:after="0"/>
              <w:rPr>
                <w:sz w:val="20"/>
                <w:szCs w:val="20"/>
                <w:color w:val="auto"/>
              </w:rPr>
            </w:pPr>
            <w:r>
              <w:rPr>
                <w:rFonts w:ascii="Courier New" w:cs="Courier New" w:eastAsia="Courier New" w:hAnsi="Courier New"/>
                <w:sz w:val="18"/>
                <w:szCs w:val="18"/>
                <w:color w:val="auto"/>
              </w:rPr>
              <w:t>(iv)</w:t>
            </w:r>
          </w:p>
        </w:tc>
        <w:tc>
          <w:tcPr>
            <w:tcW w:w="1540" w:type="dxa"/>
            <w:vAlign w:val="bottom"/>
          </w:tcPr>
          <w:p>
            <w:pPr>
              <w:jc w:val="right"/>
              <w:spacing w:after="0"/>
              <w:rPr>
                <w:sz w:val="20"/>
                <w:szCs w:val="20"/>
                <w:color w:val="auto"/>
              </w:rPr>
            </w:pPr>
            <w:r>
              <w:rPr>
                <w:rFonts w:ascii="Courier New" w:cs="Courier New" w:eastAsia="Courier New" w:hAnsi="Courier New"/>
                <w:sz w:val="18"/>
                <w:szCs w:val="18"/>
                <w:color w:val="auto"/>
              </w:rPr>
              <w:t>shared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to dispose</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184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54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Ownership of Five Percent or Less of a</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Class.</w:t>
            </w: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3380" w:type="dxa"/>
            <w:vAlign w:val="bottom"/>
            <w:gridSpan w:val="2"/>
          </w:tcPr>
          <w:p>
            <w:pPr>
              <w:ind w:left="480"/>
              <w:spacing w:after="0"/>
              <w:rPr>
                <w:sz w:val="20"/>
                <w:szCs w:val="20"/>
                <w:color w:val="auto"/>
              </w:rPr>
            </w:pPr>
            <w:r>
              <w:rPr>
                <w:rFonts w:ascii="Courier New" w:cs="Courier New" w:eastAsia="Courier New" w:hAnsi="Courier New"/>
                <w:sz w:val="18"/>
                <w:szCs w:val="18"/>
                <w:color w:val="auto"/>
              </w:rPr>
              <w:t>Not applicable.</w:t>
            </w:r>
          </w:p>
        </w:tc>
        <w:tc>
          <w:tcPr>
            <w:tcW w:w="11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33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More than Five</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9"/>
              </w:rPr>
              <w:t>Percent on</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Behalf of Another</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18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bl>
    <w:p>
      <w:pPr>
        <w:spacing w:after="0" w:line="207"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w:t>
      </w:r>
    </w:p>
    <w:p>
      <w:pPr>
        <w:spacing w:after="0" w:line="6"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sale of, the COMMON STOCK of ANAPTYSBIO INC. No one other person's interest in the COMMON STOCK of ANAPTYSBIO INC is more than five percent of the total outstanding COMMON STOCK.</w:t>
      </w:r>
    </w:p>
    <w:p>
      <w:pPr>
        <w:spacing w:after="0" w:line="209"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Dissolution of Group.</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Certifications.</w:t>
      </w:r>
    </w:p>
    <w:p>
      <w:pPr>
        <w:spacing w:after="0" w:line="200" w:lineRule="exact"/>
        <w:rPr>
          <w:sz w:val="20"/>
          <w:szCs w:val="20"/>
          <w:color w:val="auto"/>
        </w:rPr>
      </w:pPr>
    </w:p>
    <w:p>
      <w:pPr>
        <w:sectPr>
          <w:pgSz w:w="11900" w:h="16838" w:orient="portrait"/>
          <w:cols w:equalWidth="0" w:num="2">
            <w:col w:w="1820" w:space="720"/>
            <w:col w:w="7679"/>
          </w:cols>
          <w:pgMar w:left="240" w:top="136" w:right="1440" w:bottom="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13, 2018</w:t>
      </w:r>
    </w:p>
    <w:p>
      <w:pPr>
        <w:ind w:left="86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Marc R. Bryant</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spacing w:after="0" w:line="4"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372" w:lineRule="exact"/>
        <w:rPr>
          <w:sz w:val="20"/>
          <w:szCs w:val="20"/>
          <w:color w:val="auto"/>
        </w:rPr>
      </w:pPr>
    </w:p>
    <w:p>
      <w:pPr>
        <w:ind w:right="2419" w:firstLine="8"/>
        <w:spacing w:after="0" w:line="236"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619" w:firstLine="1791"/>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tabs>
          <w:tab w:leader="none" w:pos="840" w:val="left"/>
        </w:tabs>
        <w:rPr>
          <w:sz w:val="20"/>
          <w:szCs w:val="20"/>
          <w:color w:val="auto"/>
        </w:rPr>
      </w:pPr>
      <w:r>
        <w:rPr>
          <w:rFonts w:ascii="Courier New" w:cs="Courier New" w:eastAsia="Courier New" w:hAnsi="Courier New"/>
          <w:sz w:val="18"/>
          <w:szCs w:val="18"/>
          <w:color w:val="auto"/>
        </w:rPr>
        <w:t>Entity</w:t>
        <w:tab/>
        <w:t>ITEM 3 Classification</w:t>
      </w:r>
    </w:p>
    <w:p>
      <w:pPr>
        <w:spacing w:after="0"/>
        <w:tabs>
          <w:tab w:leader="none" w:pos="1680" w:val="left"/>
        </w:tabs>
        <w:rPr>
          <w:sz w:val="20"/>
          <w:szCs w:val="20"/>
          <w:color w:val="auto"/>
        </w:rPr>
      </w:pPr>
      <w:r>
        <w:rPr>
          <w:rFonts w:ascii="Courier New" w:cs="Courier New" w:eastAsia="Courier New" w:hAnsi="Courier New"/>
          <w:sz w:val="18"/>
          <w:szCs w:val="18"/>
          <w:color w:val="auto"/>
        </w:rPr>
        <w:t>FIAM LLC</w:t>
      </w:r>
      <w:r>
        <w:rPr>
          <w:sz w:val="20"/>
          <w:szCs w:val="20"/>
          <w:color w:val="auto"/>
        </w:rPr>
        <w:tab/>
      </w:r>
      <w:r>
        <w:rPr>
          <w:rFonts w:ascii="Courier New" w:cs="Courier New" w:eastAsia="Courier New" w:hAnsi="Courier New"/>
          <w:sz w:val="16"/>
          <w:szCs w:val="16"/>
          <w:color w:val="auto"/>
        </w:rPr>
        <w:t>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FMR CO., INC *</w:t>
      </w:r>
      <w:r>
        <w:rPr>
          <w:sz w:val="20"/>
          <w:szCs w:val="20"/>
          <w:color w:val="auto"/>
        </w:rPr>
        <w:tab/>
      </w:r>
      <w:r>
        <w:rPr>
          <w:rFonts w:ascii="Courier New" w:cs="Courier New" w:eastAsia="Courier New" w:hAnsi="Courier New"/>
          <w:sz w:val="16"/>
          <w:szCs w:val="16"/>
          <w:color w:val="auto"/>
        </w:rPr>
        <w:t>IA</w:t>
      </w:r>
    </w:p>
    <w:p>
      <w:pPr>
        <w:spacing w:after="0" w:line="238" w:lineRule="auto"/>
        <w:tabs>
          <w:tab w:leader="none" w:pos="3360" w:val="left"/>
        </w:tabs>
        <w:rPr>
          <w:sz w:val="20"/>
          <w:szCs w:val="20"/>
          <w:color w:val="auto"/>
        </w:rPr>
      </w:pPr>
      <w:r>
        <w:rPr>
          <w:rFonts w:ascii="Courier New" w:cs="Courier New" w:eastAsia="Courier New" w:hAnsi="Courier New"/>
          <w:sz w:val="18"/>
          <w:szCs w:val="18"/>
          <w:color w:val="auto"/>
        </w:rPr>
        <w:t>STRATEGIC ADVISERS, INC.</w:t>
      </w:r>
      <w:r>
        <w:rPr>
          <w:sz w:val="20"/>
          <w:szCs w:val="20"/>
          <w:color w:val="auto"/>
        </w:rPr>
        <w:tab/>
      </w:r>
      <w:r>
        <w:rPr>
          <w:rFonts w:ascii="Courier New" w:cs="Courier New" w:eastAsia="Courier New" w:hAnsi="Courier New"/>
          <w:sz w:val="18"/>
          <w:szCs w:val="18"/>
          <w:color w:val="auto"/>
        </w:rPr>
        <w:t>IA</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604" w:lineRule="exact"/>
        <w:rPr>
          <w:sz w:val="20"/>
          <w:szCs w:val="20"/>
          <w:color w:val="auto"/>
        </w:rPr>
      </w:pPr>
    </w:p>
    <w:p>
      <w:pPr>
        <w:sectPr>
          <w:pgSz w:w="11900" w:h="16838" w:orient="portrait"/>
          <w:cols w:equalWidth="0" w:num="2">
            <w:col w:w="5600" w:space="300"/>
            <w:col w:w="4319"/>
          </w:cols>
          <w:pgMar w:left="240" w:top="339" w:right="1440" w:bottom="134" w:gutter="0" w:footer="0" w:header="0"/>
        </w:sectPr>
      </w:pPr>
    </w:p>
    <w:p>
      <w:pPr>
        <w:spacing w:after="0" w:line="210" w:lineRule="exact"/>
        <w:rPr>
          <w:sz w:val="20"/>
          <w:szCs w:val="20"/>
          <w:color w:val="auto"/>
        </w:rPr>
      </w:pPr>
    </w:p>
    <w:p>
      <w:pPr>
        <w:ind w:right="2519" w:firstLine="8"/>
        <w:spacing w:after="0" w:line="235"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839" w:firstLine="1685"/>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9" w:lineRule="exact"/>
        <w:rPr>
          <w:sz w:val="20"/>
          <w:szCs w:val="20"/>
          <w:color w:val="auto"/>
        </w:rPr>
      </w:pPr>
    </w:p>
    <w:p>
      <w:pPr>
        <w:ind w:right="2619" w:firstLine="1685"/>
        <w:spacing w:after="0" w:line="237" w:lineRule="auto"/>
        <w:rPr>
          <w:sz w:val="20"/>
          <w:szCs w:val="20"/>
          <w:color w:val="auto"/>
        </w:rPr>
      </w:pPr>
      <w:r>
        <w:rPr>
          <w:rFonts w:ascii="Courier New" w:cs="Courier New" w:eastAsia="Courier New" w:hAnsi="Courier New"/>
          <w:sz w:val="18"/>
          <w:szCs w:val="18"/>
          <w:color w:val="auto"/>
        </w:rPr>
        <w:t>The undersigned persons, on February 13, 2018, agree and consent to the joint filing on their behalf of this Schedule 13G in connection with their beneficial ownership of the COMMON STOCK of ANAPTYSBIO INC at December 29, 2017.</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0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December 16, 2015, by and on behalf of Abigail P. Johnson*</w:t>
      </w:r>
    </w:p>
    <w:p>
      <w:pPr>
        <w:sectPr>
          <w:pgSz w:w="11900" w:h="16838" w:orient="portrait"/>
          <w:cols w:equalWidth="0" w:num="1">
            <w:col w:w="10219"/>
          </w:cols>
          <w:pgMar w:left="240" w:top="339" w:right="1440" w:bottom="134" w:gutter="0" w:footer="0" w:header="0"/>
          <w:type w:val="continuous"/>
        </w:sectPr>
      </w:pPr>
    </w:p>
    <w:bookmarkStart w:id="3" w:name="page4"/>
    <w:bookmarkEnd w:id="3"/>
    <w:p>
      <w:pPr>
        <w:ind w:left="-8" w:right="2419" w:firstLine="8"/>
        <w:spacing w:after="0" w:line="236" w:lineRule="auto"/>
        <w:tabs>
          <w:tab w:leader="none" w:pos="20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sectPr>
      <w:pgSz w:w="11900" w:h="16838" w:orient="portrait"/>
      <w:cols w:equalWidth="0" w:num="1">
        <w:col w:w="10211"/>
      </w:cols>
      <w:pgMar w:left="248"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10"/>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2019-12-07T05:39:35Z</dcterms:created>
  <dcterms:modified xsi:type="dcterms:W3CDTF">2019-12-07T05:39:35Z</dcterms:modified>
</cp:coreProperties>
</file>