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10,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333-206849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3</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S-1</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w:t>
      </w:r>
      <w:r>
        <w:rPr>
          <w:rFonts w:ascii="Arial" w:cs="Arial" w:eastAsia="Arial" w:hAnsi="Arial"/>
          <w:sz w:val="36"/>
          <w:szCs w:val="36"/>
          <w:b w:val="1"/>
          <w:bCs w:val="1"/>
          <w:color w:val="auto"/>
        </w:rPr>
        <w:t>NAPTYS</w:t>
      </w:r>
      <w:r>
        <w:rPr>
          <w:rFonts w:ascii="Arial" w:cs="Arial" w:eastAsia="Arial" w:hAnsi="Arial"/>
          <w:sz w:val="43"/>
          <w:szCs w:val="43"/>
          <w:b w:val="1"/>
          <w:bCs w:val="1"/>
          <w:color w:val="auto"/>
        </w:rPr>
        <w:t>B</w:t>
      </w:r>
      <w:r>
        <w:rPr>
          <w:rFonts w:ascii="Arial" w:cs="Arial" w:eastAsia="Arial" w:hAnsi="Arial"/>
          <w:sz w:val="36"/>
          <w:szCs w:val="36"/>
          <w:b w:val="1"/>
          <w:bCs w:val="1"/>
          <w:color w:val="auto"/>
        </w:rPr>
        <w:t>IO</w:t>
      </w:r>
      <w:r>
        <w:rPr>
          <w:rFonts w:ascii="Arial" w:cs="Arial" w:eastAsia="Arial" w:hAnsi="Arial"/>
          <w:sz w:val="43"/>
          <w:szCs w:val="43"/>
          <w:b w:val="1"/>
          <w:bCs w:val="1"/>
          <w:color w:val="auto"/>
        </w:rPr>
        <w:t>,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290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2500" w:type="dxa"/>
            <w:vAlign w:val="bottom"/>
          </w:tcPr>
          <w:p>
            <w:pPr>
              <w:jc w:val="center"/>
              <w:ind w:left="982"/>
              <w:spacing w:after="0"/>
              <w:rPr>
                <w:sz w:val="20"/>
                <w:szCs w:val="20"/>
                <w:color w:val="auto"/>
              </w:rPr>
            </w:pPr>
            <w:r>
              <w:rPr>
                <w:rFonts w:ascii="Arial" w:cs="Arial" w:eastAsia="Arial" w:hAnsi="Arial"/>
                <w:sz w:val="18"/>
                <w:szCs w:val="18"/>
                <w:b w:val="1"/>
                <w:bCs w:val="1"/>
                <w:color w:val="auto"/>
                <w:w w:val="91"/>
              </w:rPr>
              <w:t>20-3828755</w:t>
            </w:r>
          </w:p>
        </w:tc>
      </w:tr>
      <w:tr>
        <w:trPr>
          <w:trHeight w:val="149"/>
        </w:trPr>
        <w:tc>
          <w:tcPr>
            <w:tcW w:w="290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Hamza Suria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188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4960" w:type="dxa"/>
            <w:vAlign w:val="bottom"/>
          </w:tcPr>
          <w:p>
            <w:pPr>
              <w:ind w:left="72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88"/>
              </w:rPr>
              <w:t>Effie Toshav, Esq.</w:t>
            </w:r>
          </w:p>
        </w:tc>
        <w:tc>
          <w:tcPr>
            <w:tcW w:w="4960" w:type="dxa"/>
            <w:vAlign w:val="bottom"/>
          </w:tcPr>
          <w:p>
            <w:pPr>
              <w:jc w:val="center"/>
              <w:ind w:left="3030"/>
              <w:spacing w:after="0"/>
              <w:rPr>
                <w:sz w:val="20"/>
                <w:szCs w:val="20"/>
                <w:color w:val="auto"/>
              </w:rPr>
            </w:pPr>
            <w:r>
              <w:rPr>
                <w:rFonts w:ascii="Arial" w:cs="Arial" w:eastAsia="Arial" w:hAnsi="Arial"/>
                <w:sz w:val="18"/>
                <w:szCs w:val="18"/>
                <w:b w:val="1"/>
                <w:bCs w:val="1"/>
                <w:color w:val="auto"/>
                <w:w w:val="91"/>
              </w:rPr>
              <w:t>Charles S. Kim, Esq.</w:t>
            </w:r>
          </w:p>
        </w:tc>
      </w:tr>
      <w:tr>
        <w:trPr>
          <w:trHeight w:val="216"/>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Matthew S. Rossiter, Esq.</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2"/>
              </w:rPr>
              <w:t>Robert W. Phillips, Esq.</w:t>
            </w:r>
          </w:p>
        </w:tc>
      </w:tr>
      <w:tr>
        <w:trPr>
          <w:trHeight w:val="216"/>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Robert A. Freedman, Esq.</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0"/>
              </w:rPr>
              <w:t>Sean M. Clayton, Esq.</w:t>
            </w:r>
          </w:p>
        </w:tc>
      </w:tr>
      <w:tr>
        <w:trPr>
          <w:trHeight w:val="216"/>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4"/>
              </w:rPr>
              <w:t>Fenwick &amp; West LLP</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4"/>
              </w:rPr>
              <w:t>Cooley LLP</w:t>
            </w:r>
          </w:p>
        </w:tc>
      </w:tr>
      <w:tr>
        <w:trPr>
          <w:trHeight w:val="216"/>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555 California Street</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1"/>
              </w:rPr>
              <w:t>4401 Eastgate Mall</w:t>
            </w:r>
          </w:p>
        </w:tc>
      </w:tr>
      <w:tr>
        <w:trPr>
          <w:trHeight w:val="216"/>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San Francisco, CA 94104</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0"/>
              </w:rPr>
              <w:t>San Diego, CA 92121</w:t>
            </w:r>
          </w:p>
        </w:tc>
      </w:tr>
      <w:tr>
        <w:trPr>
          <w:trHeight w:val="234"/>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(415) 875-2300</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2"/>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252" w:lineRule="exact"/>
        <w:rPr>
          <w:sz w:val="24"/>
          <w:szCs w:val="24"/>
          <w:color w:val="auto"/>
        </w:rPr>
      </w:pPr>
    </w:p>
    <w:p>
      <w:pPr>
        <w:ind w:right="80" w:firstLine="456"/>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30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8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0" w:gutter="0" w:footer="0" w:header="0"/>
        </w:sectPr>
      </w:pPr>
    </w:p>
    <w:bookmarkStart w:id="1" w:name="page2"/>
    <w:bookmarkEnd w:id="1"/>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125" w:right="2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252730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125" w:right="2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338"/>
        </w:rPr>
        <w:t>SUBJECT TO COMPLETION, DATED MAY 10, 2016</w:t>
      </w:r>
    </w:p>
    <w:p>
      <w:pPr>
        <w:spacing w:after="0" w:line="210" w:lineRule="exact"/>
        <w:rPr>
          <w:sz w:val="20"/>
          <w:szCs w:val="20"/>
          <w:color w:val="auto"/>
        </w:rPr>
      </w:pPr>
    </w:p>
    <w:p>
      <w:pPr>
        <w:ind w:left="5800"/>
        <w:spacing w:after="0"/>
        <w:rPr>
          <w:sz w:val="20"/>
          <w:szCs w:val="20"/>
          <w:color w:val="auto"/>
        </w:rPr>
      </w:pPr>
      <w:r>
        <w:rPr>
          <w:rFonts w:ascii="Arial" w:cs="Arial" w:eastAsia="Arial" w:hAnsi="Arial"/>
          <w:sz w:val="32"/>
          <w:szCs w:val="3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173355</wp:posOffset>
            </wp:positionV>
            <wp:extent cx="2229485"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948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This is the initial public offering of shares of AnaptysBio, Inc. common stock. We are offering the initial public offering price of our common stock will be between $ and $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We anticipate that</w:t>
      </w:r>
    </w:p>
    <w:p>
      <w:pPr>
        <w:spacing w:after="0" w:line="464" w:lineRule="exact"/>
        <w:rPr>
          <w:sz w:val="20"/>
          <w:szCs w:val="20"/>
          <w:color w:val="auto"/>
        </w:rPr>
      </w:pPr>
    </w:p>
    <w:p>
      <w:pPr>
        <w:sectPr>
          <w:pgSz w:w="11900" w:h="16838" w:orient="portrait"/>
          <w:cols w:equalWidth="0" w:num="2">
            <w:col w:w="7380" w:space="460"/>
            <w:col w:w="3580"/>
          </w:cols>
          <w:pgMar w:left="240" w:top="459" w:right="239" w:bottom="1440" w:gutter="0" w:footer="0" w:header="0"/>
          <w:type w:val="continuous"/>
        </w:sectPr>
      </w:pPr>
    </w:p>
    <w:p>
      <w:pPr>
        <w:ind w:right="240" w:firstLine="456"/>
        <w:spacing w:after="0" w:line="277" w:lineRule="auto"/>
        <w:rPr>
          <w:sz w:val="20"/>
          <w:szCs w:val="20"/>
          <w:color w:val="auto"/>
        </w:rPr>
      </w:pPr>
      <w:r>
        <w:rPr>
          <w:rFonts w:ascii="Arial" w:cs="Arial" w:eastAsia="Arial" w:hAnsi="Arial"/>
          <w:sz w:val="18"/>
          <w:szCs w:val="18"/>
          <w:color w:val="auto"/>
        </w:rPr>
        <w:t>Prior to this offering, there has been no public market for our common stock. Our common stock has been approved for listing on the Nasdaq Global Select Market under the symbol “ANAB.”</w:t>
      </w:r>
    </w:p>
    <w:p>
      <w:pPr>
        <w:spacing w:after="0" w:line="170" w:lineRule="exact"/>
        <w:rPr>
          <w:sz w:val="20"/>
          <w:szCs w:val="20"/>
          <w:color w:val="auto"/>
        </w:rPr>
      </w:pPr>
    </w:p>
    <w:p>
      <w:pPr>
        <w:ind w:left="460"/>
        <w:spacing w:after="0"/>
        <w:tabs>
          <w:tab w:leader="none" w:pos="7100" w:val="left"/>
        </w:tabs>
        <w:rPr>
          <w:sz w:val="20"/>
          <w:szCs w:val="20"/>
          <w:color w:val="auto"/>
        </w:rPr>
      </w:pPr>
      <w:r>
        <w:rPr>
          <w:rFonts w:ascii="Arial" w:cs="Arial" w:eastAsia="Arial" w:hAnsi="Arial"/>
          <w:sz w:val="18"/>
          <w:szCs w:val="18"/>
          <w:color w:val="auto"/>
        </w:rPr>
        <w:t>The underwriters have the option for a 30-day period to purchase up to an additional</w:t>
      </w:r>
      <w:r>
        <w:rPr>
          <w:sz w:val="20"/>
          <w:szCs w:val="20"/>
          <w:color w:val="auto"/>
        </w:rPr>
        <w:tab/>
      </w:r>
      <w:r>
        <w:rPr>
          <w:rFonts w:ascii="Arial" w:cs="Arial" w:eastAsia="Arial" w:hAnsi="Arial"/>
          <w:sz w:val="16"/>
          <w:szCs w:val="16"/>
          <w:color w:val="auto"/>
        </w:rPr>
        <w:t>shares from us to cover over-allotments of shares.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we have elected to comply with certain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88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12 of this prospectus.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Price to</w:t>
            </w:r>
          </w:p>
        </w:tc>
        <w:tc>
          <w:tcPr>
            <w:tcW w:w="78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4"/>
                <w:szCs w:val="14"/>
                <w:b w:val="1"/>
                <w:bCs w:val="1"/>
                <w:color w:val="auto"/>
              </w:rPr>
              <w:t>Underwriting</w:t>
            </w:r>
          </w:p>
        </w:tc>
        <w:tc>
          <w:tcPr>
            <w:tcW w:w="80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7"/>
              </w:rPr>
              <w:t>Discounts and</w:t>
            </w:r>
          </w:p>
        </w:tc>
        <w:tc>
          <w:tcPr>
            <w:tcW w:w="80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AnaptysBio,</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w w:val="99"/>
              </w:rPr>
              <w:t>Public</w:t>
            </w:r>
          </w:p>
        </w:tc>
        <w:tc>
          <w:tcPr>
            <w:tcW w:w="78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w w:val="88"/>
              </w:rPr>
              <w:t>Commissions (1)</w:t>
            </w:r>
          </w:p>
        </w:tc>
        <w:tc>
          <w:tcPr>
            <w:tcW w:w="80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Inc.</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r>
              <w:rPr>
                <w:rFonts w:ascii="Arial" w:cs="Arial" w:eastAsia="Arial" w:hAnsi="Arial"/>
                <w:sz w:val="18"/>
                <w:szCs w:val="18"/>
                <w:color w:val="auto"/>
                <w:w w:val="93"/>
              </w:rPr>
              <w:t>The underwriters expect to deliver the shares of common stock to the purchasers on or about</w:t>
            </w:r>
          </w:p>
        </w:tc>
        <w:tc>
          <w:tcPr>
            <w:tcW w:w="78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Stifel</w:t>
      </w:r>
    </w:p>
    <w:p>
      <w:pPr>
        <w:spacing w:after="0" w:line="156" w:lineRule="exact"/>
        <w:rPr>
          <w:sz w:val="20"/>
          <w:szCs w:val="20"/>
          <w:color w:val="auto"/>
        </w:rPr>
      </w:pPr>
    </w:p>
    <w:p>
      <w:pPr>
        <w:sectPr>
          <w:pgSz w:w="11900" w:h="16838" w:orient="portrait"/>
          <w:cols w:equalWidth="0" w:num="2">
            <w:col w:w="8380" w:space="720"/>
            <w:col w:w="2320"/>
          </w:cols>
          <w:pgMar w:left="240" w:top="459" w:right="23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JMP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Wedbush PacGrow</w:t>
      </w:r>
    </w:p>
    <w:p>
      <w:pPr>
        <w:spacing w:after="0" w:line="200" w:lineRule="exact"/>
        <w:rPr>
          <w:sz w:val="20"/>
          <w:szCs w:val="20"/>
          <w:color w:val="auto"/>
        </w:rPr>
      </w:pPr>
    </w:p>
    <w:p>
      <w:pPr>
        <w:sectPr>
          <w:pgSz w:w="11900" w:h="16838" w:orient="portrait"/>
          <w:cols w:equalWidth="0" w:num="2">
            <w:col w:w="8380" w:space="720"/>
            <w:col w:w="2320"/>
          </w:cols>
          <w:pgMar w:left="240" w:top="459" w:right="239" w:bottom="1440" w:gutter="0" w:footer="0" w:header="0"/>
          <w:type w:val="continuous"/>
        </w:sectPr>
      </w:pPr>
    </w:p>
    <w:p>
      <w:pPr>
        <w:spacing w:after="0" w:line="69"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The date of this prospectus is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2016.</w:t>
      </w:r>
    </w:p>
    <w:p>
      <w:pPr>
        <w:sectPr>
          <w:pgSz w:w="11900" w:h="16838" w:orient="portrait"/>
          <w:cols w:equalWidth="0" w:num="2">
            <w:col w:w="6240" w:space="540"/>
            <w:col w:w="464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780" w:type="dxa"/>
            <w:vAlign w:val="bottom"/>
            <w:gridSpan w:val="8"/>
            <w:vMerge w:val="restart"/>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P</w:t>
              </w:r>
              <w:r>
                <w:rPr>
                  <w:rFonts w:ascii="Arial" w:cs="Arial" w:eastAsia="Arial" w:hAnsi="Arial"/>
                  <w:sz w:val="15"/>
                  <w:szCs w:val="15"/>
                  <w:color w:val="0000EE"/>
                  <w:w w:val="93"/>
                </w:rPr>
                <w:t>ROSPECTUS</w:t>
              </w:r>
              <w:r>
                <w:rPr>
                  <w:rFonts w:ascii="Arial" w:cs="Arial" w:eastAsia="Arial" w:hAnsi="Arial"/>
                  <w:sz w:val="18"/>
                  <w:szCs w:val="18"/>
                  <w:color w:val="0000EE"/>
                  <w:w w:val="93"/>
                </w:rPr>
                <w:t xml:space="preserve"> S</w:t>
              </w:r>
              <w:r>
                <w:rPr>
                  <w:rFonts w:ascii="Arial" w:cs="Arial" w:eastAsia="Arial" w:hAnsi="Arial"/>
                  <w:sz w:val="15"/>
                  <w:szCs w:val="15"/>
                  <w:color w:val="0000EE"/>
                  <w:w w:val="93"/>
                </w:rPr>
                <w:t>UMMARY</w:t>
              </w:r>
            </w:hyperlink>
          </w:p>
        </w:tc>
        <w:tc>
          <w:tcPr>
            <w:tcW w:w="3280" w:type="dxa"/>
            <w:vAlign w:val="bottom"/>
            <w:gridSpan w:val="6"/>
            <w:vMerge w:val="restart"/>
          </w:tcPr>
          <w:p>
            <w:pPr>
              <w:spacing w:after="0"/>
              <w:rPr>
                <w:sz w:val="14"/>
                <w:szCs w:val="14"/>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Page</w:t>
            </w:r>
          </w:p>
        </w:tc>
        <w:tc>
          <w:tcPr>
            <w:tcW w:w="5040" w:type="dxa"/>
            <w:vAlign w:val="bottom"/>
            <w:gridSpan w:val="14"/>
            <w:vMerge w:val="restart"/>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M</w:t>
              </w:r>
              <w:r>
                <w:rPr>
                  <w:rFonts w:ascii="Arial" w:cs="Arial" w:eastAsia="Arial" w:hAnsi="Arial"/>
                  <w:sz w:val="15"/>
                  <w:szCs w:val="15"/>
                  <w:color w:val="0000EE"/>
                </w:rPr>
                <w:t>ANAGEMENT</w:t>
              </w:r>
            </w:hyperlink>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780" w:type="dxa"/>
            <w:vAlign w:val="bottom"/>
            <w:gridSpan w:val="8"/>
            <w:vMerge w:val="continue"/>
          </w:tcPr>
          <w:p>
            <w:pPr>
              <w:spacing w:after="0"/>
              <w:rPr>
                <w:sz w:val="14"/>
                <w:szCs w:val="14"/>
                <w:color w:val="auto"/>
              </w:rPr>
            </w:pPr>
          </w:p>
        </w:tc>
        <w:tc>
          <w:tcPr>
            <w:tcW w:w="3280" w:type="dxa"/>
            <w:vAlign w:val="bottom"/>
            <w:gridSpan w:val="6"/>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60" w:type="dxa"/>
            <w:vAlign w:val="bottom"/>
          </w:tcPr>
          <w:p>
            <w:pPr>
              <w:spacing w:after="0"/>
              <w:rPr>
                <w:sz w:val="14"/>
                <w:szCs w:val="14"/>
                <w:color w:val="auto"/>
              </w:rPr>
            </w:pPr>
          </w:p>
        </w:tc>
        <w:tc>
          <w:tcPr>
            <w:tcW w:w="5040" w:type="dxa"/>
            <w:vAlign w:val="bottom"/>
            <w:gridSpan w:val="14"/>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gridSpan w:val="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T</w:t>
              </w:r>
              <w:r>
                <w:rPr>
                  <w:rFonts w:ascii="Arial" w:cs="Arial" w:eastAsia="Arial" w:hAnsi="Arial"/>
                  <w:sz w:val="15"/>
                  <w:szCs w:val="15"/>
                  <w:color w:val="0000EE"/>
                </w:rPr>
                <w:t>HE</w:t>
              </w:r>
              <w:r>
                <w:rPr>
                  <w:rFonts w:ascii="Arial" w:cs="Arial" w:eastAsia="Arial" w:hAnsi="Arial"/>
                  <w:sz w:val="18"/>
                  <w:szCs w:val="18"/>
                  <w:color w:val="0000EE"/>
                </w:rPr>
                <w:t xml:space="preserve"> O</w:t>
              </w:r>
              <w:r>
                <w:rPr>
                  <w:rFonts w:ascii="Arial" w:cs="Arial" w:eastAsia="Arial" w:hAnsi="Arial"/>
                  <w:sz w:val="15"/>
                  <w:szCs w:val="15"/>
                  <w:color w:val="0000EE"/>
                </w:rPr>
                <w:t>FFERING</w:t>
              </w:r>
            </w:hyperlink>
          </w:p>
        </w:tc>
        <w:tc>
          <w:tcPr>
            <w:tcW w:w="3280" w:type="dxa"/>
            <w:vAlign w:val="bottom"/>
            <w:gridSpan w:val="6"/>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8</w:t>
            </w:r>
          </w:p>
        </w:tc>
        <w:tc>
          <w:tcPr>
            <w:tcW w:w="5040" w:type="dxa"/>
            <w:vAlign w:val="bottom"/>
            <w:gridSpan w:val="14"/>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E</w:t>
              </w:r>
              <w:r>
                <w:rPr>
                  <w:rFonts w:ascii="Arial" w:cs="Arial" w:eastAsia="Arial" w:hAnsi="Arial"/>
                  <w:sz w:val="15"/>
                  <w:szCs w:val="15"/>
                  <w:color w:val="0000EE"/>
                </w:rPr>
                <w:t>XECUTIVE</w:t>
              </w:r>
              <w:r>
                <w:rPr>
                  <w:rFonts w:ascii="Arial" w:cs="Arial" w:eastAsia="Arial" w:hAnsi="Arial"/>
                  <w:sz w:val="18"/>
                  <w:szCs w:val="18"/>
                  <w:color w:val="0000EE"/>
                </w:rPr>
                <w:t xml:space="preserve"> C</w:t>
              </w:r>
              <w:r>
                <w:rPr>
                  <w:rFonts w:ascii="Arial" w:cs="Arial" w:eastAsia="Arial" w:hAnsi="Arial"/>
                  <w:sz w:val="15"/>
                  <w:szCs w:val="15"/>
                  <w:color w:val="0000EE"/>
                </w:rPr>
                <w:t>OMPENSATION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R</w:t>
              </w:r>
              <w:r>
                <w:rPr>
                  <w:rFonts w:ascii="Arial" w:cs="Arial" w:eastAsia="Arial" w:hAnsi="Arial"/>
                  <w:sz w:val="15"/>
                  <w:szCs w:val="15"/>
                  <w:color w:val="0000EE"/>
                  <w:w w:val="91"/>
                </w:rPr>
                <w:t>ISK</w:t>
              </w:r>
              <w:r>
                <w:rPr>
                  <w:rFonts w:ascii="Arial" w:cs="Arial" w:eastAsia="Arial" w:hAnsi="Arial"/>
                  <w:sz w:val="18"/>
                  <w:szCs w:val="18"/>
                  <w:color w:val="0000EE"/>
                  <w:w w:val="91"/>
                </w:rPr>
                <w:t xml:space="preserve"> F</w:t>
              </w:r>
              <w:r>
                <w:rPr>
                  <w:rFonts w:ascii="Arial" w:cs="Arial" w:eastAsia="Arial" w:hAnsi="Arial"/>
                  <w:sz w:val="15"/>
                  <w:szCs w:val="15"/>
                  <w:color w:val="0000EE"/>
                  <w:w w:val="91"/>
                </w:rPr>
                <w:t>ACTORS</w:t>
              </w:r>
            </w:hyperlink>
          </w:p>
        </w:tc>
        <w:tc>
          <w:tcPr>
            <w:tcW w:w="3960" w:type="dxa"/>
            <w:vAlign w:val="bottom"/>
            <w:tcBorders>
              <w:bottom w:val="single" w:sz="8" w:color="0000EE"/>
            </w:tcBorders>
            <w:gridSpan w:val="10"/>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12</w:t>
            </w:r>
          </w:p>
        </w:tc>
        <w:tc>
          <w:tcPr>
            <w:tcW w:w="470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C</w:t>
              </w:r>
              <w:r>
                <w:rPr>
                  <w:rFonts w:ascii="Arial" w:cs="Arial" w:eastAsia="Arial" w:hAnsi="Arial"/>
                  <w:sz w:val="15"/>
                  <w:szCs w:val="15"/>
                  <w:color w:val="0000EE"/>
                  <w:w w:val="95"/>
                </w:rPr>
                <w:t>ERTAIN</w:t>
              </w:r>
              <w:r>
                <w:rPr>
                  <w:rFonts w:ascii="Arial" w:cs="Arial" w:eastAsia="Arial" w:hAnsi="Arial"/>
                  <w:sz w:val="18"/>
                  <w:szCs w:val="18"/>
                  <w:color w:val="0000EE"/>
                  <w:w w:val="95"/>
                </w:rPr>
                <w:t xml:space="preserve"> R</w:t>
              </w:r>
              <w:r>
                <w:rPr>
                  <w:rFonts w:ascii="Arial" w:cs="Arial" w:eastAsia="Arial" w:hAnsi="Arial"/>
                  <w:sz w:val="15"/>
                  <w:szCs w:val="15"/>
                  <w:color w:val="0000EE"/>
                  <w:w w:val="95"/>
                </w:rPr>
                <w:t>ELATIONSHIPS AND</w:t>
              </w:r>
              <w:r>
                <w:rPr>
                  <w:rFonts w:ascii="Arial" w:cs="Arial" w:eastAsia="Arial" w:hAnsi="Arial"/>
                  <w:sz w:val="18"/>
                  <w:szCs w:val="18"/>
                  <w:color w:val="0000EE"/>
                  <w:w w:val="95"/>
                </w:rPr>
                <w:t xml:space="preserve"> R</w:t>
              </w:r>
              <w:r>
                <w:rPr>
                  <w:rFonts w:ascii="Arial" w:cs="Arial" w:eastAsia="Arial" w:hAnsi="Arial"/>
                  <w:sz w:val="15"/>
                  <w:szCs w:val="15"/>
                  <w:color w:val="0000EE"/>
                  <w:w w:val="95"/>
                </w:rPr>
                <w:t>ELATED</w:t>
              </w:r>
              <w:r>
                <w:rPr>
                  <w:rFonts w:ascii="Arial" w:cs="Arial" w:eastAsia="Arial" w:hAnsi="Arial"/>
                  <w:sz w:val="18"/>
                  <w:szCs w:val="18"/>
                  <w:color w:val="0000EE"/>
                  <w:w w:val="95"/>
                </w:rPr>
                <w:t xml:space="preserve"> P</w:t>
              </w:r>
              <w:r>
                <w:rPr>
                  <w:rFonts w:ascii="Arial" w:cs="Arial" w:eastAsia="Arial" w:hAnsi="Arial"/>
                  <w:sz w:val="15"/>
                  <w:szCs w:val="15"/>
                  <w:color w:val="0000EE"/>
                  <w:w w:val="95"/>
                </w:rPr>
                <w:t>ARTY</w:t>
              </w:r>
              <w:r>
                <w:rPr>
                  <w:rFonts w:ascii="Arial" w:cs="Arial" w:eastAsia="Arial" w:hAnsi="Arial"/>
                  <w:sz w:val="18"/>
                  <w:szCs w:val="18"/>
                  <w:color w:val="0000EE"/>
                  <w:w w:val="95"/>
                </w:rPr>
                <w:t xml:space="preserve"> T</w:t>
              </w:r>
              <w:r>
                <w:rPr>
                  <w:rFonts w:ascii="Arial" w:cs="Arial" w:eastAsia="Arial" w:hAnsi="Arial"/>
                  <w:sz w:val="15"/>
                  <w:szCs w:val="15"/>
                  <w:color w:val="0000EE"/>
                  <w:w w:val="95"/>
                </w:rPr>
                <w:t>RANSACTIONS</w:t>
              </w:r>
            </w:hyperlink>
          </w:p>
        </w:tc>
        <w:tc>
          <w:tcPr>
            <w:tcW w:w="3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w:t>
              </w:r>
              <w:r>
                <w:rPr>
                  <w:rFonts w:ascii="Arial" w:cs="Arial" w:eastAsia="Arial" w:hAnsi="Arial"/>
                  <w:sz w:val="15"/>
                  <w:szCs w:val="15"/>
                  <w:color w:val="0000EE"/>
                </w:rPr>
                <w:t>PECIAL</w:t>
              </w:r>
              <w:r>
                <w:rPr>
                  <w:rFonts w:ascii="Arial" w:cs="Arial" w:eastAsia="Arial" w:hAnsi="Arial"/>
                  <w:sz w:val="18"/>
                  <w:szCs w:val="18"/>
                  <w:color w:val="0000EE"/>
                </w:rPr>
                <w:t xml:space="preserve"> N</w:t>
              </w:r>
              <w:r>
                <w:rPr>
                  <w:rFonts w:ascii="Arial" w:cs="Arial" w:eastAsia="Arial" w:hAnsi="Arial"/>
                  <w:sz w:val="15"/>
                  <w:szCs w:val="15"/>
                  <w:color w:val="0000EE"/>
                </w:rPr>
                <w:t>OTE</w:t>
              </w:r>
              <w:r>
                <w:rPr>
                  <w:rFonts w:ascii="Arial" w:cs="Arial" w:eastAsia="Arial" w:hAnsi="Arial"/>
                  <w:sz w:val="18"/>
                  <w:szCs w:val="18"/>
                  <w:color w:val="0000EE"/>
                </w:rPr>
                <w:t xml:space="preserve"> R</w:t>
              </w:r>
              <w:r>
                <w:rPr>
                  <w:rFonts w:ascii="Arial" w:cs="Arial" w:eastAsia="Arial" w:hAnsi="Arial"/>
                  <w:sz w:val="15"/>
                  <w:szCs w:val="15"/>
                  <w:color w:val="0000EE"/>
                </w:rPr>
                <w:t>EGARDING</w:t>
              </w:r>
              <w:r>
                <w:rPr>
                  <w:rFonts w:ascii="Arial" w:cs="Arial" w:eastAsia="Arial" w:hAnsi="Arial"/>
                  <w:sz w:val="18"/>
                  <w:szCs w:val="18"/>
                  <w:color w:val="0000EE"/>
                </w:rPr>
                <w:t xml:space="preserve"> F</w:t>
              </w:r>
              <w:r>
                <w:rPr>
                  <w:rFonts w:ascii="Arial" w:cs="Arial" w:eastAsia="Arial" w:hAnsi="Arial"/>
                  <w:sz w:val="15"/>
                  <w:szCs w:val="15"/>
                  <w:color w:val="0000EE"/>
                </w:rPr>
                <w:t>ORWARD</w:t>
              </w:r>
              <w:r>
                <w:rPr>
                  <w:rFonts w:ascii="Arial" w:cs="Arial" w:eastAsia="Arial" w:hAnsi="Arial"/>
                  <w:sz w:val="18"/>
                  <w:szCs w:val="18"/>
                  <w:color w:val="0000EE"/>
                </w:rPr>
                <w:t xml:space="preserve"> -L</w:t>
              </w:r>
              <w:r>
                <w:rPr>
                  <w:rFonts w:ascii="Arial" w:cs="Arial" w:eastAsia="Arial" w:hAnsi="Arial"/>
                  <w:sz w:val="15"/>
                  <w:szCs w:val="15"/>
                  <w:color w:val="0000EE"/>
                </w:rPr>
                <w:t>OOKING</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51</w:t>
            </w:r>
          </w:p>
        </w:tc>
        <w:tc>
          <w:tcPr>
            <w:tcW w:w="5040" w:type="dxa"/>
            <w:vAlign w:val="bottom"/>
            <w:gridSpan w:val="14"/>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P</w:t>
              </w:r>
              <w:r>
                <w:rPr>
                  <w:rFonts w:ascii="Arial" w:cs="Arial" w:eastAsia="Arial" w:hAnsi="Arial"/>
                  <w:sz w:val="15"/>
                  <w:szCs w:val="15"/>
                  <w:color w:val="0000EE"/>
                </w:rPr>
                <w:t>RINCIPAL</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1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w:t>
              </w:r>
              <w:r>
                <w:rPr>
                  <w:rFonts w:ascii="Arial" w:cs="Arial" w:eastAsia="Arial" w:hAnsi="Arial"/>
                  <w:sz w:val="15"/>
                  <w:szCs w:val="15"/>
                  <w:color w:val="0000EE"/>
                </w:rPr>
                <w:t>ARKET AND</w:t>
              </w:r>
              <w:r>
                <w:rPr>
                  <w:rFonts w:ascii="Arial" w:cs="Arial" w:eastAsia="Arial" w:hAnsi="Arial"/>
                  <w:sz w:val="18"/>
                  <w:szCs w:val="18"/>
                  <w:color w:val="0000EE"/>
                </w:rPr>
                <w:t xml:space="preserve"> I</w:t>
              </w:r>
              <w:r>
                <w:rPr>
                  <w:rFonts w:ascii="Arial" w:cs="Arial" w:eastAsia="Arial" w:hAnsi="Arial"/>
                  <w:sz w:val="15"/>
                  <w:szCs w:val="15"/>
                  <w:color w:val="0000EE"/>
                </w:rPr>
                <w:t>NDUSTRY</w:t>
              </w:r>
              <w:r>
                <w:rPr>
                  <w:rFonts w:ascii="Arial" w:cs="Arial" w:eastAsia="Arial" w:hAnsi="Arial"/>
                  <w:sz w:val="18"/>
                  <w:szCs w:val="18"/>
                  <w:color w:val="0000EE"/>
                </w:rPr>
                <w:t xml:space="preserve"> D</w:t>
              </w:r>
              <w:r>
                <w:rPr>
                  <w:rFonts w:ascii="Arial" w:cs="Arial" w:eastAsia="Arial" w:hAnsi="Arial"/>
                  <w:sz w:val="15"/>
                  <w:szCs w:val="15"/>
                  <w:color w:val="0000EE"/>
                </w:rPr>
                <w:t>ATA</w:t>
              </w:r>
            </w:hyperlink>
          </w:p>
        </w:tc>
        <w:tc>
          <w:tcPr>
            <w:tcW w:w="440" w:type="dxa"/>
            <w:vAlign w:val="bottom"/>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52</w:t>
            </w:r>
          </w:p>
        </w:tc>
        <w:tc>
          <w:tcPr>
            <w:tcW w:w="5040" w:type="dxa"/>
            <w:vAlign w:val="bottom"/>
            <w:gridSpan w:val="14"/>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D</w:t>
              </w:r>
              <w:r>
                <w:rPr>
                  <w:rFonts w:ascii="Arial" w:cs="Arial" w:eastAsia="Arial" w:hAnsi="Arial"/>
                  <w:sz w:val="15"/>
                  <w:szCs w:val="15"/>
                  <w:color w:val="0000EE"/>
                </w:rPr>
                <w:t>ESCRIPTION OF</w:t>
              </w:r>
              <w:r>
                <w:rPr>
                  <w:rFonts w:ascii="Arial" w:cs="Arial" w:eastAsia="Arial" w:hAnsi="Arial"/>
                  <w:sz w:val="18"/>
                  <w:szCs w:val="18"/>
                  <w:color w:val="0000EE"/>
                </w:rPr>
                <w:t xml:space="preserve"> C</w:t>
              </w:r>
              <w:r>
                <w:rPr>
                  <w:rFonts w:ascii="Arial" w:cs="Arial" w:eastAsia="Arial" w:hAnsi="Arial"/>
                  <w:sz w:val="15"/>
                  <w:szCs w:val="15"/>
                  <w:color w:val="0000EE"/>
                </w:rPr>
                <w:t>APITAL</w:t>
              </w:r>
              <w:r>
                <w:rPr>
                  <w:rFonts w:ascii="Arial" w:cs="Arial" w:eastAsia="Arial" w:hAnsi="Arial"/>
                  <w:sz w:val="18"/>
                  <w:szCs w:val="18"/>
                  <w:color w:val="0000EE"/>
                </w:rPr>
                <w:t xml:space="preserve"> S</w:t>
              </w:r>
              <w:r>
                <w:rPr>
                  <w:rFonts w:ascii="Arial" w:cs="Arial" w:eastAsia="Arial" w:hAnsi="Arial"/>
                  <w:sz w:val="15"/>
                  <w:szCs w:val="15"/>
                  <w:color w:val="0000EE"/>
                </w:rPr>
                <w:t>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900" w:type="dxa"/>
            <w:vAlign w:val="bottom"/>
            <w:gridSpan w:val="2"/>
          </w:tcPr>
          <w:p>
            <w:pPr>
              <w:spacing w:after="0"/>
              <w:rPr>
                <w:sz w:val="17"/>
                <w:szCs w:val="17"/>
                <w:color w:val="auto"/>
              </w:rPr>
            </w:pPr>
          </w:p>
        </w:tc>
        <w:tc>
          <w:tcPr>
            <w:tcW w:w="2780" w:type="dxa"/>
            <w:vAlign w:val="bottom"/>
            <w:gridSpan w:val="5"/>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53</w:t>
            </w:r>
          </w:p>
        </w:tc>
        <w:tc>
          <w:tcPr>
            <w:tcW w:w="27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49">
              <w:r>
                <w:rPr>
                  <w:rFonts w:ascii="Arial" w:cs="Arial" w:eastAsia="Arial" w:hAnsi="Arial"/>
                  <w:sz w:val="18"/>
                  <w:szCs w:val="18"/>
                  <w:color w:val="0000EE"/>
                  <w:w w:val="95"/>
                </w:rPr>
                <w:t>S</w:t>
              </w:r>
              <w:r>
                <w:rPr>
                  <w:rFonts w:ascii="Arial" w:cs="Arial" w:eastAsia="Arial" w:hAnsi="Arial"/>
                  <w:sz w:val="15"/>
                  <w:szCs w:val="15"/>
                  <w:color w:val="0000EE"/>
                  <w:w w:val="95"/>
                </w:rPr>
                <w:t>HARES</w:t>
              </w:r>
              <w:r>
                <w:rPr>
                  <w:rFonts w:ascii="Arial" w:cs="Arial" w:eastAsia="Arial" w:hAnsi="Arial"/>
                  <w:sz w:val="18"/>
                  <w:szCs w:val="18"/>
                  <w:color w:val="0000EE"/>
                  <w:w w:val="95"/>
                </w:rPr>
                <w:t xml:space="preserve"> E</w:t>
              </w:r>
              <w:r>
                <w:rPr>
                  <w:rFonts w:ascii="Arial" w:cs="Arial" w:eastAsia="Arial" w:hAnsi="Arial"/>
                  <w:sz w:val="15"/>
                  <w:szCs w:val="15"/>
                  <w:color w:val="0000EE"/>
                  <w:w w:val="95"/>
                </w:rPr>
                <w:t>LIGIBLE FOR</w:t>
              </w:r>
              <w:r>
                <w:rPr>
                  <w:rFonts w:ascii="Arial" w:cs="Arial" w:eastAsia="Arial" w:hAnsi="Arial"/>
                  <w:sz w:val="18"/>
                  <w:szCs w:val="18"/>
                  <w:color w:val="0000EE"/>
                  <w:w w:val="95"/>
                </w:rPr>
                <w:t xml:space="preserve"> F</w:t>
              </w:r>
              <w:r>
                <w:rPr>
                  <w:rFonts w:ascii="Arial" w:cs="Arial" w:eastAsia="Arial" w:hAnsi="Arial"/>
                  <w:sz w:val="15"/>
                  <w:szCs w:val="15"/>
                  <w:color w:val="0000EE"/>
                  <w:w w:val="95"/>
                </w:rPr>
                <w:t>UTURE</w:t>
              </w:r>
              <w:r>
                <w:rPr>
                  <w:rFonts w:ascii="Arial" w:cs="Arial" w:eastAsia="Arial" w:hAnsi="Arial"/>
                  <w:sz w:val="18"/>
                  <w:szCs w:val="18"/>
                  <w:color w:val="0000EE"/>
                  <w:w w:val="95"/>
                </w:rPr>
                <w:t xml:space="preserve"> S</w:t>
              </w:r>
              <w:r>
                <w:rPr>
                  <w:rFonts w:ascii="Arial" w:cs="Arial" w:eastAsia="Arial" w:hAnsi="Arial"/>
                  <w:sz w:val="15"/>
                  <w:szCs w:val="15"/>
                  <w:color w:val="0000EE"/>
                  <w:w w:val="95"/>
                </w:rPr>
                <w:t>ALE</w:t>
              </w:r>
            </w:hyperlink>
          </w:p>
        </w:tc>
        <w:tc>
          <w:tcPr>
            <w:tcW w:w="230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D</w:t>
              </w:r>
              <w:r>
                <w:rPr>
                  <w:rFonts w:ascii="Arial" w:cs="Arial" w:eastAsia="Arial" w:hAnsi="Arial"/>
                  <w:sz w:val="15"/>
                  <w:szCs w:val="15"/>
                  <w:color w:val="0000EE"/>
                  <w:w w:val="98"/>
                </w:rPr>
                <w:t>IVIDEND</w:t>
              </w:r>
              <w:r>
                <w:rPr>
                  <w:rFonts w:ascii="Arial" w:cs="Arial" w:eastAsia="Arial" w:hAnsi="Arial"/>
                  <w:sz w:val="18"/>
                  <w:szCs w:val="18"/>
                  <w:color w:val="0000EE"/>
                  <w:w w:val="98"/>
                </w:rPr>
                <w:t xml:space="preserve"> P</w:t>
              </w:r>
              <w:r>
                <w:rPr>
                  <w:rFonts w:ascii="Arial" w:cs="Arial" w:eastAsia="Arial" w:hAnsi="Arial"/>
                  <w:sz w:val="15"/>
                  <w:szCs w:val="15"/>
                  <w:color w:val="0000EE"/>
                  <w:w w:val="98"/>
                </w:rPr>
                <w:t>OLICY</w:t>
              </w:r>
            </w:hyperlink>
          </w:p>
        </w:tc>
        <w:tc>
          <w:tcPr>
            <w:tcW w:w="3700" w:type="dxa"/>
            <w:vAlign w:val="bottom"/>
            <w:gridSpan w:val="8"/>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54</w:t>
            </w:r>
          </w:p>
        </w:tc>
        <w:tc>
          <w:tcPr>
            <w:tcW w:w="458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151">
              <w:r>
                <w:rPr>
                  <w:rFonts w:ascii="Arial" w:cs="Arial" w:eastAsia="Arial" w:hAnsi="Arial"/>
                  <w:sz w:val="18"/>
                  <w:szCs w:val="18"/>
                  <w:color w:val="0000EE"/>
                  <w:w w:val="96"/>
                </w:rPr>
                <w:t>M</w:t>
              </w:r>
              <w:r>
                <w:rPr>
                  <w:rFonts w:ascii="Arial" w:cs="Arial" w:eastAsia="Arial" w:hAnsi="Arial"/>
                  <w:sz w:val="15"/>
                  <w:szCs w:val="15"/>
                  <w:color w:val="0000EE"/>
                  <w:w w:val="96"/>
                </w:rPr>
                <w:t>ATERIAL</w:t>
              </w:r>
              <w:r>
                <w:rPr>
                  <w:rFonts w:ascii="Arial" w:cs="Arial" w:eastAsia="Arial" w:hAnsi="Arial"/>
                  <w:sz w:val="18"/>
                  <w:szCs w:val="18"/>
                  <w:color w:val="0000EE"/>
                  <w:w w:val="96"/>
                </w:rPr>
                <w:t xml:space="preserve"> U.S. F</w:t>
              </w:r>
              <w:r>
                <w:rPr>
                  <w:rFonts w:ascii="Arial" w:cs="Arial" w:eastAsia="Arial" w:hAnsi="Arial"/>
                  <w:sz w:val="15"/>
                  <w:szCs w:val="15"/>
                  <w:color w:val="0000EE"/>
                  <w:w w:val="96"/>
                </w:rPr>
                <w:t>EDERAL</w:t>
              </w:r>
              <w:r>
                <w:rPr>
                  <w:rFonts w:ascii="Arial" w:cs="Arial" w:eastAsia="Arial" w:hAnsi="Arial"/>
                  <w:sz w:val="18"/>
                  <w:szCs w:val="18"/>
                  <w:color w:val="0000EE"/>
                  <w:w w:val="96"/>
                </w:rPr>
                <w:t xml:space="preserve"> I</w:t>
              </w:r>
              <w:r>
                <w:rPr>
                  <w:rFonts w:ascii="Arial" w:cs="Arial" w:eastAsia="Arial" w:hAnsi="Arial"/>
                  <w:sz w:val="15"/>
                  <w:szCs w:val="15"/>
                  <w:color w:val="0000EE"/>
                  <w:w w:val="96"/>
                </w:rPr>
                <w:t>NCOME</w:t>
              </w:r>
              <w:r>
                <w:rPr>
                  <w:rFonts w:ascii="Arial" w:cs="Arial" w:eastAsia="Arial" w:hAnsi="Arial"/>
                  <w:sz w:val="18"/>
                  <w:szCs w:val="18"/>
                  <w:color w:val="0000EE"/>
                  <w:w w:val="96"/>
                </w:rPr>
                <w:t xml:space="preserve"> T</w:t>
              </w:r>
              <w:r>
                <w:rPr>
                  <w:rFonts w:ascii="Arial" w:cs="Arial" w:eastAsia="Arial" w:hAnsi="Arial"/>
                  <w:sz w:val="15"/>
                  <w:szCs w:val="15"/>
                  <w:color w:val="0000EE"/>
                  <w:w w:val="96"/>
                </w:rPr>
                <w:t>AX</w:t>
              </w:r>
              <w:r>
                <w:rPr>
                  <w:rFonts w:ascii="Arial" w:cs="Arial" w:eastAsia="Arial" w:hAnsi="Arial"/>
                  <w:sz w:val="18"/>
                  <w:szCs w:val="18"/>
                  <w:color w:val="0000EE"/>
                  <w:w w:val="96"/>
                </w:rPr>
                <w:t xml:space="preserve"> C</w:t>
              </w:r>
              <w:r>
                <w:rPr>
                  <w:rFonts w:ascii="Arial" w:cs="Arial" w:eastAsia="Arial" w:hAnsi="Arial"/>
                  <w:sz w:val="15"/>
                  <w:szCs w:val="15"/>
                  <w:color w:val="0000EE"/>
                  <w:w w:val="96"/>
                </w:rPr>
                <w:t>ONSIDERATIONS FOR</w:t>
              </w:r>
            </w:hyperlink>
          </w:p>
        </w:tc>
        <w:tc>
          <w:tcPr>
            <w:tcW w:w="4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w:t>
              </w:r>
              <w:r>
                <w:rPr>
                  <w:rFonts w:ascii="Arial" w:cs="Arial" w:eastAsia="Arial" w:hAnsi="Arial"/>
                  <w:sz w:val="15"/>
                  <w:szCs w:val="15"/>
                  <w:color w:val="0000EE"/>
                </w:rPr>
                <w:t>APITALIZATION</w:t>
              </w:r>
            </w:hyperlink>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55</w:t>
            </w:r>
          </w:p>
        </w:tc>
        <w:tc>
          <w:tcPr>
            <w:tcW w:w="180" w:type="dxa"/>
            <w:vAlign w:val="bottom"/>
          </w:tcPr>
          <w:p>
            <w:pPr>
              <w:spacing w:after="0"/>
              <w:rPr>
                <w:sz w:val="17"/>
                <w:szCs w:val="17"/>
                <w:color w:val="auto"/>
              </w:rPr>
            </w:pPr>
          </w:p>
        </w:tc>
        <w:tc>
          <w:tcPr>
            <w:tcW w:w="4860" w:type="dxa"/>
            <w:vAlign w:val="bottom"/>
            <w:gridSpan w:val="13"/>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N</w:t>
              </w:r>
              <w:r>
                <w:rPr>
                  <w:rFonts w:ascii="Arial" w:cs="Arial" w:eastAsia="Arial" w:hAnsi="Arial"/>
                  <w:sz w:val="15"/>
                  <w:szCs w:val="15"/>
                  <w:color w:val="0000EE"/>
                </w:rPr>
                <w:t>ON</w:t>
              </w:r>
              <w:r>
                <w:rPr>
                  <w:rFonts w:ascii="Arial" w:cs="Arial" w:eastAsia="Arial" w:hAnsi="Arial"/>
                  <w:sz w:val="18"/>
                  <w:szCs w:val="18"/>
                  <w:color w:val="0000EE"/>
                </w:rPr>
                <w:t>-U.S. H</w:t>
              </w:r>
              <w:r>
                <w:rPr>
                  <w:rFonts w:ascii="Arial" w:cs="Arial" w:eastAsia="Arial" w:hAnsi="Arial"/>
                  <w:sz w:val="15"/>
                  <w:szCs w:val="15"/>
                  <w:color w:val="0000EE"/>
                </w:rPr>
                <w:t>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D</w:t>
              </w:r>
              <w:r>
                <w:rPr>
                  <w:rFonts w:ascii="Arial" w:cs="Arial" w:eastAsia="Arial" w:hAnsi="Arial"/>
                  <w:sz w:val="15"/>
                  <w:szCs w:val="15"/>
                  <w:color w:val="0000EE"/>
                  <w:w w:val="99"/>
                </w:rPr>
                <w:t>ILUTION</w:t>
              </w:r>
            </w:hyperlink>
          </w:p>
        </w:tc>
        <w:tc>
          <w:tcPr>
            <w:tcW w:w="480" w:type="dxa"/>
            <w:vAlign w:val="bottom"/>
            <w:gridSpan w:val="2"/>
          </w:tcPr>
          <w:p>
            <w:pPr>
              <w:spacing w:after="0"/>
              <w:rPr>
                <w:sz w:val="17"/>
                <w:szCs w:val="17"/>
                <w:color w:val="auto"/>
              </w:rPr>
            </w:pPr>
          </w:p>
        </w:tc>
        <w:tc>
          <w:tcPr>
            <w:tcW w:w="3840" w:type="dxa"/>
            <w:vAlign w:val="bottom"/>
            <w:gridSpan w:val="9"/>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57</w:t>
            </w:r>
          </w:p>
        </w:tc>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56">
              <w:r>
                <w:rPr>
                  <w:rFonts w:ascii="Arial" w:cs="Arial" w:eastAsia="Arial" w:hAnsi="Arial"/>
                  <w:sz w:val="18"/>
                  <w:szCs w:val="18"/>
                  <w:color w:val="0000EE"/>
                  <w:w w:val="96"/>
                </w:rPr>
                <w:t>U</w:t>
              </w:r>
              <w:r>
                <w:rPr>
                  <w:rFonts w:ascii="Arial" w:cs="Arial" w:eastAsia="Arial" w:hAnsi="Arial"/>
                  <w:sz w:val="15"/>
                  <w:szCs w:val="15"/>
                  <w:color w:val="0000EE"/>
                  <w:w w:val="96"/>
                </w:rPr>
                <w:t>NDERWRITING</w:t>
              </w:r>
            </w:hyperlink>
          </w:p>
        </w:tc>
        <w:tc>
          <w:tcPr>
            <w:tcW w:w="386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S</w:t>
              </w:r>
              <w:r>
                <w:rPr>
                  <w:rFonts w:ascii="Arial" w:cs="Arial" w:eastAsia="Arial" w:hAnsi="Arial"/>
                  <w:sz w:val="15"/>
                  <w:szCs w:val="15"/>
                  <w:color w:val="0000EE"/>
                  <w:w w:val="96"/>
                </w:rPr>
                <w:t>ELECTED</w:t>
              </w:r>
              <w:r>
                <w:rPr>
                  <w:rFonts w:ascii="Arial" w:cs="Arial" w:eastAsia="Arial" w:hAnsi="Arial"/>
                  <w:sz w:val="18"/>
                  <w:szCs w:val="18"/>
                  <w:color w:val="0000EE"/>
                  <w:w w:val="96"/>
                </w:rPr>
                <w:t xml:space="preserve"> C</w:t>
              </w:r>
              <w:r>
                <w:rPr>
                  <w:rFonts w:ascii="Arial" w:cs="Arial" w:eastAsia="Arial" w:hAnsi="Arial"/>
                  <w:sz w:val="15"/>
                  <w:szCs w:val="15"/>
                  <w:color w:val="0000EE"/>
                  <w:w w:val="96"/>
                </w:rPr>
                <w:t>ONSOLIDATED</w:t>
              </w:r>
              <w:r>
                <w:rPr>
                  <w:rFonts w:ascii="Arial" w:cs="Arial" w:eastAsia="Arial" w:hAnsi="Arial"/>
                  <w:sz w:val="18"/>
                  <w:szCs w:val="18"/>
                  <w:color w:val="0000EE"/>
                  <w:w w:val="96"/>
                </w:rPr>
                <w:t xml:space="preserve"> F</w:t>
              </w:r>
              <w:r>
                <w:rPr>
                  <w:rFonts w:ascii="Arial" w:cs="Arial" w:eastAsia="Arial" w:hAnsi="Arial"/>
                  <w:sz w:val="15"/>
                  <w:szCs w:val="15"/>
                  <w:color w:val="0000EE"/>
                  <w:w w:val="96"/>
                </w:rPr>
                <w:t>INANCIAL</w:t>
              </w:r>
              <w:r>
                <w:rPr>
                  <w:rFonts w:ascii="Arial" w:cs="Arial" w:eastAsia="Arial" w:hAnsi="Arial"/>
                  <w:sz w:val="18"/>
                  <w:szCs w:val="18"/>
                  <w:color w:val="0000EE"/>
                  <w:w w:val="96"/>
                </w:rPr>
                <w:t xml:space="preserve"> D</w:t>
              </w:r>
              <w:r>
                <w:rPr>
                  <w:rFonts w:ascii="Arial" w:cs="Arial" w:eastAsia="Arial" w:hAnsi="Arial"/>
                  <w:sz w:val="15"/>
                  <w:szCs w:val="15"/>
                  <w:color w:val="0000EE"/>
                  <w:w w:val="96"/>
                </w:rPr>
                <w:t>ATA</w:t>
              </w:r>
            </w:hyperlink>
          </w:p>
        </w:tc>
        <w:tc>
          <w:tcPr>
            <w:tcW w:w="1760" w:type="dxa"/>
            <w:vAlign w:val="bottom"/>
            <w:gridSpan w:val="4"/>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59</w:t>
            </w:r>
          </w:p>
        </w:tc>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167">
              <w:r>
                <w:rPr>
                  <w:rFonts w:ascii="Arial" w:cs="Arial" w:eastAsia="Arial" w:hAnsi="Arial"/>
                  <w:sz w:val="18"/>
                  <w:szCs w:val="18"/>
                  <w:color w:val="0000EE"/>
                  <w:w w:val="95"/>
                </w:rPr>
                <w:t>L</w:t>
              </w:r>
              <w:r>
                <w:rPr>
                  <w:rFonts w:ascii="Arial" w:cs="Arial" w:eastAsia="Arial" w:hAnsi="Arial"/>
                  <w:sz w:val="15"/>
                  <w:szCs w:val="15"/>
                  <w:color w:val="0000EE"/>
                  <w:w w:val="95"/>
                </w:rPr>
                <w:t>EGAL</w:t>
              </w:r>
              <w:r>
                <w:rPr>
                  <w:rFonts w:ascii="Arial" w:cs="Arial" w:eastAsia="Arial" w:hAnsi="Arial"/>
                  <w:sz w:val="18"/>
                  <w:szCs w:val="18"/>
                  <w:color w:val="0000EE"/>
                  <w:w w:val="95"/>
                </w:rPr>
                <w:t xml:space="preserve"> M</w:t>
              </w:r>
              <w:r>
                <w:rPr>
                  <w:rFonts w:ascii="Arial" w:cs="Arial" w:eastAsia="Arial" w:hAnsi="Arial"/>
                  <w:sz w:val="15"/>
                  <w:szCs w:val="15"/>
                  <w:color w:val="0000EE"/>
                  <w:w w:val="95"/>
                </w:rPr>
                <w:t>ATTERS</w:t>
              </w:r>
            </w:hyperlink>
          </w:p>
        </w:tc>
        <w:tc>
          <w:tcPr>
            <w:tcW w:w="378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12"/>
          </w:tcPr>
          <w:p>
            <w:pPr>
              <w:spacing w:after="0" w:line="196" w:lineRule="exact"/>
              <w:rPr>
                <w:rFonts w:ascii="Arial" w:cs="Arial" w:eastAsia="Arial" w:hAnsi="Arial"/>
                <w:sz w:val="18"/>
                <w:szCs w:val="18"/>
                <w:color w:val="0000EE"/>
                <w:w w:val="98"/>
              </w:rPr>
            </w:pPr>
            <w:hyperlink w:anchor="page65">
              <w:r>
                <w:rPr>
                  <w:rFonts w:ascii="Arial" w:cs="Arial" w:eastAsia="Arial" w:hAnsi="Arial"/>
                  <w:sz w:val="18"/>
                  <w:szCs w:val="18"/>
                  <w:color w:val="0000EE"/>
                  <w:w w:val="98"/>
                </w:rPr>
                <w:t>M</w:t>
              </w:r>
              <w:r>
                <w:rPr>
                  <w:rFonts w:ascii="Arial" w:cs="Arial" w:eastAsia="Arial" w:hAnsi="Arial"/>
                  <w:sz w:val="15"/>
                  <w:szCs w:val="15"/>
                  <w:color w:val="0000EE"/>
                  <w:w w:val="98"/>
                </w:rPr>
                <w:t>ANAGEMENT</w:t>
              </w:r>
              <w:r>
                <w:rPr>
                  <w:rFonts w:ascii="Arial" w:cs="Arial" w:eastAsia="Arial" w:hAnsi="Arial"/>
                  <w:sz w:val="18"/>
                  <w:szCs w:val="18"/>
                  <w:color w:val="0000EE"/>
                  <w:w w:val="98"/>
                </w:rPr>
                <w:t>’</w:t>
              </w:r>
              <w:r>
                <w:rPr>
                  <w:rFonts w:ascii="Arial" w:cs="Arial" w:eastAsia="Arial" w:hAnsi="Arial"/>
                  <w:sz w:val="15"/>
                  <w:szCs w:val="15"/>
                  <w:color w:val="0000EE"/>
                  <w:w w:val="98"/>
                </w:rPr>
                <w:t>S</w:t>
              </w:r>
              <w:r>
                <w:rPr>
                  <w:rFonts w:ascii="Arial" w:cs="Arial" w:eastAsia="Arial" w:hAnsi="Arial"/>
                  <w:sz w:val="18"/>
                  <w:szCs w:val="18"/>
                  <w:color w:val="0000EE"/>
                  <w:w w:val="98"/>
                </w:rPr>
                <w:t xml:space="preserve"> D</w:t>
              </w:r>
              <w:r>
                <w:rPr>
                  <w:rFonts w:ascii="Arial" w:cs="Arial" w:eastAsia="Arial" w:hAnsi="Arial"/>
                  <w:sz w:val="15"/>
                  <w:szCs w:val="15"/>
                  <w:color w:val="0000EE"/>
                  <w:w w:val="98"/>
                </w:rPr>
                <w:t>ISCUSSION AND</w:t>
              </w:r>
              <w:r>
                <w:rPr>
                  <w:rFonts w:ascii="Arial" w:cs="Arial" w:eastAsia="Arial" w:hAnsi="Arial"/>
                  <w:sz w:val="18"/>
                  <w:szCs w:val="18"/>
                  <w:color w:val="0000EE"/>
                  <w:w w:val="98"/>
                </w:rPr>
                <w:t xml:space="preserve"> A</w:t>
              </w:r>
              <w:r>
                <w:rPr>
                  <w:rFonts w:ascii="Arial" w:cs="Arial" w:eastAsia="Arial" w:hAnsi="Arial"/>
                  <w:sz w:val="15"/>
                  <w:szCs w:val="15"/>
                  <w:color w:val="0000EE"/>
                  <w:w w:val="98"/>
                </w:rPr>
                <w:t>NALYSIS OF</w:t>
              </w:r>
              <w:r>
                <w:rPr>
                  <w:rFonts w:ascii="Arial" w:cs="Arial" w:eastAsia="Arial" w:hAnsi="Arial"/>
                  <w:sz w:val="18"/>
                  <w:szCs w:val="18"/>
                  <w:color w:val="0000EE"/>
                  <w:w w:val="98"/>
                </w:rPr>
                <w:t xml:space="preserve"> F</w:t>
              </w:r>
              <w:r>
                <w:rPr>
                  <w:rFonts w:ascii="Arial" w:cs="Arial" w:eastAsia="Arial" w:hAnsi="Arial"/>
                  <w:sz w:val="15"/>
                  <w:szCs w:val="15"/>
                  <w:color w:val="0000EE"/>
                  <w:w w:val="98"/>
                </w:rPr>
                <w:t>INANCIAL</w:t>
              </w:r>
            </w:hyperlink>
          </w:p>
        </w:tc>
        <w:tc>
          <w:tcPr>
            <w:tcW w:w="6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67">
              <w:r>
                <w:rPr>
                  <w:rFonts w:ascii="Arial" w:cs="Arial" w:eastAsia="Arial" w:hAnsi="Arial"/>
                  <w:sz w:val="18"/>
                  <w:szCs w:val="18"/>
                  <w:color w:val="0000EE"/>
                  <w:w w:val="88"/>
                </w:rPr>
                <w:t>E</w:t>
              </w:r>
              <w:r>
                <w:rPr>
                  <w:rFonts w:ascii="Arial" w:cs="Arial" w:eastAsia="Arial" w:hAnsi="Arial"/>
                  <w:sz w:val="15"/>
                  <w:szCs w:val="15"/>
                  <w:color w:val="0000EE"/>
                  <w:w w:val="88"/>
                </w:rPr>
                <w:t>XPERTS</w:t>
              </w:r>
            </w:hyperlink>
          </w:p>
        </w:tc>
        <w:tc>
          <w:tcPr>
            <w:tcW w:w="438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C</w:t>
              </w:r>
              <w:r>
                <w:rPr>
                  <w:rFonts w:ascii="Arial" w:cs="Arial" w:eastAsia="Arial" w:hAnsi="Arial"/>
                  <w:sz w:val="15"/>
                  <w:szCs w:val="15"/>
                  <w:color w:val="0000EE"/>
                  <w:w w:val="94"/>
                </w:rPr>
                <w:t>ONDITION AND</w:t>
              </w:r>
              <w:r>
                <w:rPr>
                  <w:rFonts w:ascii="Arial" w:cs="Arial" w:eastAsia="Arial" w:hAnsi="Arial"/>
                  <w:sz w:val="18"/>
                  <w:szCs w:val="18"/>
                  <w:color w:val="0000EE"/>
                  <w:w w:val="94"/>
                </w:rPr>
                <w:t xml:space="preserve"> R</w:t>
              </w:r>
              <w:r>
                <w:rPr>
                  <w:rFonts w:ascii="Arial" w:cs="Arial" w:eastAsia="Arial" w:hAnsi="Arial"/>
                  <w:sz w:val="15"/>
                  <w:szCs w:val="15"/>
                  <w:color w:val="0000EE"/>
                  <w:w w:val="94"/>
                </w:rPr>
                <w:t>ESULTS OF</w:t>
              </w:r>
              <w:r>
                <w:rPr>
                  <w:rFonts w:ascii="Arial" w:cs="Arial" w:eastAsia="Arial" w:hAnsi="Arial"/>
                  <w:sz w:val="18"/>
                  <w:szCs w:val="18"/>
                  <w:color w:val="0000EE"/>
                  <w:w w:val="94"/>
                </w:rPr>
                <w:t xml:space="preserve"> O</w:t>
              </w:r>
              <w:r>
                <w:rPr>
                  <w:rFonts w:ascii="Arial" w:cs="Arial" w:eastAsia="Arial" w:hAnsi="Arial"/>
                  <w:sz w:val="15"/>
                  <w:szCs w:val="15"/>
                  <w:color w:val="0000EE"/>
                  <w:w w:val="94"/>
                </w:rPr>
                <w:t>PERATIONS</w:t>
              </w:r>
            </w:hyperlink>
          </w:p>
        </w:tc>
        <w:tc>
          <w:tcPr>
            <w:tcW w:w="1740" w:type="dxa"/>
            <w:vAlign w:val="bottom"/>
            <w:gridSpan w:val="3"/>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61</w:t>
            </w:r>
          </w:p>
        </w:tc>
        <w:tc>
          <w:tcPr>
            <w:tcW w:w="2080" w:type="dxa"/>
            <w:vAlign w:val="bottom"/>
            <w:tcBorders>
              <w:bottom w:val="single" w:sz="8" w:color="0000EE"/>
            </w:tcBorders>
            <w:gridSpan w:val="8"/>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A</w:t>
              </w:r>
              <w:r>
                <w:rPr>
                  <w:rFonts w:ascii="Arial" w:cs="Arial" w:eastAsia="Arial" w:hAnsi="Arial"/>
                  <w:sz w:val="15"/>
                  <w:szCs w:val="15"/>
                  <w:color w:val="0000EE"/>
                </w:rPr>
                <w:t>DDITIONAL</w:t>
              </w:r>
              <w:r>
                <w:rPr>
                  <w:rFonts w:ascii="Arial" w:cs="Arial" w:eastAsia="Arial" w:hAnsi="Arial"/>
                  <w:sz w:val="18"/>
                  <w:szCs w:val="18"/>
                  <w:color w:val="0000EE"/>
                </w:rPr>
                <w:t xml:space="preserve"> I</w:t>
              </w:r>
              <w:r>
                <w:rPr>
                  <w:rFonts w:ascii="Arial" w:cs="Arial" w:eastAsia="Arial" w:hAnsi="Arial"/>
                  <w:sz w:val="15"/>
                  <w:szCs w:val="15"/>
                  <w:color w:val="0000EE"/>
                </w:rPr>
                <w:t>NFORMATION</w:t>
              </w:r>
            </w:hyperlink>
          </w:p>
        </w:tc>
        <w:tc>
          <w:tcPr>
            <w:tcW w:w="296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B</w:t>
              </w:r>
              <w:r>
                <w:rPr>
                  <w:rFonts w:ascii="Arial" w:cs="Arial" w:eastAsia="Arial" w:hAnsi="Arial"/>
                  <w:sz w:val="15"/>
                  <w:szCs w:val="15"/>
                  <w:color w:val="0000EE"/>
                </w:rPr>
                <w:t>USINESS</w:t>
              </w:r>
            </w:hyperlink>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77</w:t>
            </w:r>
          </w:p>
        </w:tc>
        <w:tc>
          <w:tcPr>
            <w:tcW w:w="5040" w:type="dxa"/>
            <w:vAlign w:val="bottom"/>
            <w:gridSpan w:val="14"/>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I</w:t>
              </w:r>
              <w:r>
                <w:rPr>
                  <w:rFonts w:ascii="Arial" w:cs="Arial" w:eastAsia="Arial" w:hAnsi="Arial"/>
                  <w:sz w:val="15"/>
                  <w:szCs w:val="15"/>
                  <w:color w:val="0000EE"/>
                </w:rPr>
                <w:t>NDEX TO</w:t>
              </w:r>
              <w:r>
                <w:rPr>
                  <w:rFonts w:ascii="Arial" w:cs="Arial" w:eastAsia="Arial" w:hAnsi="Arial"/>
                  <w:sz w:val="18"/>
                  <w:szCs w:val="18"/>
                  <w:color w:val="0000EE"/>
                </w:rPr>
                <w:t xml:space="preserve"> C</w:t>
              </w:r>
              <w:r>
                <w:rPr>
                  <w:rFonts w:ascii="Arial" w:cs="Arial" w:eastAsia="Arial" w:hAnsi="Arial"/>
                  <w:sz w:val="15"/>
                  <w:szCs w:val="15"/>
                  <w:color w:val="0000EE"/>
                </w:rPr>
                <w:t>ONSOLIDATED</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not, and the underwriters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7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Through and including , 2016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80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47809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380"/>
        <w:spacing w:after="0" w:line="297"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included in this prospectus. Unless the context otherwise requires, we use the terms “AnaptysBio,” “company,” “we,” “us” and “our” in this prospectus to refer to AnaptysBio, Inc. and our subsidiary.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 xml:space="preserve">We are a clinical stage biotechnology company developing first-in-class antibody product candidates focused on unmet medical needs in inflammation and immuno-oncology. We develop our product candidates using our proprietary antibody discovery technology platform called SHM-XEL, which is designed to replicate the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platform is based upon a breakthrough understanding of somatic hypermutation, the key biological process utilized by the human immune system to generate antibodies, which enables us to rapidly develop highly functional antibody drug candidates against emerging biological targets. Our most advanced wholly-owned antibody programs, ANB020 and ANB019, bind to therapeutic targets that are genetically associated with severe inflammatory disorders. ANB020 is an antibody that inhibits the activity of interleukin-33 for the treatment of severe adult asthma and severe adult peanut allergy. We have initiated dosing of ANB020 in a Phase 1 trial in Australia under an approved Clinical Trial Notification, or CTN. ANB019 is an antibody that inhibits the interleukin-36 receptor for the treatment of rare inflammatory diseases called generalized pustular psoriasis (GPP) and palmo-plantar pustular psoriasis (PPP). We plan to submit a CTN for ANB019 by the end of 2016 and commence a Phase 1 clinical trial in the first half of 2017.</w:t>
      </w:r>
    </w:p>
    <w:p>
      <w:pPr>
        <w:spacing w:after="0" w:line="70"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 Through April 30, 2016, we have raised approximately $94.3 million from investors, including Biotechnology Value Fund, Cormorant Asset Management, Frazier Healthcare, HBM Partners, Longwood Capital Partners and Novo A/S.</w:t>
      </w:r>
    </w:p>
    <w:p>
      <w:pPr>
        <w:spacing w:after="0" w:line="73"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Inc. and TESARO Development, Ltd., or collectively, TESARO, and an inflammation-focused collaboration with Celgene Corporation, or Celgene. Under our TESARO collaboration, a Phase 1 trial was initiated during the first quarter of 2016 to study an AnaptysBio-generated anti-PD-1 antagonist antibody (TSR-042) in patients under an Investigational New Drug application, or IND, to the U.S. Food and Drug Administration, or FDA, and a second IND was submitted to the FDA during the second quarter of 2016 to enable future clinical trials for an AnaptysBio-generated anti-TIM-3 antagonist antibody (TSR-022). Including TSR-042 and TSR-022, we expect that our collaborators will advance four AnaptysBio-generated antibodies to the clinic by the end of the first half of 2017. Through April 30, 2016, we have received non-dilutive funding of $58.0 million from our collaborators.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7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4700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 Candidates</w:t>
      </w:r>
    </w:p>
    <w:p>
      <w:pPr>
        <w:spacing w:after="0" w:line="121"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hanging="323"/>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Proof-of-concept, or POC, indicates initial efficacy data in a patient population.</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1060" w:hanging="323"/>
        <w:spacing w:after="0" w:line="284"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an antibody that inhibits the activity of interleukin-33, or IL-33, a pro-inflammatory cytokine that multiple studies have indicated</w:t>
      </w:r>
      <w:r>
        <w:rPr>
          <w:rFonts w:ascii="Arial" w:cs="Arial" w:eastAsia="Arial" w:hAnsi="Arial"/>
          <w:sz w:val="16"/>
          <w:szCs w:val="16"/>
          <w:b w:val="1"/>
          <w:bCs w:val="1"/>
          <w:color w:val="auto"/>
        </w:rPr>
        <w:t xml:space="preserve"> </w:t>
      </w:r>
      <w:r>
        <w:rPr>
          <w:rFonts w:ascii="Arial" w:cs="Arial" w:eastAsia="Arial" w:hAnsi="Arial"/>
          <w:sz w:val="16"/>
          <w:szCs w:val="16"/>
          <w:color w:val="auto"/>
        </w:rPr>
        <w:t>is a central mediator of atopic diseases, including asthma, food allergies and atopic dermatitis. IL-33 acts on several cell types, including white blood cells that initiate and orchestrate atopic responses. IL-33 also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believe ANB020 is potentially the first-in-class therapy targeting IL-33. We have initiated Phase 1 dosing of ANB020 in healthy volunteers in Australia under an approved CTN, and subsequently plan to commence patient trials in severe adult asthma and severe adult peanut allergy in other countries including the United States, after submitting an IND to the FDA. We estimate, based on our analysis of publicly available data sources and interviews with physicians and key opinion leaders in the field, that asthma affects approximately 7.7% of the adult U.S. population, or approximately</w:t>
      </w:r>
    </w:p>
    <w:p>
      <w:pPr>
        <w:ind w:left="1060" w:right="200"/>
        <w:spacing w:after="0" w:line="261" w:lineRule="auto"/>
        <w:rPr>
          <w:rFonts w:ascii="Arial" w:cs="Arial" w:eastAsia="Arial" w:hAnsi="Arial"/>
          <w:sz w:val="16"/>
          <w:szCs w:val="16"/>
          <w:color w:val="auto"/>
        </w:rPr>
      </w:pPr>
      <w:r>
        <w:rPr>
          <w:rFonts w:ascii="Arial" w:cs="Arial" w:eastAsia="Arial" w:hAnsi="Arial"/>
          <w:sz w:val="18"/>
          <w:szCs w:val="18"/>
          <w:color w:val="auto"/>
        </w:rPr>
        <w:t>19.0 million individuals, of which 19%, or approximately 3.6 million have severe, persistent occurrence of this respiratory disease. Peanut allergy is the most common cause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of food-induced allergy in the United States. Based on our analysis of publicly available data sources and interviews with physicians and key opinion leaders in the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w:t>
      </w:r>
    </w:p>
    <w:p>
      <w:pPr>
        <w:spacing w:after="0" w:line="88" w:lineRule="exact"/>
        <w:rPr>
          <w:sz w:val="20"/>
          <w:szCs w:val="20"/>
          <w:color w:val="auto"/>
        </w:rPr>
      </w:pPr>
    </w:p>
    <w:p>
      <w:pPr>
        <w:ind w:left="1060" w:right="40" w:hanging="323"/>
        <w:spacing w:after="0" w:line="270"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ANB019 </w:t>
      </w:r>
      <w:r>
        <w:rPr>
          <w:rFonts w:ascii="Arial" w:cs="Arial" w:eastAsia="Arial" w:hAnsi="Arial"/>
          <w:sz w:val="17"/>
          <w:szCs w:val="17"/>
          <w:color w:val="auto"/>
        </w:rPr>
        <w:t>is an antibody that inhibits the function of the interleukin-36-receptor, or IL-36R, which we are initially developing as a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first-in-class therapy for GPP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is associated with mutations that lead to abnormally high signaling through the IL-36R, which we believe can be addressed by treatment with ANB019. We believe ANB019 is the most advanced therapeutic antibody targeting the IL-36R in development. We anticipate filing an Australian CTN for ANB019 by the end of 2016, the approval of which would allow us to initiate a Phase 1 clinical trial in Australia in the first half of 2017.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Advantages of Our SHM-XEL Platform</w:t>
      </w:r>
    </w:p>
    <w:p>
      <w:pPr>
        <w:spacing w:after="0" w:line="121" w:lineRule="exact"/>
        <w:rPr>
          <w:sz w:val="20"/>
          <w:szCs w:val="20"/>
          <w:color w:val="auto"/>
        </w:rPr>
      </w:pPr>
    </w:p>
    <w:p>
      <w:pPr>
        <w:ind w:left="200" w:right="80" w:firstLine="443"/>
        <w:spacing w:after="0" w:line="276" w:lineRule="auto"/>
        <w:rPr>
          <w:sz w:val="20"/>
          <w:szCs w:val="20"/>
          <w:color w:val="auto"/>
        </w:rPr>
      </w:pPr>
      <w:r>
        <w:rPr>
          <w:rFonts w:ascii="Arial" w:cs="Arial" w:eastAsia="Arial" w:hAnsi="Arial"/>
          <w:sz w:val="17"/>
          <w:szCs w:val="17"/>
          <w:color w:val="auto"/>
        </w:rPr>
        <w:t xml:space="preserve">Our approach to developing novel therapeutic antibody product candidates is based upon somatic hypermutation, or SHM, a critical, endogenous process that generates the essential antibody diversity required to develop a natural immune response to pathogens. Our proprietary antibody generation platform, called SHM-XEL, is designed to replicate the natural process of SHM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Competing antibody discovery technologies include mouse immunization methodologies, microbial antibody display and human B-cell screening. We believe SHM-XEL overcomes several key limitations associated with these competing technologies and has the following competitive advantages:</w:t>
      </w:r>
    </w:p>
    <w:p>
      <w:pPr>
        <w:spacing w:after="0" w:line="74" w:lineRule="exact"/>
        <w:rPr>
          <w:sz w:val="20"/>
          <w:szCs w:val="20"/>
          <w:color w:val="auto"/>
        </w:rPr>
      </w:pPr>
    </w:p>
    <w:p>
      <w:pPr>
        <w:ind w:left="1060" w:right="14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1060" w:right="520" w:hanging="323"/>
        <w:spacing w:after="0" w:line="347"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w:t>
      </w:r>
    </w:p>
    <w:p>
      <w:pPr>
        <w:spacing w:after="0" w:line="21" w:lineRule="exact"/>
        <w:rPr>
          <w:rFonts w:ascii="Arial" w:cs="Arial" w:eastAsia="Arial" w:hAnsi="Arial"/>
          <w:sz w:val="16"/>
          <w:szCs w:val="16"/>
          <w:color w:val="auto"/>
        </w:rPr>
      </w:pPr>
    </w:p>
    <w:p>
      <w:pPr>
        <w:ind w:left="1060" w:right="22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product candidates that are optimized for the desired therapeutic activity.</w:t>
      </w:r>
    </w:p>
    <w:p>
      <w:pPr>
        <w:spacing w:after="0" w:line="81" w:lineRule="exact"/>
        <w:rPr>
          <w:rFonts w:ascii="Arial" w:cs="Arial" w:eastAsia="Arial" w:hAnsi="Arial"/>
          <w:sz w:val="18"/>
          <w:szCs w:val="18"/>
          <w:color w:val="auto"/>
        </w:rPr>
      </w:pPr>
    </w:p>
    <w:p>
      <w:pPr>
        <w:ind w:left="1060" w:right="20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1060" w:right="600" w:hanging="323"/>
        <w:spacing w:after="0" w:line="282"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antibody expression, formulation and stability during the antibody generation process.</w:t>
      </w:r>
    </w:p>
    <w:p>
      <w:pPr>
        <w:spacing w:after="0" w:line="67" w:lineRule="exact"/>
        <w:rPr>
          <w:rFonts w:ascii="Arial" w:cs="Arial" w:eastAsia="Arial" w:hAnsi="Arial"/>
          <w:sz w:val="18"/>
          <w:szCs w:val="18"/>
          <w:color w:val="auto"/>
        </w:rPr>
      </w:pPr>
    </w:p>
    <w:p>
      <w:pPr>
        <w:ind w:left="1060" w:right="840" w:hanging="323"/>
        <w:spacing w:after="0" w:line="282"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Bispecific antibodies. </w:t>
      </w:r>
      <w:r>
        <w:rPr>
          <w:rFonts w:ascii="Arial" w:cs="Arial" w:eastAsia="Arial" w:hAnsi="Arial"/>
          <w:sz w:val="18"/>
          <w:szCs w:val="18"/>
          <w:color w:val="auto"/>
        </w:rPr>
        <w:t>Our novel approach for the generation of bispecific antibodies leverages SHM to combine two therapeutic</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mechanisms into a single natural antibody molecule.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12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62128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ind w:left="200" w:right="480" w:firstLine="443"/>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that have provided us with $58.0 million in payments through April 30, 2016. Multiple antibodies, generated by us prior to or during a strategic collaboration, are currently being advanced through development by our collaborators. Our collaborations with TESARO and Celgene are described below:</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TESARO Programs</w:t>
      </w:r>
    </w:p>
    <w:p>
      <w:pPr>
        <w:spacing w:after="0" w:line="117"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SHM-XEL platform consisting of the following antibody product candidates:</w:t>
      </w:r>
    </w:p>
    <w:p>
      <w:pPr>
        <w:spacing w:after="0" w:line="76" w:lineRule="exact"/>
        <w:rPr>
          <w:sz w:val="20"/>
          <w:szCs w:val="20"/>
          <w:color w:val="auto"/>
        </w:rPr>
      </w:pPr>
    </w:p>
    <w:p>
      <w:pPr>
        <w:ind w:left="1060" w:right="14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Anti-PD-1 Monospecific Antagonist Antibody (TSR-042)</w:t>
      </w:r>
      <w:r>
        <w:rPr>
          <w:rFonts w:ascii="Arial" w:cs="Arial" w:eastAsia="Arial" w:hAnsi="Arial"/>
          <w:sz w:val="18"/>
          <w:szCs w:val="18"/>
          <w:color w:val="auto"/>
        </w:rPr>
        <w:t>: Phase 1 clinical trial dosing initiated in the first quarter of 2016 subsequent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a U.S. FDA IND;</w:t>
      </w:r>
    </w:p>
    <w:p>
      <w:pPr>
        <w:spacing w:after="0" w:line="75"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Anti-TIM-3 Monospecific Antagonist Antibody (TSR-022)</w:t>
      </w:r>
      <w:r>
        <w:rPr>
          <w:rFonts w:ascii="Arial" w:cs="Arial" w:eastAsia="Arial" w:hAnsi="Arial"/>
          <w:sz w:val="18"/>
          <w:szCs w:val="18"/>
          <w:color w:val="auto"/>
        </w:rPr>
        <w:t>: U.S. FDA IND submitted in the second quarter of 2016 and Phase 1 trial initiation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in mid-2016;</w:t>
      </w:r>
    </w:p>
    <w:p>
      <w:pPr>
        <w:spacing w:after="0" w:line="75" w:lineRule="exact"/>
        <w:rPr>
          <w:rFonts w:ascii="Arial" w:cs="Arial" w:eastAsia="Arial" w:hAnsi="Arial"/>
          <w:sz w:val="18"/>
          <w:szCs w:val="18"/>
          <w:color w:val="auto"/>
        </w:rPr>
      </w:pPr>
    </w:p>
    <w:p>
      <w:pPr>
        <w:ind w:left="1060" w:right="58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Anti-LAG-3 Monospecific Antagonist Antibody (TSR-033)</w:t>
      </w:r>
      <w:r>
        <w:rPr>
          <w:rFonts w:ascii="Arial" w:cs="Arial" w:eastAsia="Arial" w:hAnsi="Arial"/>
          <w:sz w:val="18"/>
          <w:szCs w:val="18"/>
          <w:color w:val="auto"/>
        </w:rPr>
        <w:t>: currently in preclinical development, clinical antibody candidate selection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Anti-PD-1/TIM-3 Bispecific Antagonist Antibody</w:t>
      </w:r>
      <w:r>
        <w:rPr>
          <w:rFonts w:ascii="Arial" w:cs="Arial" w:eastAsia="Arial" w:hAnsi="Arial"/>
          <w:sz w:val="17"/>
          <w:szCs w:val="17"/>
          <w:color w:val="auto"/>
        </w:rPr>
        <w:t>: currently in lead selection process, clinical candidate selection anticipated in 2016;</w:t>
      </w:r>
    </w:p>
    <w:p>
      <w:pPr>
        <w:spacing w:after="0" w:line="142" w:lineRule="exact"/>
        <w:rPr>
          <w:rFonts w:ascii="Arial" w:cs="Arial" w:eastAsia="Arial" w:hAnsi="Arial"/>
          <w:sz w:val="17"/>
          <w:szCs w:val="17"/>
          <w:color w:val="auto"/>
        </w:rPr>
      </w:pPr>
    </w:p>
    <w:p>
      <w:pPr>
        <w:ind w:left="1060" w:hanging="323"/>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Anti-PD-1/LAG-3 Bispecific Antagonist Antibody</w:t>
      </w:r>
      <w:r>
        <w:rPr>
          <w:rFonts w:ascii="Arial" w:cs="Arial" w:eastAsia="Arial" w:hAnsi="Arial"/>
          <w:sz w:val="16"/>
          <w:szCs w:val="16"/>
          <w:color w:val="auto"/>
        </w:rPr>
        <w:t>: currently in lead selection process, clinical candidate selection anticipated in 2016; and</w:t>
      </w:r>
    </w:p>
    <w:p>
      <w:pPr>
        <w:spacing w:after="0" w:line="153" w:lineRule="exact"/>
        <w:rPr>
          <w:rFonts w:ascii="Arial" w:cs="Arial" w:eastAsia="Arial" w:hAnsi="Arial"/>
          <w:sz w:val="16"/>
          <w:szCs w:val="16"/>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Celgene Programs</w:t>
      </w:r>
    </w:p>
    <w:p>
      <w:pPr>
        <w:spacing w:after="0" w:line="117" w:lineRule="exact"/>
        <w:rPr>
          <w:sz w:val="20"/>
          <w:szCs w:val="20"/>
          <w:color w:val="auto"/>
        </w:rPr>
      </w:pPr>
    </w:p>
    <w:p>
      <w:pPr>
        <w:ind w:left="200" w:right="220" w:firstLine="443"/>
        <w:spacing w:after="0" w:line="279" w:lineRule="auto"/>
        <w:rPr>
          <w:sz w:val="20"/>
          <w:szCs w:val="20"/>
          <w:color w:val="auto"/>
        </w:rPr>
      </w:pPr>
      <w:r>
        <w:rPr>
          <w:rFonts w:ascii="Arial" w:cs="Arial" w:eastAsia="Arial" w:hAnsi="Arial"/>
          <w:sz w:val="17"/>
          <w:szCs w:val="17"/>
          <w:color w:val="auto"/>
        </w:rPr>
        <w:t>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72" w:lineRule="exact"/>
        <w:rPr>
          <w:sz w:val="20"/>
          <w:szCs w:val="20"/>
          <w:color w:val="auto"/>
        </w:rPr>
      </w:pPr>
    </w:p>
    <w:p>
      <w:pPr>
        <w:ind w:left="1060" w:right="40" w:hanging="323"/>
        <w:spacing w:after="0" w:line="255"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Advancing our lead product candidates into the clinic. </w:t>
      </w:r>
      <w:r>
        <w:rPr>
          <w:rFonts w:ascii="Arial" w:cs="Arial" w:eastAsia="Arial" w:hAnsi="Arial"/>
          <w:sz w:val="18"/>
          <w:szCs w:val="18"/>
          <w:color w:val="auto"/>
        </w:rPr>
        <w:t>We have initiated Phase 1 dosing of ANB020 in healthy volunteers in Australia</w:t>
      </w:r>
      <w:r>
        <w:rPr>
          <w:rFonts w:ascii="Arial" w:cs="Arial" w:eastAsia="Arial" w:hAnsi="Arial"/>
          <w:sz w:val="18"/>
          <w:szCs w:val="18"/>
          <w:b w:val="1"/>
          <w:bCs w:val="1"/>
          <w:color w:val="auto"/>
        </w:rPr>
        <w:t xml:space="preserve"> </w:t>
      </w:r>
      <w:r>
        <w:rPr>
          <w:rFonts w:ascii="Arial" w:cs="Arial" w:eastAsia="Arial" w:hAnsi="Arial"/>
          <w:sz w:val="18"/>
          <w:szCs w:val="18"/>
          <w:color w:val="auto"/>
        </w:rPr>
        <w:t>and subsequently plan to initiate trials in severe adult asthma and severe adult peanut allergy patients. We plan to initiate a Phase 1 healthy volunteer trial for ANB019 in the first half of 2017, followed by a registration study in GPP patients. For both ANB020 and ANB019, we plan to conduct our initial clinical trials in Australia, and to then conduct further clinical development in the United States and other countries. We have elected to pursue this strategy in order to benefit from certain financial incentives that Australia makes available for biotechnology research and development, and because we believe 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9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7499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60" w:hanging="323"/>
        <w:spacing w:after="0" w:line="298"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Identifying emerging opportunities in key therapeutic areas. </w:t>
      </w:r>
      <w:r>
        <w:rPr>
          <w:rFonts w:ascii="Arial" w:cs="Arial" w:eastAsia="Arial" w:hAnsi="Arial"/>
          <w:sz w:val="16"/>
          <w:szCs w:val="16"/>
          <w:color w:val="auto"/>
        </w:rPr>
        <w:t>We intend to remain at the forefront of discovery and development of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therapeutic opportunities in inflammation and immuno-oncology by understanding and translating biological breakthroughs into first-in-class therapeutic antibodies. Our approach includes translational biology assessments, such as human genetics,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clinical proof-of-concept achievement.</w:t>
      </w:r>
    </w:p>
    <w:p>
      <w:pPr>
        <w:spacing w:after="0" w:line="59" w:lineRule="exact"/>
        <w:rPr>
          <w:rFonts w:ascii="Arial" w:cs="Arial" w:eastAsia="Arial" w:hAnsi="Arial"/>
          <w:sz w:val="16"/>
          <w:szCs w:val="16"/>
          <w:color w:val="auto"/>
        </w:rPr>
      </w:pPr>
    </w:p>
    <w:p>
      <w:pPr>
        <w:ind w:left="1060" w:right="20" w:hanging="323"/>
        <w:spacing w:after="0" w:line="314"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expand our proprietary pipeline by generating new product candidates using our technology platform. </w:t>
      </w:r>
      <w:r>
        <w:rPr>
          <w:rFonts w:ascii="Arial" w:cs="Arial" w:eastAsia="Arial" w:hAnsi="Arial"/>
          <w:sz w:val="16"/>
          <w:szCs w:val="16"/>
          <w:color w:val="auto"/>
        </w:rPr>
        <w:t>Using our</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antibody generation platform, we are able to rapidly develop novel therapeutic antibodies against emerging targets. Our goal is to advance one or more wholly-owned new therapeutic antibody program to an IND submission to the FDA, or foreign equivalent, each year.</w:t>
      </w:r>
    </w:p>
    <w:p>
      <w:pPr>
        <w:spacing w:after="0" w:line="47" w:lineRule="exact"/>
        <w:rPr>
          <w:rFonts w:ascii="Arial" w:cs="Arial" w:eastAsia="Arial" w:hAnsi="Arial"/>
          <w:sz w:val="16"/>
          <w:szCs w:val="16"/>
          <w:color w:val="auto"/>
        </w:rPr>
      </w:pPr>
    </w:p>
    <w:p>
      <w:pPr>
        <w:ind w:left="1060" w:right="60" w:hanging="323"/>
        <w:spacing w:after="0" w:line="261"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w:t>
      </w:r>
      <w:r>
        <w:rPr>
          <w:rFonts w:ascii="Arial" w:cs="Arial" w:eastAsia="Arial" w:hAnsi="Arial"/>
          <w:sz w:val="18"/>
          <w:szCs w:val="18"/>
          <w:b w:val="1"/>
          <w:bCs w:val="1"/>
          <w:color w:val="auto"/>
        </w:rPr>
        <w:t xml:space="preserve"> </w:t>
      </w:r>
      <w:r>
        <w:rPr>
          <w:rFonts w:ascii="Arial" w:cs="Arial" w:eastAsia="Arial" w:hAnsi="Arial"/>
          <w:sz w:val="18"/>
          <w:szCs w:val="18"/>
          <w:color w:val="auto"/>
        </w:rPr>
        <w:t>key 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Affecting Us</w:t>
      </w:r>
    </w:p>
    <w:p>
      <w:pPr>
        <w:spacing w:after="0" w:line="121" w:lineRule="exact"/>
        <w:rPr>
          <w:sz w:val="20"/>
          <w:szCs w:val="20"/>
          <w:color w:val="auto"/>
        </w:rPr>
      </w:pPr>
    </w:p>
    <w:p>
      <w:pPr>
        <w:ind w:left="200" w:right="660" w:firstLine="443"/>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highlighted in the section titled “Risk Factors” immediately following this prospectus summary. These risks include, among others, the following:</w:t>
      </w:r>
    </w:p>
    <w:p>
      <w:pPr>
        <w:spacing w:after="0" w:line="76" w:lineRule="exact"/>
        <w:rPr>
          <w:sz w:val="20"/>
          <w:szCs w:val="20"/>
          <w:color w:val="auto"/>
        </w:rPr>
      </w:pPr>
    </w:p>
    <w:p>
      <w:pPr>
        <w:ind w:left="1060" w:right="74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86" w:lineRule="exact"/>
        <w:rPr>
          <w:rFonts w:ascii="Arial" w:cs="Arial" w:eastAsia="Arial" w:hAnsi="Arial"/>
          <w:sz w:val="18"/>
          <w:szCs w:val="18"/>
          <w:color w:val="auto"/>
        </w:rPr>
      </w:pPr>
    </w:p>
    <w:p>
      <w:pPr>
        <w:ind w:left="1060" w:right="120" w:hanging="323"/>
        <w:spacing w:after="0" w:line="286"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recently initiated dosing of ANB020 in humans and have never dosed any of our other product candidates in humans. Our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0" w:lineRule="exact"/>
        <w:rPr>
          <w:rFonts w:ascii="Arial" w:cs="Arial" w:eastAsia="Arial" w:hAnsi="Arial"/>
          <w:sz w:val="17"/>
          <w:szCs w:val="17"/>
          <w:color w:val="auto"/>
        </w:rPr>
      </w:pPr>
    </w:p>
    <w:p>
      <w:pPr>
        <w:ind w:left="1060" w:right="20" w:hanging="323"/>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29" w:lineRule="exact"/>
        <w:rPr>
          <w:rFonts w:ascii="Arial" w:cs="Arial" w:eastAsia="Arial" w:hAnsi="Arial"/>
          <w:sz w:val="16"/>
          <w:szCs w:val="16"/>
          <w:color w:val="auto"/>
        </w:rPr>
      </w:pPr>
    </w:p>
    <w:p>
      <w:pPr>
        <w:ind w:left="1060" w:right="34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expand our technology platform to build a pipeline of product candidates and develop marketable products.</w:t>
      </w:r>
    </w:p>
    <w:p>
      <w:pPr>
        <w:spacing w:after="0" w:line="75" w:lineRule="exact"/>
        <w:rPr>
          <w:rFonts w:ascii="Arial" w:cs="Arial" w:eastAsia="Arial" w:hAnsi="Arial"/>
          <w:sz w:val="18"/>
          <w:szCs w:val="18"/>
          <w:color w:val="auto"/>
        </w:rPr>
      </w:pPr>
    </w:p>
    <w:p>
      <w:pPr>
        <w:ind w:left="1060" w:right="6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recently commenced clinical development of ANB020 and have no history of conducting clinical trials or commercializing biotechnology products, which may make it difficult to evaluate the prospects for our future viability.</w:t>
      </w:r>
    </w:p>
    <w:p>
      <w:pPr>
        <w:spacing w:after="0" w:line="75"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75" w:lineRule="exact"/>
        <w:rPr>
          <w:rFonts w:ascii="Arial" w:cs="Arial" w:eastAsia="Arial" w:hAnsi="Arial"/>
          <w:sz w:val="18"/>
          <w:szCs w:val="18"/>
          <w:color w:val="auto"/>
        </w:rPr>
      </w:pPr>
    </w:p>
    <w:p>
      <w:pPr>
        <w:ind w:left="10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44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0" w:hanging="323"/>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86" w:lineRule="exact"/>
        <w:rPr>
          <w:rFonts w:ascii="Arial" w:cs="Arial" w:eastAsia="Arial" w:hAnsi="Arial"/>
          <w:sz w:val="18"/>
          <w:szCs w:val="18"/>
          <w:color w:val="auto"/>
        </w:rPr>
      </w:pPr>
    </w:p>
    <w:p>
      <w:pPr>
        <w:ind w:left="1060" w:right="420" w:hanging="323"/>
        <w:spacing w:after="0" w:line="308"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rFonts w:ascii="Arial" w:cs="Arial" w:eastAsia="Arial" w:hAnsi="Arial"/>
          <w:sz w:val="17"/>
          <w:szCs w:val="17"/>
          <w:color w:val="auto"/>
        </w:rPr>
      </w:pPr>
    </w:p>
    <w:p>
      <w:pPr>
        <w:ind w:left="1060" w:right="220" w:hanging="323"/>
        <w:spacing w:after="0" w:line="308"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2" w:lineRule="exact"/>
        <w:rPr>
          <w:sz w:val="20"/>
          <w:szCs w:val="20"/>
          <w:color w:val="auto"/>
        </w:rPr>
      </w:pPr>
    </w:p>
    <w:p>
      <w:pPr>
        <w:jc w:val="both"/>
        <w:ind w:left="1060" w:right="100" w:hanging="319"/>
        <w:spacing w:after="0" w:line="264" w:lineRule="auto"/>
        <w:tabs>
          <w:tab w:leader="none" w:pos="1040" w:val="left"/>
        </w:tabs>
        <w:rPr>
          <w:sz w:val="20"/>
          <w:szCs w:val="20"/>
          <w:color w:val="auto"/>
        </w:rPr>
      </w:pPr>
      <w:r>
        <w:rPr>
          <w:rFonts w:ascii="Arial" w:cs="Arial" w:eastAsia="Arial" w:hAnsi="Arial"/>
          <w:sz w:val="18"/>
          <w:szCs w:val="18"/>
          <w:color w:val="auto"/>
        </w:rPr>
        <w:t>•</w:t>
        <w:tab/>
        <w:t>Our executive officers, directors, current 5% or greater stockholders and entities affiliated with any of them, together will own % of our common stock after this offering based on the number of shares outstanding as of March 31, 2016; the concentration of our capital stock ownership will likely limit your ability to influence corporate matters.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100" w:firstLine="443"/>
        <w:spacing w:after="0" w:line="279" w:lineRule="auto"/>
        <w:rPr>
          <w:sz w:val="20"/>
          <w:szCs w:val="20"/>
          <w:color w:val="auto"/>
        </w:rPr>
      </w:pPr>
      <w:r>
        <w:rPr>
          <w:rFonts w:ascii="Arial" w:cs="Arial" w:eastAsia="Arial" w:hAnsi="Arial"/>
          <w:sz w:val="17"/>
          <w:szCs w:val="17"/>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171" w:lineRule="exact"/>
        <w:rPr>
          <w:sz w:val="20"/>
          <w:szCs w:val="20"/>
          <w:color w:val="auto"/>
        </w:rPr>
      </w:pPr>
    </w:p>
    <w:p>
      <w:pPr>
        <w:ind w:left="200" w:right="180" w:firstLine="443"/>
        <w:spacing w:after="0" w:line="277" w:lineRule="auto"/>
        <w:rPr>
          <w:sz w:val="20"/>
          <w:szCs w:val="20"/>
          <w:color w:val="auto"/>
        </w:rPr>
      </w:pPr>
      <w:r>
        <w:rPr>
          <w:rFonts w:ascii="Arial" w:cs="Arial" w:eastAsia="Arial" w:hAnsi="Arial"/>
          <w:sz w:val="18"/>
          <w:szCs w:val="18"/>
          <w:color w:val="auto"/>
        </w:rPr>
        <w:t>The mark “AnaptysBio” is our common law trademark. All other service marks, trademarks and trade names appearing in this prospectus are the property of their respective owners.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200" w:right="360" w:firstLine="443"/>
        <w:spacing w:after="0" w:line="286"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of 2012, or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1060" w:right="58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1060" w:right="2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350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13506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86"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66" w:lineRule="exact"/>
        <w:rPr>
          <w:sz w:val="20"/>
          <w:szCs w:val="20"/>
          <w:color w:val="auto"/>
        </w:rPr>
      </w:pPr>
    </w:p>
    <w:p>
      <w:pPr>
        <w:jc w:val="both"/>
        <w:ind w:left="200" w:right="80" w:firstLine="443"/>
        <w:spacing w:after="0" w:line="264"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8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0895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260"/>
          </w:cols>
          <w:pgMar w:left="240" w:top="459" w:right="399" w:bottom="1440" w:gutter="0" w:footer="0" w:header="0"/>
        </w:sect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Shares of common stock offered by us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151" w:lineRule="exact"/>
        <w:rPr>
          <w:sz w:val="20"/>
          <w:szCs w:val="20"/>
          <w:color w:val="auto"/>
        </w:rPr>
      </w:pPr>
    </w:p>
    <w:p>
      <w:pPr>
        <w:sectPr>
          <w:pgSz w:w="11900" w:h="16838" w:orient="portrait"/>
          <w:cols w:equalWidth="0" w:num="2">
            <w:col w:w="4560" w:space="720"/>
            <w:col w:w="59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 to purchase additional shares to be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w:t>
      </w:r>
    </w:p>
    <w:p>
      <w:pPr>
        <w:spacing w:after="0" w:line="151" w:lineRule="exact"/>
        <w:rPr>
          <w:sz w:val="20"/>
          <w:szCs w:val="20"/>
          <w:color w:val="auto"/>
        </w:rPr>
      </w:pPr>
    </w:p>
    <w:p>
      <w:pPr>
        <w:sectPr>
          <w:pgSz w:w="11900" w:h="16838" w:orient="portrait"/>
          <w:cols w:equalWidth="0" w:num="2">
            <w:col w:w="4560" w:space="720"/>
            <w:col w:w="59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Shares of common stock to be outstanding immediately</w:t>
      </w:r>
    </w:p>
    <w:p>
      <w:pPr>
        <w:spacing w:after="0" w:line="20" w:lineRule="exact"/>
        <w:rPr>
          <w:sz w:val="20"/>
          <w:szCs w:val="20"/>
          <w:color w:val="auto"/>
        </w:rPr>
      </w:pPr>
      <w:r>
        <w:rPr>
          <w:sz w:val="20"/>
          <w:szCs w:val="20"/>
          <w:color w:val="auto"/>
        </w:rPr>
        <w:br w:type="column"/>
      </w:r>
    </w:p>
    <w:p>
      <w:pPr>
        <w:spacing w:after="0"/>
        <w:tabs>
          <w:tab w:leader="none" w:pos="1080" w:val="left"/>
        </w:tabs>
        <w:rPr>
          <w:sz w:val="20"/>
          <w:szCs w:val="20"/>
          <w:color w:val="auto"/>
        </w:rPr>
      </w:pPr>
      <w:r>
        <w:rPr>
          <w:rFonts w:ascii="Arial" w:cs="Arial" w:eastAsia="Arial" w:hAnsi="Arial"/>
          <w:sz w:val="18"/>
          <w:szCs w:val="18"/>
          <w:color w:val="auto"/>
        </w:rPr>
        <w:t>shares (</w:t>
      </w:r>
      <w:r>
        <w:rPr>
          <w:sz w:val="20"/>
          <w:szCs w:val="20"/>
          <w:color w:val="auto"/>
        </w:rPr>
        <w:tab/>
      </w:r>
      <w:r>
        <w:rPr>
          <w:rFonts w:ascii="Arial" w:cs="Arial" w:eastAsia="Arial" w:hAnsi="Arial"/>
          <w:sz w:val="16"/>
          <w:szCs w:val="16"/>
          <w:color w:val="auto"/>
        </w:rPr>
        <w:t>shares if the underwriters exercise their option to purchase</w:t>
      </w:r>
    </w:p>
    <w:p>
      <w:pPr>
        <w:spacing w:after="0" w:line="23" w:lineRule="exact"/>
        <w:rPr>
          <w:sz w:val="20"/>
          <w:szCs w:val="20"/>
          <w:color w:val="auto"/>
        </w:rPr>
      </w:pPr>
    </w:p>
    <w:p>
      <w:pPr>
        <w:sectPr>
          <w:pgSz w:w="11900" w:h="16838" w:orient="portrait"/>
          <w:cols w:equalWidth="0" w:num="2">
            <w:col w:w="4560" w:space="720"/>
            <w:col w:w="5980"/>
          </w:cols>
          <w:pgMar w:left="240" w:top="459" w:right="399" w:bottom="1440" w:gutter="0" w:footer="0" w:header="0"/>
          <w:type w:val="continuous"/>
        </w:sectPr>
      </w:pPr>
    </w:p>
    <w:tbl>
      <w:tblPr>
        <w:tblLayout w:type="fixed"/>
        <w:tblInd w:w="20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after this offering</w:t>
            </w:r>
          </w:p>
        </w:tc>
        <w:tc>
          <w:tcPr>
            <w:tcW w:w="3200" w:type="dxa"/>
            <w:vAlign w:val="bottom"/>
            <w:gridSpan w:val="2"/>
          </w:tcPr>
          <w:p>
            <w:pPr>
              <w:ind w:left="920"/>
              <w:spacing w:after="0"/>
              <w:rPr>
                <w:sz w:val="20"/>
                <w:szCs w:val="20"/>
                <w:color w:val="auto"/>
              </w:rPr>
            </w:pPr>
            <w:r>
              <w:rPr>
                <w:rFonts w:ascii="Arial" w:cs="Arial" w:eastAsia="Arial" w:hAnsi="Arial"/>
                <w:sz w:val="18"/>
                <w:szCs w:val="18"/>
                <w:color w:val="auto"/>
              </w:rPr>
              <w:t>additional shares in full).</w:t>
            </w:r>
          </w:p>
        </w:tc>
        <w:tc>
          <w:tcPr>
            <w:tcW w:w="4240" w:type="dxa"/>
            <w:vAlign w:val="bottom"/>
          </w:tcPr>
          <w:p>
            <w:pPr>
              <w:spacing w:after="0"/>
              <w:rPr>
                <w:sz w:val="20"/>
                <w:szCs w:val="20"/>
                <w:color w:val="auto"/>
              </w:rPr>
            </w:pPr>
          </w:p>
        </w:tc>
      </w:tr>
      <w:tr>
        <w:trPr>
          <w:trHeight w:val="295"/>
        </w:trPr>
        <w:tc>
          <w:tcPr>
            <w:tcW w:w="3620" w:type="dxa"/>
            <w:vAlign w:val="bottom"/>
          </w:tcPr>
          <w:p>
            <w:pPr>
              <w:spacing w:after="0"/>
              <w:rPr>
                <w:sz w:val="20"/>
                <w:szCs w:val="20"/>
                <w:color w:val="auto"/>
              </w:rPr>
            </w:pPr>
            <w:r>
              <w:rPr>
                <w:rFonts w:ascii="Arial" w:cs="Arial" w:eastAsia="Arial" w:hAnsi="Arial"/>
                <w:sz w:val="18"/>
                <w:szCs w:val="18"/>
                <w:color w:val="auto"/>
              </w:rPr>
              <w:t>Voting rights</w:t>
            </w: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6"/>
              </w:rPr>
              <w:t>Upon the closing of this offering, each outstanding share of our convertible preferred</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8"/>
              </w:rPr>
              <w:t>stock will automatically convert into one share of common stock. Each share of our</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3"/>
              </w:rPr>
              <w:t>common stock is entitled to one vote on all matters submitted to a vote of stockholders,</w:t>
            </w:r>
          </w:p>
        </w:tc>
      </w:tr>
      <w:tr>
        <w:trPr>
          <w:trHeight w:val="230"/>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including the election of directors. See “Description of Capital Stock.”</w:t>
            </w:r>
          </w:p>
        </w:tc>
      </w:tr>
      <w:tr>
        <w:trPr>
          <w:trHeight w:val="310"/>
        </w:trPr>
        <w:tc>
          <w:tcPr>
            <w:tcW w:w="3620" w:type="dxa"/>
            <w:vAlign w:val="bottom"/>
          </w:tcPr>
          <w:p>
            <w:pPr>
              <w:spacing w:after="0"/>
              <w:rPr>
                <w:sz w:val="20"/>
                <w:szCs w:val="20"/>
                <w:color w:val="auto"/>
              </w:rPr>
            </w:pPr>
            <w:r>
              <w:rPr>
                <w:rFonts w:ascii="Arial" w:cs="Arial" w:eastAsia="Arial" w:hAnsi="Arial"/>
                <w:sz w:val="18"/>
                <w:szCs w:val="18"/>
                <w:color w:val="auto"/>
              </w:rPr>
              <w:t>Use of proceeds</w:t>
            </w: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We estimate that the net proceeds from this offering will be approximately $</w:t>
            </w:r>
          </w:p>
        </w:tc>
      </w:tr>
      <w:tr>
        <w:trPr>
          <w:trHeight w:val="216"/>
        </w:trPr>
        <w:tc>
          <w:tcPr>
            <w:tcW w:w="3620" w:type="dxa"/>
            <w:vAlign w:val="bottom"/>
          </w:tcPr>
          <w:p>
            <w:pPr>
              <w:spacing w:after="0"/>
              <w:rPr>
                <w:sz w:val="18"/>
                <w:szCs w:val="18"/>
                <w:color w:val="auto"/>
              </w:rPr>
            </w:pPr>
          </w:p>
        </w:tc>
        <w:tc>
          <w:tcPr>
            <w:tcW w:w="3200" w:type="dxa"/>
            <w:vAlign w:val="bottom"/>
            <w:gridSpan w:val="2"/>
          </w:tcPr>
          <w:p>
            <w:pPr>
              <w:ind w:left="920"/>
              <w:spacing w:after="0"/>
              <w:rPr>
                <w:sz w:val="20"/>
                <w:szCs w:val="20"/>
                <w:color w:val="auto"/>
              </w:rPr>
            </w:pPr>
            <w:r>
              <w:rPr>
                <w:rFonts w:ascii="Arial" w:cs="Arial" w:eastAsia="Arial" w:hAnsi="Arial"/>
                <w:sz w:val="18"/>
                <w:szCs w:val="18"/>
                <w:color w:val="auto"/>
              </w:rPr>
              <w:t>million (or approximately $</w:t>
            </w:r>
          </w:p>
        </w:tc>
        <w:tc>
          <w:tcPr>
            <w:tcW w:w="4240" w:type="dxa"/>
            <w:vAlign w:val="bottom"/>
          </w:tcPr>
          <w:p>
            <w:pPr>
              <w:ind w:left="300"/>
              <w:spacing w:after="0"/>
              <w:rPr>
                <w:sz w:val="20"/>
                <w:szCs w:val="20"/>
                <w:color w:val="auto"/>
              </w:rPr>
            </w:pPr>
            <w:r>
              <w:rPr>
                <w:rFonts w:ascii="Arial" w:cs="Arial" w:eastAsia="Arial" w:hAnsi="Arial"/>
                <w:sz w:val="18"/>
                <w:szCs w:val="18"/>
                <w:color w:val="auto"/>
              </w:rPr>
              <w:t>million if the underwriters exercise their option to</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9"/>
              </w:rPr>
              <w:t>purchase additional shares in full), based upon the assumed initial offering price of</w:t>
            </w:r>
          </w:p>
        </w:tc>
      </w:tr>
      <w:tr>
        <w:trPr>
          <w:trHeight w:val="216"/>
        </w:trPr>
        <w:tc>
          <w:tcPr>
            <w:tcW w:w="3620" w:type="dxa"/>
            <w:vAlign w:val="bottom"/>
          </w:tcPr>
          <w:p>
            <w:pPr>
              <w:spacing w:after="0"/>
              <w:rPr>
                <w:sz w:val="18"/>
                <w:szCs w:val="18"/>
                <w:color w:val="auto"/>
              </w:rPr>
            </w:pPr>
          </w:p>
        </w:tc>
        <w:tc>
          <w:tcPr>
            <w:tcW w:w="1300" w:type="dxa"/>
            <w:vAlign w:val="bottom"/>
          </w:tcPr>
          <w:p>
            <w:pPr>
              <w:ind w:left="920"/>
              <w:spacing w:after="0"/>
              <w:rPr>
                <w:sz w:val="20"/>
                <w:szCs w:val="20"/>
                <w:color w:val="auto"/>
              </w:rPr>
            </w:pPr>
            <w:r>
              <w:rPr>
                <w:rFonts w:ascii="Arial" w:cs="Arial" w:eastAsia="Arial" w:hAnsi="Arial"/>
                <w:sz w:val="18"/>
                <w:szCs w:val="18"/>
                <w:color w:val="auto"/>
              </w:rPr>
              <w:t>$</w:t>
            </w:r>
          </w:p>
        </w:tc>
        <w:tc>
          <w:tcPr>
            <w:tcW w:w="6140" w:type="dxa"/>
            <w:vAlign w:val="bottom"/>
            <w:gridSpan w:val="2"/>
          </w:tcPr>
          <w:p>
            <w:pPr>
              <w:ind w:left="300"/>
              <w:spacing w:after="0"/>
              <w:rPr>
                <w:sz w:val="20"/>
                <w:szCs w:val="20"/>
                <w:color w:val="auto"/>
              </w:rPr>
            </w:pPr>
            <w:r>
              <w:rPr>
                <w:rFonts w:ascii="Arial" w:cs="Arial" w:eastAsia="Arial" w:hAnsi="Arial"/>
                <w:sz w:val="18"/>
                <w:szCs w:val="18"/>
                <w:color w:val="auto"/>
                <w:w w:val="90"/>
              </w:rPr>
              <w:t>per share, which is the midpoint of the estimated offering price range set forth on</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3"/>
              </w:rPr>
              <w:t>the cover page of this prospectus, after deducting estimated underwriting discounts and</w:t>
            </w:r>
          </w:p>
        </w:tc>
      </w:tr>
      <w:tr>
        <w:trPr>
          <w:trHeight w:val="230"/>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commissions and estimated offering expenses payable by us.</w:t>
            </w:r>
          </w:p>
        </w:tc>
      </w:tr>
      <w:tr>
        <w:trPr>
          <w:trHeight w:val="310"/>
        </w:trPr>
        <w:tc>
          <w:tcPr>
            <w:tcW w:w="3620" w:type="dxa"/>
            <w:vAlign w:val="bottom"/>
          </w:tcPr>
          <w:p>
            <w:pPr>
              <w:spacing w:after="0"/>
              <w:rPr>
                <w:sz w:val="24"/>
                <w:szCs w:val="24"/>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4"/>
              </w:rPr>
              <w:t>We intend to use the net proceeds that we receive in this offering for product discovery</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88"/>
              </w:rPr>
              <w:t>and development and general corporate purposes. We may use a portion of the proceeds to</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4"/>
              </w:rPr>
              <w:t>acquire other complementary businesses or technologies. See “Use of Proceeds” for a</w:t>
            </w:r>
          </w:p>
        </w:tc>
      </w:tr>
      <w:tr>
        <w:trPr>
          <w:trHeight w:val="230"/>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more complete description of the intended use of proceeds from this offering.</w:t>
            </w:r>
          </w:p>
        </w:tc>
      </w:tr>
      <w:tr>
        <w:trPr>
          <w:trHeight w:val="310"/>
        </w:trPr>
        <w:tc>
          <w:tcPr>
            <w:tcW w:w="3620" w:type="dxa"/>
            <w:vAlign w:val="bottom"/>
          </w:tcPr>
          <w:p>
            <w:pPr>
              <w:spacing w:after="0"/>
              <w:rPr>
                <w:sz w:val="20"/>
                <w:szCs w:val="20"/>
                <w:color w:val="auto"/>
              </w:rPr>
            </w:pPr>
            <w:r>
              <w:rPr>
                <w:rFonts w:ascii="Arial" w:cs="Arial" w:eastAsia="Arial" w:hAnsi="Arial"/>
                <w:sz w:val="18"/>
                <w:szCs w:val="18"/>
                <w:color w:val="auto"/>
              </w:rPr>
              <w:t>Risk factors</w:t>
            </w: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0"/>
              </w:rPr>
              <w:t>You should read the “Risk Factors” section of this prospectus for a discussion of factors to</w:t>
            </w:r>
          </w:p>
        </w:tc>
      </w:tr>
      <w:tr>
        <w:trPr>
          <w:trHeight w:val="230"/>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consider carefully before deciding to invest in shares of our common stock.</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Nasdaq Global Select Market symbol</w:t>
            </w:r>
          </w:p>
        </w:tc>
        <w:tc>
          <w:tcPr>
            <w:tcW w:w="3200" w:type="dxa"/>
            <w:vAlign w:val="bottom"/>
            <w:gridSpan w:val="2"/>
          </w:tcPr>
          <w:p>
            <w:pPr>
              <w:ind w:left="920"/>
              <w:spacing w:after="0"/>
              <w:rPr>
                <w:sz w:val="20"/>
                <w:szCs w:val="20"/>
                <w:color w:val="auto"/>
              </w:rPr>
            </w:pPr>
            <w:r>
              <w:rPr>
                <w:rFonts w:ascii="Arial" w:cs="Arial" w:eastAsia="Arial" w:hAnsi="Arial"/>
                <w:sz w:val="18"/>
                <w:szCs w:val="18"/>
                <w:color w:val="auto"/>
              </w:rPr>
              <w:t>“ANAB.”</w:t>
            </w:r>
          </w:p>
        </w:tc>
        <w:tc>
          <w:tcPr>
            <w:tcW w:w="4240" w:type="dxa"/>
            <w:vAlign w:val="bottom"/>
          </w:tcPr>
          <w:p>
            <w:pPr>
              <w:spacing w:after="0"/>
              <w:rPr>
                <w:sz w:val="24"/>
                <w:szCs w:val="24"/>
                <w:color w:val="auto"/>
              </w:rPr>
            </w:pPr>
          </w:p>
        </w:tc>
      </w:tr>
    </w:tbl>
    <w:p>
      <w:pPr>
        <w:spacing w:after="0" w:line="94" w:lineRule="exact"/>
        <w:rPr>
          <w:sz w:val="20"/>
          <w:szCs w:val="20"/>
          <w:color w:val="auto"/>
        </w:rPr>
      </w:pPr>
    </w:p>
    <w:p>
      <w:pPr>
        <w:jc w:val="both"/>
        <w:ind w:left="200" w:right="40" w:firstLine="443"/>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99,092,287 shares of our common stock outstanding as of March 31, 2016, and excludes:</w:t>
      </w:r>
    </w:p>
    <w:p>
      <w:pPr>
        <w:spacing w:after="0" w:line="76" w:lineRule="exact"/>
        <w:rPr>
          <w:sz w:val="20"/>
          <w:szCs w:val="20"/>
          <w:color w:val="auto"/>
        </w:rPr>
      </w:pPr>
    </w:p>
    <w:p>
      <w:pPr>
        <w:ind w:left="1060" w:right="58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14,107,284 shares of common stock issuable upon the exercise of options outstanding as of March 31, 2016, with a weighted-average exercise price of $0.57 per share;</w:t>
      </w:r>
    </w:p>
    <w:p>
      <w:pPr>
        <w:spacing w:after="0" w:line="75" w:lineRule="exact"/>
        <w:rPr>
          <w:rFonts w:ascii="Arial" w:cs="Arial" w:eastAsia="Arial" w:hAnsi="Arial"/>
          <w:sz w:val="18"/>
          <w:szCs w:val="18"/>
          <w:color w:val="auto"/>
        </w:rPr>
      </w:pPr>
    </w:p>
    <w:p>
      <w:pPr>
        <w:ind w:left="1060" w:right="40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214,000 shares of common stock issuable upon the exercise of options granted after March 31, 2016, with an exercise price of $0.85 per share;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49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39490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00" w:hanging="863"/>
        <w:spacing w:after="0"/>
        <w:tabs>
          <w:tab w:leader="none" w:pos="1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2,507,113 shares of</w:t>
      </w:r>
    </w:p>
    <w:p>
      <w:pPr>
        <w:spacing w:after="0" w:line="46" w:lineRule="exact"/>
        <w:rPr>
          <w:sz w:val="20"/>
          <w:szCs w:val="20"/>
          <w:color w:val="auto"/>
        </w:rPr>
      </w:pPr>
    </w:p>
    <w:p>
      <w:pPr>
        <w:ind w:left="1060" w:right="8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March 31, 2016, (b) shares of common stock reserved for future issuance under our 2016 Equity Incentive Plan, which will become effective on the date immediately prior to the date of</w:t>
      </w:r>
    </w:p>
    <w:p>
      <w:pPr>
        <w:spacing w:after="0" w:line="1" w:lineRule="exact"/>
        <w:rPr>
          <w:sz w:val="20"/>
          <w:szCs w:val="20"/>
          <w:color w:val="auto"/>
        </w:rPr>
      </w:pPr>
    </w:p>
    <w:p>
      <w:pPr>
        <w:ind w:left="1060" w:right="120"/>
        <w:spacing w:after="0" w:line="252" w:lineRule="auto"/>
        <w:rPr>
          <w:sz w:val="20"/>
          <w:szCs w:val="20"/>
          <w:color w:val="auto"/>
        </w:rPr>
      </w:pPr>
      <w:r>
        <w:rPr>
          <w:rFonts w:ascii="Arial" w:cs="Arial" w:eastAsia="Arial" w:hAnsi="Arial"/>
          <w:sz w:val="18"/>
          <w:szCs w:val="18"/>
          <w:color w:val="auto"/>
        </w:rPr>
        <w:t>this prospectus and (c) shares of common stock reserved for future issuance under our 2016 Employee Stock Purchase Plan, which will become effective on the date of this prospectus. Upon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 Employee Benefit and Stock Plans;”</w:t>
      </w:r>
    </w:p>
    <w:p>
      <w:pPr>
        <w:spacing w:after="0" w:line="100" w:lineRule="exact"/>
        <w:rPr>
          <w:sz w:val="20"/>
          <w:szCs w:val="20"/>
          <w:color w:val="auto"/>
        </w:rPr>
      </w:pPr>
    </w:p>
    <w:p>
      <w:pPr>
        <w:ind w:left="1060" w:right="380" w:hanging="323"/>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1060" w:right="40" w:hanging="323"/>
        <w:spacing w:after="0" w:line="34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our Series C convertible preferred stock that were outstanding as of March 31, 2016, with an exercise price of $0.65 per share, that do not expire upon the closing of this offering.</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60" w:right="160" w:hanging="323"/>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March 31, 2016 into an aggregate of 80,645,051 shares of common stock immediately prior to the closing of this offering;</w:t>
      </w:r>
    </w:p>
    <w:p>
      <w:pPr>
        <w:spacing w:after="0" w:line="76" w:lineRule="exact"/>
        <w:rPr>
          <w:sz w:val="20"/>
          <w:szCs w:val="20"/>
          <w:color w:val="auto"/>
        </w:rPr>
      </w:pPr>
    </w:p>
    <w:p>
      <w:pPr>
        <w:ind w:left="1060" w:right="600" w:hanging="319"/>
        <w:spacing w:after="0" w:line="277" w:lineRule="auto"/>
        <w:tabs>
          <w:tab w:leader="none" w:pos="1040" w:val="left"/>
        </w:tabs>
        <w:rPr>
          <w:sz w:val="20"/>
          <w:szCs w:val="20"/>
          <w:color w:val="auto"/>
        </w:rPr>
      </w:pPr>
      <w:r>
        <w:rPr>
          <w:rFonts w:ascii="Arial" w:cs="Arial" w:eastAsia="Arial" w:hAnsi="Arial"/>
          <w:sz w:val="18"/>
          <w:szCs w:val="18"/>
          <w:color w:val="auto"/>
        </w:rPr>
        <w:t>•</w:t>
        <w:tab/>
        <w:t>a -for- reverse stock split of our common stock and convertible preferred stock, which will become effective prior to the completion of this offering;</w:t>
      </w:r>
    </w:p>
    <w:p>
      <w:pPr>
        <w:spacing w:after="0" w:line="76" w:lineRule="exact"/>
        <w:rPr>
          <w:sz w:val="20"/>
          <w:szCs w:val="20"/>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restated certificate of incorporation in connection with the closing of this offering;</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subsequent to March 31, 2016;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7019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70192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20" w:firstLine="443"/>
        <w:spacing w:after="0" w:line="287" w:lineRule="auto"/>
        <w:rPr>
          <w:sz w:val="20"/>
          <w:szCs w:val="20"/>
          <w:color w:val="auto"/>
        </w:rPr>
      </w:pPr>
      <w:r>
        <w:rPr>
          <w:rFonts w:ascii="Arial" w:cs="Arial" w:eastAsia="Arial" w:hAnsi="Arial"/>
          <w:sz w:val="16"/>
          <w:szCs w:val="16"/>
          <w:color w:val="auto"/>
        </w:rPr>
        <w:t>The summary statements of operations data presented below for the years ended December 31, 2014 and 2015 are derived from our audited financial statements included elsewhere in this prospectus. The selected consolidated statements of operations data for the three months ended March 31, 2015 and 2016 and the summary consolidated balance sheet data as of March 31, 2016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summary statements of operations data presented below for the year ended December 31, 2013 are derived from our audited financial statements not included in this prospectus. The following summary consolidated financial data should be read with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The summary financial data in this section are not intended to replace the financial statements and are qualified in their entirety by the financial statements and related notes included elsewhere in this prospectus.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7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0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right"/>
              <w:ind w:right="291"/>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Collaboration revenue</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5,483</w:t>
            </w: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15,838</w:t>
            </w:r>
          </w:p>
        </w:tc>
        <w:tc>
          <w:tcPr>
            <w:tcW w:w="2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4,097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17,304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2"/>
          </w:tcPr>
          <w:p>
            <w:pPr>
              <w:ind w:left="1060"/>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10,770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10,968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20,893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operations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(5,287)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(3,322)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(1,139)</w:t>
            </w:r>
          </w:p>
        </w:tc>
        <w:tc>
          <w:tcPr>
            <w:tcW w:w="0" w:type="dxa"/>
            <w:vAlign w:val="bottom"/>
          </w:tcPr>
          <w:p>
            <w:pPr>
              <w:spacing w:after="0"/>
              <w:rPr>
                <w:sz w:val="1"/>
                <w:szCs w:val="1"/>
                <w:color w:val="auto"/>
              </w:rPr>
            </w:pPr>
          </w:p>
        </w:tc>
      </w:tr>
      <w:tr>
        <w:trPr>
          <w:trHeight w:val="223"/>
        </w:trPr>
        <w:tc>
          <w:tcPr>
            <w:tcW w:w="608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Total other expense, net</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before income taxes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(5,545)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(5,266)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1060"/>
              <w:spacing w:after="0"/>
              <w:rPr>
                <w:sz w:val="20"/>
                <w:szCs w:val="20"/>
                <w:color w:val="auto"/>
              </w:rPr>
            </w:pPr>
            <w:r>
              <w:rPr>
                <w:rFonts w:ascii="Arial" w:cs="Arial" w:eastAsia="Arial" w:hAnsi="Arial"/>
                <w:sz w:val="18"/>
                <w:szCs w:val="18"/>
                <w:color w:val="auto"/>
              </w:rPr>
              <w:t>Provision for income taxes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(5,545)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(5,405)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Net income attributed to participating securities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(3,300)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attributed to common stockholders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(5,545)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(5,405)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Net income (loss) per common share: </w:t>
            </w:r>
            <w:r>
              <w:rPr>
                <w:rFonts w:ascii="Arial" w:cs="Arial" w:eastAsia="Arial" w:hAnsi="Arial"/>
                <w:sz w:val="15"/>
                <w:szCs w:val="15"/>
                <w:color w:val="auto"/>
              </w:rPr>
              <w:t>(1)</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(0.02)   $</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Weighted-average number of shares outstanding: </w:t>
            </w:r>
            <w:r>
              <w:rPr>
                <w:rFonts w:ascii="Arial" w:cs="Arial" w:eastAsia="Arial" w:hAnsi="Arial"/>
                <w:sz w:val="15"/>
                <w:szCs w:val="15"/>
                <w:color w:val="auto"/>
              </w:rPr>
              <w:t>(1)</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17,857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17,444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18,403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Pro forma net loss per common share (unaudited): </w:t>
            </w:r>
            <w:r>
              <w:rPr>
                <w:rFonts w:ascii="Arial" w:cs="Arial" w:eastAsia="Arial" w:hAnsi="Arial"/>
                <w:sz w:val="15"/>
                <w:szCs w:val="15"/>
                <w:color w:val="auto"/>
              </w:rPr>
              <w:t>(1)</w:t>
            </w: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Pro forma weighted-average number of shares outstanding (unaudited): </w:t>
            </w:r>
            <w:r>
              <w:rPr>
                <w:rFonts w:ascii="Arial" w:cs="Arial" w:eastAsia="Arial" w:hAnsi="Arial"/>
                <w:sz w:val="15"/>
                <w:szCs w:val="15"/>
                <w:color w:val="auto"/>
              </w:rPr>
              <w:t>(1)</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77,926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99,048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220" w:hanging="427"/>
        <w:spacing w:after="0" w:line="264"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 2 to our annual consolidated financial statements for an explanation of the method used to calculate basic and diluted net income (loss) per common share, unaudited pro forma basic and diluted net loss per common share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63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386334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As of</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6"/>
              </w:rPr>
              <w:t>March 31, 2016</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4"/>
              </w:rPr>
              <w:t>(unaudited)</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Actual</w:t>
            </w:r>
          </w:p>
        </w:tc>
        <w:tc>
          <w:tcPr>
            <w:tcW w:w="16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 xml:space="preserve">Pro Forma </w:t>
            </w:r>
            <w:r>
              <w:rPr>
                <w:rFonts w:ascii="Arial" w:cs="Arial" w:eastAsia="Arial" w:hAnsi="Arial"/>
                <w:sz w:val="12"/>
                <w:szCs w:val="12"/>
                <w:b w:val="1"/>
                <w:bCs w:val="1"/>
                <w:color w:val="auto"/>
              </w:rPr>
              <w:t>(1)</w:t>
            </w:r>
          </w:p>
        </w:tc>
        <w:tc>
          <w:tcPr>
            <w:tcW w:w="1140" w:type="dxa"/>
            <w:vAlign w:val="bottom"/>
          </w:tcPr>
          <w:p>
            <w:pPr>
              <w:jc w:val="center"/>
              <w:ind w:left="191"/>
              <w:spacing w:after="0" w:line="119" w:lineRule="exact"/>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tcPr>
          <w:p>
            <w:pPr>
              <w:jc w:val="center"/>
              <w:ind w:left="191"/>
              <w:spacing w:after="0"/>
              <w:rPr>
                <w:sz w:val="20"/>
                <w:szCs w:val="20"/>
                <w:color w:val="auto"/>
              </w:rPr>
            </w:pPr>
            <w:r>
              <w:rPr>
                <w:rFonts w:ascii="Arial" w:cs="Arial" w:eastAsia="Arial" w:hAnsi="Arial"/>
                <w:sz w:val="14"/>
                <w:szCs w:val="14"/>
                <w:b w:val="1"/>
                <w:bCs w:val="1"/>
                <w:color w:val="auto"/>
                <w:w w:val="94"/>
              </w:rPr>
              <w:t xml:space="preserve">Adjusted </w:t>
            </w:r>
            <w:r>
              <w:rPr>
                <w:rFonts w:ascii="Arial" w:cs="Arial" w:eastAsia="Arial" w:hAnsi="Arial"/>
                <w:sz w:val="12"/>
                <w:szCs w:val="12"/>
                <w:b w:val="1"/>
                <w:bCs w:val="1"/>
                <w:color w:val="auto"/>
                <w:w w:val="94"/>
              </w:rPr>
              <w:t>(2)(3)</w:t>
            </w:r>
          </w:p>
        </w:tc>
        <w:tc>
          <w:tcPr>
            <w:tcW w:w="0" w:type="dxa"/>
            <w:vAlign w:val="bottom"/>
          </w:tcPr>
          <w:p>
            <w:pPr>
              <w:spacing w:after="0"/>
              <w:rPr>
                <w:sz w:val="1"/>
                <w:szCs w:val="1"/>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10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49,318</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54,723</w:t>
            </w:r>
          </w:p>
        </w:tc>
        <w:tc>
          <w:tcPr>
            <w:tcW w:w="1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Notes payable, noncurrent portion</w:t>
            </w: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4,534</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0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1,170</w:t>
            </w:r>
          </w:p>
        </w:tc>
        <w:tc>
          <w:tcPr>
            <w:tcW w:w="1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77,516</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0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98"/>
              </w:rPr>
              <w:t>(35,737)</w:t>
            </w:r>
          </w:p>
        </w:tc>
        <w:tc>
          <w:tcPr>
            <w:tcW w:w="1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hanging="423"/>
        <w:spacing w:after="0" w:line="291"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 forma consolidated balance sheet data give effect to: (i) the automatic conversion of all outstanding shares of our convertible preferred stock as of March 31, 2016 into 80,645,051 shares of common stock immediately prior to the closing of this offering and (ii) the conversion of the</w:t>
      </w:r>
    </w:p>
    <w:tbl>
      <w:tblPr>
        <w:tblLayout w:type="fixed"/>
        <w:tblInd w:w="200" w:type="dxa"/>
        <w:tblCellMar>
          <w:top w:w="0" w:type="dxa"/>
          <w:left w:w="0" w:type="dxa"/>
          <w:bottom w:w="0" w:type="dxa"/>
          <w:right w:w="0" w:type="dxa"/>
        </w:tblCellMar>
      </w:tblPr>
      <w:tr>
        <w:trPr>
          <w:trHeight w:val="202"/>
        </w:trPr>
        <w:tc>
          <w:tcPr>
            <w:tcW w:w="320" w:type="dxa"/>
            <w:vAlign w:val="bottom"/>
          </w:tcPr>
          <w:p>
            <w:pPr>
              <w:spacing w:after="0"/>
              <w:rPr>
                <w:sz w:val="17"/>
                <w:szCs w:val="17"/>
                <w:color w:val="auto"/>
              </w:rPr>
            </w:pPr>
          </w:p>
        </w:tc>
        <w:tc>
          <w:tcPr>
            <w:tcW w:w="10560" w:type="dxa"/>
            <w:vAlign w:val="bottom"/>
            <w:gridSpan w:val="6"/>
          </w:tcPr>
          <w:p>
            <w:pPr>
              <w:ind w:left="100"/>
              <w:spacing w:after="0" w:line="202" w:lineRule="exact"/>
              <w:rPr>
                <w:sz w:val="20"/>
                <w:szCs w:val="20"/>
                <w:color w:val="auto"/>
              </w:rPr>
            </w:pPr>
            <w:r>
              <w:rPr>
                <w:rFonts w:ascii="Arial" w:cs="Arial" w:eastAsia="Arial" w:hAnsi="Arial"/>
                <w:sz w:val="18"/>
                <w:szCs w:val="18"/>
                <w:color w:val="auto"/>
                <w:w w:val="92"/>
              </w:rPr>
              <w:t>preferred stock warrants into common stock warrants and the related reclassification of the preferred stock warrant liability to additional paid-in</w:t>
            </w:r>
          </w:p>
        </w:tc>
      </w:tr>
      <w:tr>
        <w:trPr>
          <w:trHeight w:val="216"/>
        </w:trPr>
        <w:tc>
          <w:tcPr>
            <w:tcW w:w="3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capital.</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7620" w:type="dxa"/>
            <w:vAlign w:val="bottom"/>
            <w:gridSpan w:val="5"/>
          </w:tcPr>
          <w:p>
            <w:pPr>
              <w:ind w:left="100"/>
              <w:spacing w:after="0"/>
              <w:rPr>
                <w:sz w:val="20"/>
                <w:szCs w:val="20"/>
                <w:color w:val="auto"/>
              </w:rPr>
            </w:pPr>
            <w:r>
              <w:rPr>
                <w:rFonts w:ascii="Arial" w:cs="Arial" w:eastAsia="Arial" w:hAnsi="Arial"/>
                <w:sz w:val="18"/>
                <w:szCs w:val="18"/>
                <w:color w:val="auto"/>
                <w:w w:val="92"/>
              </w:rPr>
              <w:t>The pro forma as adjusted balance sheet data give effect to the pro forma adjustments and the sale of</w:t>
            </w:r>
          </w:p>
        </w:tc>
        <w:tc>
          <w:tcPr>
            <w:tcW w:w="2940" w:type="dxa"/>
            <w:vAlign w:val="bottom"/>
          </w:tcPr>
          <w:p>
            <w:pPr>
              <w:jc w:val="right"/>
              <w:spacing w:after="0"/>
              <w:rPr>
                <w:sz w:val="20"/>
                <w:szCs w:val="20"/>
                <w:color w:val="auto"/>
              </w:rPr>
            </w:pPr>
            <w:r>
              <w:rPr>
                <w:rFonts w:ascii="Arial" w:cs="Arial" w:eastAsia="Arial" w:hAnsi="Arial"/>
                <w:sz w:val="18"/>
                <w:szCs w:val="18"/>
                <w:color w:val="auto"/>
                <w:w w:val="98"/>
              </w:rPr>
              <w:t>shares of common stock by us in this</w:t>
            </w:r>
          </w:p>
        </w:tc>
      </w:tr>
      <w:tr>
        <w:trPr>
          <w:trHeight w:val="216"/>
        </w:trPr>
        <w:tc>
          <w:tcPr>
            <w:tcW w:w="32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Arial" w:cs="Arial" w:eastAsia="Arial" w:hAnsi="Arial"/>
                <w:sz w:val="18"/>
                <w:szCs w:val="18"/>
                <w:color w:val="auto"/>
                <w:w w:val="97"/>
              </w:rPr>
              <w:t>offering, based on an assumed initial public offering price of $</w:t>
            </w:r>
          </w:p>
        </w:tc>
        <w:tc>
          <w:tcPr>
            <w:tcW w:w="5680" w:type="dxa"/>
            <w:vAlign w:val="bottom"/>
            <w:gridSpan w:val="3"/>
          </w:tcPr>
          <w:p>
            <w:pPr>
              <w:jc w:val="right"/>
              <w:ind w:right="50"/>
              <w:spacing w:after="0"/>
              <w:rPr>
                <w:sz w:val="20"/>
                <w:szCs w:val="20"/>
                <w:color w:val="auto"/>
              </w:rPr>
            </w:pPr>
            <w:r>
              <w:rPr>
                <w:rFonts w:ascii="Arial" w:cs="Arial" w:eastAsia="Arial" w:hAnsi="Arial"/>
                <w:sz w:val="18"/>
                <w:szCs w:val="18"/>
                <w:color w:val="auto"/>
                <w:w w:val="94"/>
              </w:rPr>
              <w:t>per share, the midpoint of the estimated price range set forth on the cover</w:t>
            </w:r>
          </w:p>
        </w:tc>
      </w:tr>
      <w:tr>
        <w:trPr>
          <w:trHeight w:val="216"/>
        </w:trPr>
        <w:tc>
          <w:tcPr>
            <w:tcW w:w="320" w:type="dxa"/>
            <w:vAlign w:val="bottom"/>
          </w:tcPr>
          <w:p>
            <w:pPr>
              <w:spacing w:after="0"/>
              <w:rPr>
                <w:sz w:val="18"/>
                <w:szCs w:val="18"/>
                <w:color w:val="auto"/>
              </w:rPr>
            </w:pPr>
          </w:p>
        </w:tc>
        <w:tc>
          <w:tcPr>
            <w:tcW w:w="10560" w:type="dxa"/>
            <w:vAlign w:val="bottom"/>
            <w:gridSpan w:val="6"/>
          </w:tcPr>
          <w:p>
            <w:pPr>
              <w:ind w:left="100"/>
              <w:spacing w:after="0"/>
              <w:rPr>
                <w:sz w:val="20"/>
                <w:szCs w:val="20"/>
                <w:color w:val="auto"/>
              </w:rPr>
            </w:pPr>
            <w:r>
              <w:rPr>
                <w:rFonts w:ascii="Arial" w:cs="Arial" w:eastAsia="Arial" w:hAnsi="Arial"/>
                <w:sz w:val="18"/>
                <w:szCs w:val="18"/>
                <w:color w:val="auto"/>
                <w:w w:val="93"/>
              </w:rPr>
              <w:t>page of this prospectus, after deducting estimated underwriting discounts and commissions and estimated offering expenses payable by us.</w:t>
            </w: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6040" w:type="dxa"/>
            <w:vAlign w:val="bottom"/>
            <w:gridSpan w:val="4"/>
          </w:tcPr>
          <w:p>
            <w:pPr>
              <w:ind w:left="10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4520" w:type="dxa"/>
            <w:vAlign w:val="bottom"/>
            <w:gridSpan w:val="2"/>
          </w:tcPr>
          <w:p>
            <w:pPr>
              <w:jc w:val="right"/>
              <w:ind w:right="70"/>
              <w:spacing w:after="0"/>
              <w:rPr>
                <w:sz w:val="20"/>
                <w:szCs w:val="20"/>
                <w:color w:val="auto"/>
              </w:rPr>
            </w:pPr>
            <w:r>
              <w:rPr>
                <w:rFonts w:ascii="Arial" w:cs="Arial" w:eastAsia="Arial" w:hAnsi="Arial"/>
                <w:sz w:val="18"/>
                <w:szCs w:val="18"/>
                <w:color w:val="auto"/>
                <w:w w:val="95"/>
              </w:rPr>
              <w:t>per share, the midpoint of the price range set forth on the</w:t>
            </w:r>
          </w:p>
        </w:tc>
      </w:tr>
      <w:tr>
        <w:trPr>
          <w:trHeight w:val="216"/>
        </w:trPr>
        <w:tc>
          <w:tcPr>
            <w:tcW w:w="320" w:type="dxa"/>
            <w:vAlign w:val="bottom"/>
          </w:tcPr>
          <w:p>
            <w:pPr>
              <w:spacing w:after="0"/>
              <w:rPr>
                <w:sz w:val="18"/>
                <w:szCs w:val="18"/>
                <w:color w:val="auto"/>
              </w:rPr>
            </w:pPr>
          </w:p>
        </w:tc>
        <w:tc>
          <w:tcPr>
            <w:tcW w:w="10560" w:type="dxa"/>
            <w:vAlign w:val="bottom"/>
            <w:gridSpan w:val="6"/>
          </w:tcPr>
          <w:p>
            <w:pPr>
              <w:ind w:left="100"/>
              <w:spacing w:after="0"/>
              <w:rPr>
                <w:sz w:val="20"/>
                <w:szCs w:val="20"/>
                <w:color w:val="auto"/>
              </w:rPr>
            </w:pPr>
            <w:r>
              <w:rPr>
                <w:rFonts w:ascii="Arial" w:cs="Arial" w:eastAsia="Arial" w:hAnsi="Arial"/>
                <w:sz w:val="18"/>
                <w:szCs w:val="18"/>
                <w:color w:val="auto"/>
                <w:w w:val="92"/>
              </w:rPr>
              <w:t>cover page of this prospectus, would increase (decrease) each of our pro forma as adjusted cash and cash equivalents, total assets and total</w:t>
            </w:r>
          </w:p>
        </w:tc>
      </w:tr>
      <w:tr>
        <w:trPr>
          <w:trHeight w:val="216"/>
        </w:trPr>
        <w:tc>
          <w:tcPr>
            <w:tcW w:w="320" w:type="dxa"/>
            <w:vAlign w:val="bottom"/>
          </w:tcPr>
          <w:p>
            <w:pPr>
              <w:spacing w:after="0"/>
              <w:rPr>
                <w:sz w:val="18"/>
                <w:szCs w:val="18"/>
                <w:color w:val="auto"/>
              </w:rPr>
            </w:pPr>
          </w:p>
        </w:tc>
        <w:tc>
          <w:tcPr>
            <w:tcW w:w="3920" w:type="dxa"/>
            <w:vAlign w:val="bottom"/>
            <w:gridSpan w:val="2"/>
          </w:tcPr>
          <w:p>
            <w:pPr>
              <w:ind w:left="100"/>
              <w:spacing w:after="0"/>
              <w:rPr>
                <w:sz w:val="20"/>
                <w:szCs w:val="20"/>
                <w:color w:val="auto"/>
              </w:rPr>
            </w:pPr>
            <w:r>
              <w:rPr>
                <w:rFonts w:ascii="Arial" w:cs="Arial" w:eastAsia="Arial" w:hAnsi="Arial"/>
                <w:sz w:val="18"/>
                <w:szCs w:val="18"/>
                <w:color w:val="auto"/>
              </w:rPr>
              <w:t>stockholders’ equity (deficit) by approximately $</w:t>
            </w:r>
          </w:p>
        </w:tc>
        <w:tc>
          <w:tcPr>
            <w:tcW w:w="6640" w:type="dxa"/>
            <w:vAlign w:val="bottom"/>
            <w:gridSpan w:val="4"/>
          </w:tcPr>
          <w:p>
            <w:pPr>
              <w:jc w:val="right"/>
              <w:ind w:right="130"/>
              <w:spacing w:after="0"/>
              <w:rPr>
                <w:sz w:val="20"/>
                <w:szCs w:val="20"/>
                <w:color w:val="auto"/>
              </w:rPr>
            </w:pPr>
            <w:r>
              <w:rPr>
                <w:rFonts w:ascii="Arial" w:cs="Arial" w:eastAsia="Arial" w:hAnsi="Arial"/>
                <w:sz w:val="18"/>
                <w:szCs w:val="18"/>
                <w:color w:val="auto"/>
                <w:w w:val="93"/>
              </w:rPr>
              <w:t>million, assuming that the number of shares offered by us, remains the same and after</w:t>
            </w:r>
          </w:p>
        </w:tc>
      </w:tr>
      <w:tr>
        <w:trPr>
          <w:trHeight w:val="216"/>
        </w:trPr>
        <w:tc>
          <w:tcPr>
            <w:tcW w:w="320" w:type="dxa"/>
            <w:vAlign w:val="bottom"/>
          </w:tcPr>
          <w:p>
            <w:pPr>
              <w:spacing w:after="0"/>
              <w:rPr>
                <w:sz w:val="18"/>
                <w:szCs w:val="18"/>
                <w:color w:val="auto"/>
              </w:rPr>
            </w:pPr>
          </w:p>
        </w:tc>
        <w:tc>
          <w:tcPr>
            <w:tcW w:w="10560" w:type="dxa"/>
            <w:vAlign w:val="bottom"/>
            <w:gridSpan w:val="6"/>
          </w:tcPr>
          <w:p>
            <w:pPr>
              <w:ind w:left="100"/>
              <w:spacing w:after="0"/>
              <w:rPr>
                <w:sz w:val="20"/>
                <w:szCs w:val="20"/>
                <w:color w:val="auto"/>
              </w:rPr>
            </w:pPr>
            <w:r>
              <w:rPr>
                <w:rFonts w:ascii="Arial" w:cs="Arial" w:eastAsia="Arial" w:hAnsi="Arial"/>
                <w:sz w:val="18"/>
                <w:szCs w:val="18"/>
                <w:color w:val="auto"/>
                <w:w w:val="91"/>
              </w:rPr>
              <w:t>deducting estimated underwriting discounts and commissions. Similarly, each increase (decrease) of one million shares in the number of shares</w:t>
            </w:r>
          </w:p>
        </w:tc>
      </w:tr>
      <w:tr>
        <w:trPr>
          <w:trHeight w:val="216"/>
        </w:trPr>
        <w:tc>
          <w:tcPr>
            <w:tcW w:w="320" w:type="dxa"/>
            <w:vAlign w:val="bottom"/>
          </w:tcPr>
          <w:p>
            <w:pPr>
              <w:spacing w:after="0"/>
              <w:rPr>
                <w:sz w:val="18"/>
                <w:szCs w:val="18"/>
                <w:color w:val="auto"/>
              </w:rPr>
            </w:pPr>
          </w:p>
        </w:tc>
        <w:tc>
          <w:tcPr>
            <w:tcW w:w="10560" w:type="dxa"/>
            <w:vAlign w:val="bottom"/>
            <w:gridSpan w:val="6"/>
          </w:tcPr>
          <w:p>
            <w:pPr>
              <w:ind w:left="100"/>
              <w:spacing w:after="0"/>
              <w:rPr>
                <w:sz w:val="20"/>
                <w:szCs w:val="20"/>
                <w:color w:val="auto"/>
              </w:rPr>
            </w:pPr>
            <w:r>
              <w:rPr>
                <w:rFonts w:ascii="Arial" w:cs="Arial" w:eastAsia="Arial" w:hAnsi="Arial"/>
                <w:sz w:val="18"/>
                <w:szCs w:val="18"/>
                <w:color w:val="auto"/>
                <w:w w:val="90"/>
              </w:rPr>
              <w:t>offered by us would increase (decrease) each of our pro forma as adjusted cash and cash equivalents, total assets and total stockholders’ equity</w:t>
            </w:r>
          </w:p>
        </w:tc>
      </w:tr>
      <w:tr>
        <w:trPr>
          <w:trHeight w:val="230"/>
        </w:trPr>
        <w:tc>
          <w:tcPr>
            <w:tcW w:w="320" w:type="dxa"/>
            <w:vAlign w:val="bottom"/>
          </w:tcPr>
          <w:p>
            <w:pPr>
              <w:spacing w:after="0"/>
              <w:rPr>
                <w:sz w:val="20"/>
                <w:szCs w:val="20"/>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(deficit) by approximately $</w:t>
            </w:r>
          </w:p>
        </w:tc>
        <w:tc>
          <w:tcPr>
            <w:tcW w:w="8160" w:type="dxa"/>
            <w:vAlign w:val="bottom"/>
            <w:gridSpan w:val="5"/>
          </w:tcPr>
          <w:p>
            <w:pPr>
              <w:jc w:val="right"/>
              <w:ind w:right="130"/>
              <w:spacing w:after="0"/>
              <w:rPr>
                <w:sz w:val="20"/>
                <w:szCs w:val="20"/>
                <w:color w:val="auto"/>
              </w:rPr>
            </w:pPr>
            <w:r>
              <w:rPr>
                <w:rFonts w:ascii="Arial" w:cs="Arial" w:eastAsia="Arial" w:hAnsi="Arial"/>
                <w:sz w:val="18"/>
                <w:szCs w:val="18"/>
                <w:color w:val="auto"/>
                <w:w w:val="93"/>
              </w:rPr>
              <w:t>million, assuming the assumed initial public offering price remains the same and after deducting estimated</w:t>
            </w:r>
          </w:p>
        </w:tc>
      </w:tr>
    </w:tbl>
    <w:p>
      <w:pPr>
        <w:ind w:left="620"/>
        <w:spacing w:after="0"/>
        <w:rPr>
          <w:sz w:val="20"/>
          <w:szCs w:val="20"/>
          <w:color w:val="auto"/>
        </w:rPr>
      </w:pPr>
      <w:r>
        <w:rPr>
          <w:rFonts w:ascii="Arial" w:cs="Arial" w:eastAsia="Arial" w:hAnsi="Arial"/>
          <w:sz w:val="18"/>
          <w:szCs w:val="18"/>
          <w:color w:val="auto"/>
        </w:rPr>
        <w:t>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financial statements and the related notes appearing at the end of this prospectus. We cannot assure you that any of the events discussed below will not occur. These events could have a material and adverse impact on our business, results of operations, financial condition and cash flows. If that were to happen, the trading price of our common stock could decline, and you could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using our proprietary technology platform to develop therapeutic antibodies, including our two lead wholly-owned product candidates, ANB019 and ANB020,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8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have recently initiated dosing of ANB020 in humans and have never dosed any of our other product candidates in humans. Our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recently initiated our Phase 1 clinical trial for ANB020 and have not yet initiated any clinical trials or dosed any of our other product candidates in humans. We have conducted various preclinical studies of our product candidates, but we do not know the predictive value of these studies for humans, and we cannot guarantee that any positive results in preclinical studies will successfully translate to human patients. It is not uncommon to observe results in human clinical trials that are unexpected based on preclinical testing, and many product candidates fail in clinical trials despite promising preclinical results.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Subjects in our planned clinical trials may suffer significant adverse events or other side effects not observed in our preclinical studies, including, but not limited to, immunogenic responses, organ toxicities such as liver, heart or kidney or other tolerability issues.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If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7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Further, if any of our product candidates obtains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8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3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TGA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6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receiving preliminary comments from the FDA for a pre-IND meeting for ANB020 that focused on preclinical data necessary to initiate studies in humans and potential design for Phase 1 study in healthy volunteers, and submitting and receiving acceptance for our CTN for ANB020 in Australia, we have not yet discussed with the FDA or foreign regulatory authorities the development plans for any of our product candidates or the designs of any of our later-stage clinical studies. We thus do not have the benefit of the FDA’s or foreign regulatory authorities’ current thinking on trial designs or product development for our target indications. For example, although we believe a small pivotal trial, potentially with fewer than 100 patients, may be sufficient to demonstrate substantial evidence of efficacy of ANB019 in generalized pustular psoriasis, or GPP, patients who have IL-36RA genetic mutations,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Preclinical studies and clinical trials are expensive, difficult to design and implement, can take many years to complete and are uncertain as to outcome.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Products, on average, take ten to 15 years to be developed from the time they are discovered to the time they are approved and available for treating patients.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start or end of a clinical trial is often delayed or halted for many reasons, including:</w:t>
      </w:r>
    </w:p>
    <w:p>
      <w:pPr>
        <w:spacing w:after="0" w:line="116" w:lineRule="exact"/>
        <w:rPr>
          <w:sz w:val="20"/>
          <w:szCs w:val="20"/>
          <w:color w:val="auto"/>
        </w:rPr>
      </w:pPr>
    </w:p>
    <w:p>
      <w:pPr>
        <w:ind w:left="900" w:right="2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our clinical trial operations or site by the FDA or other regulatory authorities;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our clinical trial protocols;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3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technology platform to build a pipeline of product candidates and develop marketable products.</w:t>
      </w:r>
    </w:p>
    <w:p>
      <w:pPr>
        <w:spacing w:after="0" w:line="62"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7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30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have recently commenced clinical development of ANB020 and have no history of conducting clinical trials or commercializing biotechnology products, which may make it difficult to evaluate the prospects for our future viability.</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operations to date have been limited to financing and staffing our company, developing our technology and developing our two lead product candidates, ANB019 and ANB020, and other product candidates with and without our collaborators. Although we have recruited a team that has experience with clinical trials in the United States, none of our employees have experience with clinical trials in Australia and, as a company, we have no experience conducting clinical trials in any jurisdiction and have not had previous experience commercializing product candidates, including submitting an IND or a BLA to the FDA. We have only recently received approval of our CTN for ANB020 and dosed our first patients in our Phase 1 trial in Australia, and have not obtained marketing authorization from foreign regulatory authorities.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69" w:lineRule="exact"/>
        <w:rPr>
          <w:sz w:val="20"/>
          <w:szCs w:val="20"/>
          <w:color w:val="auto"/>
        </w:rPr>
      </w:pPr>
    </w:p>
    <w:p>
      <w:pPr>
        <w:jc w:val="both"/>
        <w:ind w:right="640" w:firstLine="456"/>
        <w:spacing w:after="0" w:line="264"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87" w:lineRule="exact"/>
        <w:rPr>
          <w:sz w:val="20"/>
          <w:szCs w:val="20"/>
          <w:color w:val="auto"/>
        </w:rPr>
      </w:pPr>
    </w:p>
    <w:p>
      <w:pPr>
        <w:ind w:left="900" w:right="1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7"/>
          <w:szCs w:val="17"/>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and AMG 317 (Amgen) each in clinical testing and an ST2-binding antibody which Roche has in-licensed from Amgen (previously known as AMG 282) and plans to advance into Phase 2 clinical trials. 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18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biologics license application, or BLA. On March 6, 2015, the FDA approved the first biosimilar product under the BPCIA. However,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87"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7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If companion diagnostics are developed in conjunction with clinical programs, the FDA may require regulatory approval of a companion diagnostic as a condition to approval of the product candidate. For example, if, as is currently planned, we use a genetic test to determine which patients are most likely to benefit from ANB019 for the treatment of GPP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prior to commercialization.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76" w:lineRule="exact"/>
        <w:rPr>
          <w:sz w:val="20"/>
          <w:szCs w:val="20"/>
          <w:color w:val="auto"/>
        </w:rPr>
      </w:pPr>
    </w:p>
    <w:p>
      <w:pPr>
        <w:ind w:left="900" w:right="5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30" w:lineRule="exact"/>
        <w:rPr>
          <w:rFonts w:ascii="Arial" w:cs="Arial" w:eastAsia="Arial" w:hAnsi="Arial"/>
          <w:sz w:val="18"/>
          <w:szCs w:val="18"/>
          <w:color w:val="auto"/>
        </w:rPr>
      </w:pPr>
    </w:p>
    <w:p>
      <w:pPr>
        <w:ind w:left="900" w:right="500" w:hanging="325"/>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33"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w:t>
      </w:r>
    </w:p>
    <w:p>
      <w:pPr>
        <w:spacing w:after="0" w:line="19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and none of our product candidates have progressed to clinical development. To date, our revenue has been primarily derived from our research collaboration and license agreements with third parties, including TESARO, Inc. and TESARO Development, Ltd., or collectively, TESARO, and Celgene Corporation, or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Since our inception, we have incurred significant operating losses in every year except fiscal year 2014. Our collaboration revenue was $15.8 million and our net income was $3.5 million for the year ended December 31, 2014 and our collaboration revenue was $17.6 million and our net loss was $5.4 million for the year ended December 31, 2015. For the three months ended March 31, 2016, our collaboration revenue was $4.9 million and our net loss was $0.9 million. As of March 31, 2016, we had an accumulated deficit of $51.6 million.</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financed our operations primarily through private placements of our preferred stock and the issuance of debt. We have devoted substantially all of our efforts to research and development. We have not initiated clinical development of any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95"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42"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currently only in the preclinical development stages for our most advanced product candidates.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9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upon the closing of this offering, we expect to incur additional costs associated with operating as a public company. We believe that the net proceeds from this offering, together with our existing cash and cash equivalents and funding we expect to receive under existing collaboration agreements, will fund our projected operating requirements through at least the next 24 months. However, circumstances may cause us to consume capital more rapidly than we currently anticipate. For example, as we continue to move our product candidates through preclinical studies, submit INDs or foreign equivalents and commence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6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2"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any product candidates or cease operations altogether;</w:t>
      </w:r>
    </w:p>
    <w:p>
      <w:pPr>
        <w:spacing w:after="0" w:line="153"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77" w:lineRule="exact"/>
        <w:rPr>
          <w:sz w:val="20"/>
          <w:szCs w:val="20"/>
          <w:color w:val="auto"/>
        </w:rPr>
      </w:pPr>
    </w:p>
    <w:p>
      <w:pPr>
        <w:ind w:left="900" w:right="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number and size of clinical trials needed to show safety, efficacy and an acceptable risk/benefit profile for any of our product candidates;</w:t>
      </w:r>
    </w:p>
    <w:p>
      <w:pPr>
        <w:spacing w:after="0" w:line="153" w:lineRule="exact"/>
        <w:rPr>
          <w:rFonts w:ascii="Arial" w:cs="Arial" w:eastAsia="Arial" w:hAnsi="Arial"/>
          <w:sz w:val="16"/>
          <w:szCs w:val="16"/>
          <w:color w:val="auto"/>
        </w:rPr>
      </w:pPr>
    </w:p>
    <w:p>
      <w:pPr>
        <w:ind w:left="900" w:right="480" w:hanging="325"/>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30" w:lineRule="exact"/>
        <w:rPr>
          <w:rFonts w:ascii="Arial" w:cs="Arial" w:eastAsia="Arial" w:hAnsi="Arial"/>
          <w:sz w:val="18"/>
          <w:szCs w:val="18"/>
          <w:color w:val="auto"/>
        </w:rPr>
      </w:pPr>
    </w:p>
    <w:p>
      <w:pPr>
        <w:ind w:left="900" w:right="58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 and</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a lack of available capital means that we cannot expand our operations or otherwise capitalize on our business opportunities, our business, financial condition and results of operations could be adversely affected.</w:t>
      </w:r>
    </w:p>
    <w:p>
      <w:pPr>
        <w:spacing w:after="0" w:line="2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6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5" w:lineRule="exact"/>
        <w:rPr>
          <w:sz w:val="20"/>
          <w:szCs w:val="20"/>
          <w:color w:val="auto"/>
        </w:rPr>
      </w:pPr>
    </w:p>
    <w:p>
      <w:pPr>
        <w:ind w:right="5260"/>
        <w:spacing w:after="0" w:line="425" w:lineRule="auto"/>
        <w:rPr>
          <w:sz w:val="20"/>
          <w:szCs w:val="20"/>
          <w:color w:val="auto"/>
        </w:rPr>
      </w:pPr>
      <w:r>
        <w:rPr>
          <w:rFonts w:ascii="Arial" w:cs="Arial" w:eastAsia="Arial" w:hAnsi="Arial"/>
          <w:sz w:val="16"/>
          <w:szCs w:val="16"/>
          <w:b w:val="1"/>
          <w:bCs w:val="1"/>
          <w:color w:val="auto"/>
        </w:rPr>
        <w:t xml:space="preserve">Risks Related to Managing Growth, Operations and Macroeconomic Conditions </w:t>
      </w:r>
      <w:r>
        <w:rPr>
          <w:rFonts w:ascii="Arial" w:cs="Arial" w:eastAsia="Arial" w:hAnsi="Arial"/>
          <w:sz w:val="16"/>
          <w:szCs w:val="16"/>
          <w:b w:val="1"/>
          <w:bCs w:val="1"/>
          <w:i w:val="1"/>
          <w:iCs w:val="1"/>
          <w:color w:val="auto"/>
        </w:rPr>
        <w:t>We must attract and retain highly skilled employees in order to succeed.</w:t>
      </w:r>
    </w:p>
    <w:p>
      <w:pPr>
        <w:spacing w:after="0" w:line="1"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6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5"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current Australian tax regulations provide for a refundable research and development tax credit equal to 43.5% of qualified expenditures. If we lose our ability to operate AnaptysBio Pty in Australia, or if we are ineligible or unable to receive the research and development tax credit, or the Australian government significantly reduces or eliminates the tax credit, our business and results of operation would be adversely affected.</w:t>
      </w:r>
    </w:p>
    <w:p>
      <w:pPr>
        <w:spacing w:after="0" w:line="25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6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current good manufacturing practices, or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vulnerable to disruption, damage and financial obligation as a result of system failures.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generation and/or development collaborations with various collaborators, including TESARO and Celgene, under which we have generated therapeutic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quality antibodies using our technology platform and conducted certain preclinical studies in collaboration. These collaborations have provided us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$58.0 million in non-dilutive funding through April 30, 2016. We are currently aware that TESARO and Celgene are advancing multiple antibodies generated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our collaboration to clinical trials. If our collaborators terminate any of our collaborations, we may not receive all or any of this funding, which would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adversely affect our business or financial condition. Other than TESARO, our operational obligations under each of our collaborations has ended.</w:t>
      </w:r>
    </w:p>
    <w:p>
      <w:pPr>
        <w:spacing w:after="0" w:line="22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not succeed in establishing and maintaining additional development collaborations, which could adversely affect our ability to develop and commercialize product candidates.</w:t>
      </w:r>
    </w:p>
    <w:p>
      <w:pPr>
        <w:spacing w:after="0" w:line="6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3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rely on third party clinical investigators, contract research organizations, or CROs, clinical data management organizations, or CMOs,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preclinical studies or clinical trials, resulting in the preclinical studies or clinical trials being delayed or unsuccessful.</w:t>
      </w:r>
    </w:p>
    <w:p>
      <w:pPr>
        <w:spacing w:after="0" w:line="19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7" w:lineRule="exact"/>
        <w:rPr>
          <w:sz w:val="20"/>
          <w:szCs w:val="20"/>
          <w:color w:val="auto"/>
        </w:rPr>
      </w:pPr>
    </w:p>
    <w:p>
      <w:pPr>
        <w:ind w:left="5620" w:right="2020" w:hanging="5045"/>
        <w:spacing w:after="0" w:line="449" w:lineRule="auto"/>
        <w:tabs>
          <w:tab w:leader="none" w:pos="8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 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6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plan to conduct our initial clinical trials for ANB020 and ANB019 outside of the United States. However, the FDA and other foreign equivalents may not accept data from such trials, in which case our development plans will be delayed, which could materially harm our business.</w:t>
      </w:r>
    </w:p>
    <w:p>
      <w:pPr>
        <w:spacing w:after="0" w:line="16"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plan to conduct our initial clinical trials for ANB020 and ANB019 in Australia. We believe that clinical data generated in Australia will subsequently be accepted by the FDA and its foreign equivalents outside of Australia, and therefore may enable us to commence Phase 2 and possibly registration clinical trials in the United States following submission of an IND, without the need for us to repeat our Phase 1 trials in the United States. However, there can be no assurance the FDA or other foreign equivalents will accept data from the clinical trials we plan to conduct in Australia. If the FDA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Although the FDA and other foreign equivalents may accept data from clinical trials conducted entirely outside the United States and not under an IND,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only at sites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 the following:</w:t>
      </w:r>
    </w:p>
    <w:p>
      <w:pPr>
        <w:spacing w:after="0" w:line="13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62"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95"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drugs we develop may become subject to unfavorable third-party reimbursement practices and pricing regulations.</w:t>
      </w:r>
    </w:p>
    <w:p>
      <w:pPr>
        <w:spacing w:after="0" w:line="11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Recently enacted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and/or affect our ability to profitably sell any product candidates for which we obtain marketing approval.</w:t>
      </w:r>
    </w:p>
    <w:p>
      <w:pPr>
        <w:spacing w:after="0" w:line="18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For example, in March 2010, President Obama signed into law the Patient Protection and Affordable Care Act, as amended by the Health Care and Education Affordability Reconciliation Act, or collectively the ACA, a sweeping law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 and</w:t>
      </w:r>
    </w:p>
    <w:p>
      <w:pPr>
        <w:spacing w:after="0" w:line="142" w:lineRule="exact"/>
        <w:rPr>
          <w:rFonts w:ascii="Arial" w:cs="Arial" w:eastAsia="Arial" w:hAnsi="Arial"/>
          <w:sz w:val="17"/>
          <w:szCs w:val="17"/>
          <w:color w:val="auto"/>
        </w:rPr>
      </w:pPr>
    </w:p>
    <w:p>
      <w:pPr>
        <w:ind w:left="900" w:right="26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2025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6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(“SGR”), was adjusted to reflect the comparison of actual expenditures to target expenditures. Because one of the factors for calculating the SGR was linked to the growth in the U.S. gross domestic product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0"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7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3"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60" w:lineRule="exact"/>
        <w:rPr>
          <w:sz w:val="20"/>
          <w:szCs w:val="20"/>
          <w:color w:val="auto"/>
        </w:rPr>
      </w:pPr>
    </w:p>
    <w:p>
      <w:pPr>
        <w:ind w:left="900" w:right="8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29" w:lineRule="exact"/>
        <w:rPr>
          <w:rFonts w:ascii="Arial" w:cs="Arial" w:eastAsia="Arial" w:hAnsi="Arial"/>
          <w:sz w:val="16"/>
          <w:szCs w:val="16"/>
          <w:color w:val="auto"/>
        </w:rPr>
      </w:pPr>
    </w:p>
    <w:p>
      <w:pPr>
        <w:ind w:left="900" w:right="40" w:hanging="325"/>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jc w:val="both"/>
        <w:ind w:left="900" w:right="220" w:hanging="325"/>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87" w:lineRule="exact"/>
        <w:rPr>
          <w:sz w:val="20"/>
          <w:szCs w:val="20"/>
          <w:color w:val="auto"/>
        </w:rPr>
      </w:pPr>
    </w:p>
    <w:p>
      <w:pPr>
        <w:ind w:left="900" w:right="20" w:hanging="325"/>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ind w:right="480" w:firstLine="456"/>
        <w:spacing w:after="0" w:line="257" w:lineRule="auto"/>
        <w:rPr>
          <w:sz w:val="20"/>
          <w:szCs w:val="20"/>
          <w:color w:val="auto"/>
        </w:rPr>
      </w:pPr>
      <w:r>
        <w:rPr>
          <w:rFonts w:ascii="Arial" w:cs="Arial" w:eastAsia="Arial" w:hAnsi="Arial"/>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intend to adopt a code of conduct prior to the closing of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an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62"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w:t>
      </w:r>
    </w:p>
    <w:p>
      <w:pPr>
        <w:spacing w:after="0" w:line="62"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6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9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agreements related to our product candidates, we could lose the ability to continue the development and commercialization of our product candidates.</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3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for extending the term of patents covering each of our product candidates, our business may be harmed.</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87"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900" w:right="10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approximately 84.0% of our voting stock and, upon the closing of this offering, that same group will hold approximately % of our outstanding voting stock (based on the number of shares of common stock outstanding as of March 31, 2016 assuming no exercise of the underwriters’ over-allotment option, no exercise of outstanding options or warrants and no purchases of shares in this offering by any of this group), in each case assuming the conversion of all outstanding shares of our convertible preferred stock into shares of our common stock immediately prior to the closing of this offering. After this offering, this group of stockholders will have the ability to control us through this ownership position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 result,</w:t>
      </w:r>
    </w:p>
    <w:p>
      <w:pPr>
        <w:spacing w:after="0"/>
        <w:tabs>
          <w:tab w:leader="none" w:pos="6700" w:val="left"/>
        </w:tabs>
        <w:rPr>
          <w:sz w:val="20"/>
          <w:szCs w:val="20"/>
          <w:color w:val="auto"/>
        </w:rPr>
      </w:pPr>
      <w:r>
        <w:rPr>
          <w:rFonts w:ascii="Arial" w:cs="Arial" w:eastAsia="Arial" w:hAnsi="Arial"/>
          <w:sz w:val="18"/>
          <w:szCs w:val="18"/>
          <w:color w:val="auto"/>
        </w:rPr>
        <w:t>investors purchasing common stock in this offering will incur immediate dilution of $</w:t>
      </w:r>
      <w:r>
        <w:rPr>
          <w:sz w:val="20"/>
          <w:szCs w:val="20"/>
          <w:color w:val="auto"/>
        </w:rPr>
        <w:tab/>
      </w:r>
      <w:r>
        <w:rPr>
          <w:rFonts w:ascii="Arial" w:cs="Arial" w:eastAsia="Arial" w:hAnsi="Arial"/>
          <w:sz w:val="16"/>
          <w:szCs w:val="16"/>
          <w:color w:val="auto"/>
        </w:rPr>
        <w:t>per share, based upon an assumed initial public offering price of</w:t>
      </w:r>
    </w:p>
    <w:p>
      <w:pPr>
        <w:ind w:left="640" w:hanging="632"/>
        <w:spacing w:after="0"/>
        <w:tabs>
          <w:tab w:leader="none" w:pos="640" w:val="left"/>
        </w:tabs>
        <w:numPr>
          <w:ilvl w:val="0"/>
          <w:numId w:val="39"/>
        </w:numPr>
        <w:rPr>
          <w:rFonts w:ascii="Arial" w:cs="Arial" w:eastAsia="Arial" w:hAnsi="Arial"/>
          <w:sz w:val="1"/>
          <w:szCs w:val="1"/>
          <w:color w:val="auto"/>
        </w:rPr>
      </w:pPr>
      <w:r>
        <w:rPr>
          <w:rFonts w:ascii="Arial" w:cs="Arial" w:eastAsia="Arial" w:hAnsi="Arial"/>
          <w:sz w:val="1"/>
          <w:szCs w:val="1"/>
          <w:color w:val="auto"/>
        </w:rPr>
        <w:t>per share (the midpoint of the price range set forth on the cover page of this prospectus). Further, investors purchasing common stock in this offering</w:t>
      </w:r>
    </w:p>
    <w:p>
      <w:pPr>
        <w:spacing w:after="0" w:line="19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will contribute approximately % of the total amount invested by stockholders since our inception, but will own only approximately % of the shares of common stock outstanding after giving effect to this offering.</w:t>
      </w:r>
    </w:p>
    <w:p>
      <w:pPr>
        <w:spacing w:after="0" w:line="17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dilution is due to our investors who purchased shares prior to this offering having paid substantially less when they purchased their shares than the price offered to the public in this offering and the exercise of stock options granted to our employees. In addition, as of March 31, 2016, options to purchase 14,107,284 shares of our common stock at a weighted-average exercise price of $0.57 per share, warrants exercisable for 822,386 shares of our common stock at an exercise price of $0.65 per share and warrants exercisable for Series C convertible preferred stock convertible into 2,063,484 shares of our common stock at an exercise price of $0.65 per share were outstanding. The exercise of any of these options or warrants would result in additional dilution.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“Dilution.”</w:t>
      </w:r>
    </w:p>
    <w:p>
      <w:pPr>
        <w:spacing w:after="0" w:line="2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this prospectus and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2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Global Select Market.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as a public company we will be required to incur additional costs and obligations in order to comply with SEC rules that implement Section 404 of the Sarbanes-Oxley Act. Under these rules, beginning with our annual report for the year ending December 31, 2017,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8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connection with the preparation of our 2015 consolidated financial statements, we and our independent registered public accounting firm identified a material weakness in our internal control over financial reporting with respect to the design of our controls over the calculation of our accrued research and contract manufacturing expenses, including the verification of the level and timing of completion of our CRO and CMO activities. Under standards established by the Public Company Accounting Oversight Board, a deficiency in internal control over financial reporting exists when the design or operation of a control does not allow management or personnel, in the normal course of performing their assigned functions, to prevent or detect misstatements on a timely basis.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During the first quarter of 2016, we implemented additional controls to remediate the material weakness, including additional controls to verify the level and timing of completion of our CRO and CMO activities and controls over the completeness and accuracy of spreadsheets used to calculate the accrued research and contract manufacturing expenses. We cannot assure you that these measures will significantly improve or remediate the material weakness described above. We, and our independent registered public accounting firm, were not required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perform an evaluation of our internal control over financial reporting as of December 31, 2015 in accordance with the provisions of the Sarbanes-Oxley Act. Accordingly, we cannot assure you that we have identified all material weaknesses or that there will not be additional material weaknesses or deficiencies that our independent registered public accounting firm or we will identify. If we are unable to successfully remediate the existing material weakness in our internal control over financial reporting, or if we identify any additional issues, we may be unable to produce accurate and timely financial statements, our stock price may be adversely affected and we may be unable to maintain compliance with the Nasdaq Stock Market listing requirements.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w:t>
      </w:r>
    </w:p>
    <w:p>
      <w:pPr>
        <w:ind w:right="180"/>
        <w:spacing w:after="0" w:line="281" w:lineRule="auto"/>
        <w:rPr>
          <w:sz w:val="20"/>
          <w:szCs w:val="20"/>
          <w:color w:val="auto"/>
        </w:rPr>
      </w:pPr>
      <w:r>
        <w:rPr>
          <w:rFonts w:ascii="Arial" w:cs="Arial" w:eastAsia="Arial" w:hAnsi="Arial"/>
          <w:sz w:val="16"/>
          <w:szCs w:val="16"/>
          <w:color w:val="auto"/>
        </w:rPr>
        <w:t>outstanding shares of common stock based on the number of shares outstanding as of March 31, 2016, assuming: (i) no exercise of the underwriters’ option to purchase additional shares and (ii) the conversion of all outstanding shares of our convertible preferred stock into 80,645,051 shares of common stock immediately prior to the closing of this offering. This includes the shares that we sell in this offering, which may be resold in the public market</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immediately without restriction, unless purchased by our affiliates. Of the remaining shares, shares of our common stock are currently restricted as a result of securities laws or lock-up agreements but will be able to be sold after this offering as described in the “Shares Eligible for Future Sale” section of</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this prospectus. Moreover, after this offering, 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29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this offering.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62"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Our restated certificate of incorporation and restated bylaws, as we expect they will be in effect upon closing of the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issuance of equity securities.</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or corporate collaborations. To the extent that our taxable income exceeds any current year operating losses, we plan to use our NOL carryforwards to offset income that would otherwise be taxable. However, under the Tax Reform Act of 1986, the amount of benefits from our NOL carryforwards may be impaired or limited if we incur a cumulative ownership change of more than 50%, as interpreted by the U.S. Internal Revenue Service,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Our use of federal NOL carryforwards could be limited further by the provisions of Section 382 of the U.S. Internal Revenue Code of 1986, as amended, depending upon the timing and amount of additional equity securities that we have issued or will issue, including as a result of this offering.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in this prospectus include, among other things, statements about:</w:t>
      </w:r>
    </w:p>
    <w:p>
      <w:pPr>
        <w:spacing w:after="0" w:line="13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planned clinical trials;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ANB020 for patients with severe allergic and atopic diseases and ANB019 for patients with GPP and PPP;</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likelihood that the clinical data generated in Australia will be subsequently accepted by the FDA and its foreign equivalents outside of Australia;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30" w:lineRule="exact"/>
        <w:rPr>
          <w:rFonts w:ascii="Arial" w:cs="Arial" w:eastAsia="Arial" w:hAnsi="Arial"/>
          <w:sz w:val="18"/>
          <w:szCs w:val="18"/>
          <w:color w:val="auto"/>
        </w:rPr>
      </w:pPr>
    </w:p>
    <w:p>
      <w:pPr>
        <w:ind w:left="900" w:right="320" w:hanging="325"/>
        <w:spacing w:after="0" w:line="308"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1" w:lineRule="exact"/>
        <w:rPr>
          <w:rFonts w:ascii="Arial" w:cs="Arial" w:eastAsia="Arial" w:hAnsi="Arial"/>
          <w:sz w:val="17"/>
          <w:szCs w:val="17"/>
          <w:color w:val="auto"/>
        </w:rPr>
      </w:pPr>
    </w:p>
    <w:p>
      <w:pPr>
        <w:ind w:left="900" w:right="42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ANB020 and ANB019 and our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developments in the United States, Australia and other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tabs>
          <w:tab w:leader="none" w:pos="4640" w:val="left"/>
        </w:tabs>
        <w:rPr>
          <w:sz w:val="20"/>
          <w:szCs w:val="20"/>
          <w:color w:val="auto"/>
        </w:rPr>
      </w:pPr>
      <w:r>
        <w:rPr>
          <w:rFonts w:ascii="Arial" w:cs="Arial" w:eastAsia="Arial" w:hAnsi="Arial"/>
          <w:sz w:val="18"/>
          <w:szCs w:val="18"/>
          <w:color w:val="auto"/>
        </w:rPr>
        <w:t>We estimate that the net proceeds from our sale of</w:t>
      </w:r>
      <w:r>
        <w:rPr>
          <w:sz w:val="20"/>
          <w:szCs w:val="20"/>
          <w:color w:val="auto"/>
        </w:rPr>
        <w:tab/>
      </w:r>
      <w:r>
        <w:rPr>
          <w:rFonts w:ascii="Arial" w:cs="Arial" w:eastAsia="Arial" w:hAnsi="Arial"/>
          <w:sz w:val="16"/>
          <w:szCs w:val="16"/>
          <w:color w:val="auto"/>
        </w:rPr>
        <w:t>shares of common stock in this offering at an assumed initial public offering price of</w:t>
      </w:r>
    </w:p>
    <w:p>
      <w:pPr>
        <w:spacing w:after="0" w:line="2"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2"/>
          <w:szCs w:val="2"/>
          <w:color w:val="auto"/>
        </w:rPr>
      </w:pPr>
      <w:r>
        <w:rPr>
          <w:rFonts w:ascii="Arial" w:cs="Arial" w:eastAsia="Arial" w:hAnsi="Arial"/>
          <w:sz w:val="2"/>
          <w:szCs w:val="2"/>
          <w:color w:val="auto"/>
        </w:rPr>
        <w:t>per share, the midpoint of the price range set forth on the cover page of this prospectus, after deducting estimated underwriting discounts and</w:t>
      </w:r>
    </w:p>
    <w:p>
      <w:pPr>
        <w:spacing w:after="0" w:line="2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commissions and estimated offering expenses payable by us, will be approximately $ million, or $ million if the underwriters exercise their option to purchase additional shares in full.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$1.00 increase (decrease) in the assumed initial public offering price would increase (decrease) the net proceeds to us from this offering by</w:t>
      </w:r>
    </w:p>
    <w:p>
      <w:pPr>
        <w:spacing w:after="0" w:line="35" w:lineRule="exact"/>
        <w:rPr>
          <w:sz w:val="20"/>
          <w:szCs w:val="20"/>
          <w:color w:val="auto"/>
        </w:rPr>
      </w:pPr>
    </w:p>
    <w:p>
      <w:pPr>
        <w:ind w:right="200" w:firstLine="8"/>
        <w:spacing w:after="0" w:line="281" w:lineRule="auto"/>
        <w:tabs>
          <w:tab w:leader="none" w:pos="63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remains the same, and after deducting estimated underwriting discounts and commissions. Similarly, each increase or decrease of one million in the number of shares of common stock offered by us would increase or decrease the net proceeds that</w:t>
      </w:r>
    </w:p>
    <w:p>
      <w:pPr>
        <w:spacing w:after="0" w:line="1" w:lineRule="exact"/>
        <w:rPr>
          <w:rFonts w:ascii="Arial" w:cs="Arial" w:eastAsia="Arial" w:hAnsi="Arial"/>
          <w:sz w:val="16"/>
          <w:szCs w:val="16"/>
          <w:color w:val="auto"/>
        </w:rPr>
      </w:pPr>
    </w:p>
    <w:p>
      <w:pPr>
        <w:ind w:right="400"/>
        <w:spacing w:after="0" w:line="261" w:lineRule="auto"/>
        <w:rPr>
          <w:rFonts w:ascii="Arial" w:cs="Arial" w:eastAsia="Arial" w:hAnsi="Arial"/>
          <w:sz w:val="16"/>
          <w:szCs w:val="16"/>
          <w:color w:val="auto"/>
        </w:rPr>
      </w:pPr>
      <w:r>
        <w:rPr>
          <w:rFonts w:ascii="Arial" w:cs="Arial" w:eastAsia="Arial" w:hAnsi="Arial"/>
          <w:sz w:val="18"/>
          <w:szCs w:val="18"/>
          <w:color w:val="auto"/>
        </w:rPr>
        <w:t>we receive from this offering by $ million, assuming that the assumed initial public offering price remains the same and after deducting estimated underwriting discounts and commissions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intend to use the net proceeds we receive from this offering, together with our existing cash and cash equivalents, as follows:</w:t>
      </w:r>
    </w:p>
    <w:p>
      <w:pPr>
        <w:spacing w:after="0" w:line="142" w:lineRule="exact"/>
        <w:rPr>
          <w:sz w:val="20"/>
          <w:szCs w:val="20"/>
          <w:color w:val="auto"/>
        </w:rPr>
      </w:pPr>
    </w:p>
    <w:p>
      <w:pPr>
        <w:ind w:left="900" w:right="2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 million to fund development of ANB019 and ANB020 through initial clinical trials intended to demonstrate efficacy in multiple indications;</w:t>
      </w:r>
    </w:p>
    <w:p>
      <w:pPr>
        <w:spacing w:after="0" w:line="75"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 million to fund continued development of other wholly-owned product candidates and discovery of new product candidates to further expand our proprietary pipeline;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remaining amounts to fund working capital, including general corporate purposes.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Based on our planned use of the net proceeds, we estimate such funds, together with our existing cash and cash equivalents, will be sufficient for us to fund our operating expenses and capital expenditure requirements through at least the next 24 months.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As of the date of this prospectus,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preclinical studies and clinical trials we may commence in the future,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7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Pending their use as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60"/>
          </w:cols>
          <w:pgMar w:left="240" w:top="459" w:right="3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2016 on:</w:t>
      </w:r>
    </w:p>
    <w:p>
      <w:pPr>
        <w:spacing w:after="0" w:line="13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900" w:right="140" w:hanging="325"/>
        <w:spacing w:after="0" w:line="279"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pro forma basis, giving effect to (i) the automatic conversion of all outstanding shares of our convertible preferred stock as of March 31, 2016 into 80,645,051 shares of common stock immediately prior to the closing of this offering, (ii) the conversion of the preferred stock warrants into common stock warrants and the related reclassification of the preferred stock warrant liability to additional paid-in capital and (iii) the effectiveness of our restated certificate of incorporation in connection with the closing of this offering; and</w:t>
      </w:r>
    </w:p>
    <w:p>
      <w:pPr>
        <w:sectPr>
          <w:pgSz w:w="11900" w:h="16838" w:orient="portrait"/>
          <w:cols w:equalWidth="0" w:num="1">
            <w:col w:w="11420"/>
          </w:cols>
          <w:pgMar w:left="240" w:top="459" w:right="239" w:bottom="1440" w:gutter="0" w:footer="0" w:header="0"/>
        </w:sectPr>
      </w:pPr>
    </w:p>
    <w:p>
      <w:pPr>
        <w:spacing w:after="0" w:line="7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 pro forma as adjusted basis, giving effect to the pro forma adjustments and the sale of shares of common stock by us in this offering, based on an assumed initial public offering price of $ per share, the midpoint of the price range set forth on the cover page of this prospectus, after deducting estimated underwriting discounts and commissions and estimated offering expenses payable by us.</w:t>
      </w:r>
    </w:p>
    <w:p>
      <w:pPr>
        <w:spacing w:after="0" w:line="166"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right="120"/>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audited and unaudited consolidated financial statements and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ind w:left="220"/>
              <w:spacing w:after="0"/>
              <w:rPr>
                <w:sz w:val="20"/>
                <w:szCs w:val="20"/>
                <w:color w:val="auto"/>
              </w:rPr>
            </w:pPr>
            <w:r>
              <w:rPr>
                <w:rFonts w:ascii="Arial" w:cs="Arial" w:eastAsia="Arial" w:hAnsi="Arial"/>
                <w:sz w:val="14"/>
                <w:szCs w:val="14"/>
                <w:b w:val="1"/>
                <w:bCs w:val="1"/>
                <w:color w:val="auto"/>
              </w:rPr>
              <w:t>As of March 31, 2016</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(Unaudited)</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par value data)</w:t>
            </w:r>
          </w:p>
        </w:tc>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Actual</w:t>
            </w:r>
          </w:p>
        </w:tc>
        <w:tc>
          <w:tcPr>
            <w:tcW w:w="38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96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As Adjusted (1)</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49,318</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Notes payable, net of current portion</w:t>
            </w:r>
          </w:p>
        </w:tc>
        <w:tc>
          <w:tcPr>
            <w:tcW w:w="29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1,170</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gridSpan w:val="3"/>
          </w:tcPr>
          <w:p>
            <w:pPr>
              <w:spacing w:after="0" w:line="201" w:lineRule="exact"/>
              <w:rPr>
                <w:sz w:val="20"/>
                <w:szCs w:val="20"/>
                <w:color w:val="auto"/>
              </w:rPr>
            </w:pPr>
            <w:r>
              <w:rPr>
                <w:rFonts w:ascii="Arial" w:cs="Arial" w:eastAsia="Arial" w:hAnsi="Arial"/>
                <w:sz w:val="18"/>
                <w:szCs w:val="18"/>
                <w:color w:val="auto"/>
              </w:rPr>
              <w:t>Series B convertible preferred stock, $0.001 par value; 27,742,877 shares authorized, 27,742,877</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tcPr>
          <w:p>
            <w:pPr>
              <w:ind w:left="180"/>
              <w:spacing w:after="0"/>
              <w:rPr>
                <w:sz w:val="20"/>
                <w:szCs w:val="20"/>
                <w:color w:val="auto"/>
              </w:rPr>
            </w:pPr>
            <w:r>
              <w:rPr>
                <w:rFonts w:ascii="Arial" w:cs="Arial" w:eastAsia="Arial" w:hAnsi="Arial"/>
                <w:sz w:val="18"/>
                <w:szCs w:val="18"/>
                <w:color w:val="auto"/>
                <w:w w:val="97"/>
              </w:rPr>
              <w:t>shares issued and outstanding, actual; no shares designated, issued or outstanding pro forma and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pro forma as adjusted</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28,220</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Series C convertible preferred stock, $0.001 par value; 13,210,753 shares authorized, 11,147,269</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shares issued and outstanding, actual; no shares designated, issued or outstanding pro forma and</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as adjusted</w:t>
            </w:r>
          </w:p>
        </w:tc>
        <w:tc>
          <w:tcPr>
            <w:tcW w:w="2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6,452</w:t>
            </w: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40" w:type="dxa"/>
            <w:vAlign w:val="bottom"/>
            <w:gridSpan w:val="3"/>
          </w:tcPr>
          <w:p>
            <w:pPr>
              <w:spacing w:after="0" w:line="201" w:lineRule="exact"/>
              <w:rPr>
                <w:sz w:val="20"/>
                <w:szCs w:val="20"/>
                <w:color w:val="auto"/>
              </w:rPr>
            </w:pPr>
            <w:r>
              <w:rPr>
                <w:rFonts w:ascii="Arial" w:cs="Arial" w:eastAsia="Arial" w:hAnsi="Arial"/>
                <w:sz w:val="18"/>
                <w:szCs w:val="18"/>
                <w:color w:val="auto"/>
              </w:rPr>
              <w:t>Series C-1 convertible preferred stock, $0.001 par value; 3,318,054 shares authorized, 3,318,054</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tcPr>
          <w:p>
            <w:pPr>
              <w:ind w:left="180"/>
              <w:spacing w:after="0"/>
              <w:rPr>
                <w:sz w:val="20"/>
                <w:szCs w:val="20"/>
                <w:color w:val="auto"/>
              </w:rPr>
            </w:pPr>
            <w:r>
              <w:rPr>
                <w:rFonts w:ascii="Arial" w:cs="Arial" w:eastAsia="Arial" w:hAnsi="Arial"/>
                <w:sz w:val="18"/>
                <w:szCs w:val="18"/>
                <w:color w:val="auto"/>
                <w:w w:val="97"/>
              </w:rPr>
              <w:t>shares issued and outstanding, actual; no shares designated, issued or outstanding pro forma and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pro forma as adjusted</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2,156</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Series D convertible preferred stock, $0.001 par value; 38,436,851 shares authorized, 38,436,851</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shares issued and outstanding, actual; no shares designated, issued or outstanding pro forma and</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as adjusted</w:t>
            </w:r>
          </w:p>
        </w:tc>
        <w:tc>
          <w:tcPr>
            <w:tcW w:w="2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40,688</w:t>
            </w: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$0.001 par value; no shares authorized, issued or outstanding, actual;</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10,000,000 shares authorized, no shares issued or outstanding, pro forma and pro forma as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adjusted</w:t>
            </w:r>
          </w:p>
        </w:tc>
        <w:tc>
          <w:tcPr>
            <w:tcW w:w="2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4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Common stock, $0.001 par value; 120,500,000 shares authorized, 18,447,236 shares issued</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540"/>
              <w:spacing w:after="0"/>
              <w:rPr>
                <w:sz w:val="20"/>
                <w:szCs w:val="20"/>
                <w:color w:val="auto"/>
              </w:rPr>
            </w:pPr>
            <w:r>
              <w:rPr>
                <w:rFonts w:ascii="Arial" w:cs="Arial" w:eastAsia="Arial" w:hAnsi="Arial"/>
                <w:sz w:val="18"/>
                <w:szCs w:val="18"/>
                <w:color w:val="auto"/>
                <w:w w:val="95"/>
              </w:rPr>
              <w:t>and outstanding, actual; 500,000,000 shares authorized,</w:t>
            </w:r>
          </w:p>
        </w:tc>
        <w:tc>
          <w:tcPr>
            <w:tcW w:w="2980" w:type="dxa"/>
            <w:vAlign w:val="bottom"/>
            <w:gridSpan w:val="2"/>
          </w:tcPr>
          <w:p>
            <w:pPr>
              <w:jc w:val="right"/>
              <w:ind w:right="1325"/>
              <w:spacing w:after="0"/>
              <w:rPr>
                <w:sz w:val="20"/>
                <w:szCs w:val="20"/>
                <w:color w:val="auto"/>
              </w:rPr>
            </w:pPr>
            <w:r>
              <w:rPr>
                <w:rFonts w:ascii="Arial" w:cs="Arial" w:eastAsia="Arial" w:hAnsi="Arial"/>
                <w:sz w:val="18"/>
                <w:szCs w:val="18"/>
                <w:color w:val="auto"/>
              </w:rPr>
              <w:t>shares issued and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540"/>
              <w:spacing w:after="0"/>
              <w:rPr>
                <w:sz w:val="20"/>
                <w:szCs w:val="20"/>
                <w:color w:val="auto"/>
              </w:rPr>
            </w:pPr>
            <w:r>
              <w:rPr>
                <w:rFonts w:ascii="Arial" w:cs="Arial" w:eastAsia="Arial" w:hAnsi="Arial"/>
                <w:sz w:val="18"/>
                <w:szCs w:val="18"/>
                <w:color w:val="auto"/>
                <w:w w:val="96"/>
              </w:rPr>
              <w:t>outstanding, pro forma; 500,000,000 shares authorized,</w:t>
            </w:r>
          </w:p>
        </w:tc>
        <w:tc>
          <w:tcPr>
            <w:tcW w:w="2980" w:type="dxa"/>
            <w:vAlign w:val="bottom"/>
            <w:gridSpan w:val="2"/>
          </w:tcPr>
          <w:p>
            <w:pPr>
              <w:jc w:val="right"/>
              <w:ind w:right="1345"/>
              <w:spacing w:after="0"/>
              <w:rPr>
                <w:sz w:val="20"/>
                <w:szCs w:val="20"/>
                <w:color w:val="auto"/>
              </w:rPr>
            </w:pPr>
            <w:r>
              <w:rPr>
                <w:rFonts w:ascii="Arial" w:cs="Arial" w:eastAsia="Arial" w:hAnsi="Arial"/>
                <w:sz w:val="18"/>
                <w:szCs w:val="18"/>
                <w:color w:val="auto"/>
              </w:rPr>
              <w:t>shares issued and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540"/>
              <w:spacing w:after="0"/>
              <w:rPr>
                <w:sz w:val="20"/>
                <w:szCs w:val="20"/>
                <w:color w:val="auto"/>
              </w:rPr>
            </w:pPr>
            <w:r>
              <w:rPr>
                <w:rFonts w:ascii="Arial" w:cs="Arial" w:eastAsia="Arial" w:hAnsi="Arial"/>
                <w:sz w:val="18"/>
                <w:szCs w:val="18"/>
                <w:color w:val="auto"/>
              </w:rPr>
              <w:t>outstanding, pro forma as adjusted</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 in capital</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15,797</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(51,552)</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(35,737)</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1080"/>
              <w:spacing w:after="0"/>
              <w:rPr>
                <w:sz w:val="20"/>
                <w:szCs w:val="20"/>
                <w:color w:val="auto"/>
              </w:rPr>
            </w:pPr>
            <w:r>
              <w:rPr>
                <w:rFonts w:ascii="Arial" w:cs="Arial" w:eastAsia="Arial" w:hAnsi="Arial"/>
                <w:sz w:val="18"/>
                <w:szCs w:val="18"/>
                <w:color w:val="auto"/>
              </w:rPr>
              <w:t>Total capitalization</w:t>
            </w:r>
          </w:p>
        </w:tc>
        <w:tc>
          <w:tcPr>
            <w:tcW w:w="2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47,483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80" w:type="dxa"/>
            <w:vAlign w:val="bottom"/>
            <w:vMerge w:val="restart"/>
          </w:tcPr>
          <w:p>
            <w:pPr>
              <w:jc w:val="right"/>
              <w:ind w:right="185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180" w:hanging="459"/>
        <w:spacing w:after="0" w:line="288" w:lineRule="auto"/>
        <w:tabs>
          <w:tab w:leader="none" w:pos="440" w:val="left"/>
        </w:tabs>
        <w:rPr>
          <w:sz w:val="20"/>
          <w:szCs w:val="20"/>
          <w:color w:val="auto"/>
        </w:rPr>
      </w:pPr>
      <w:r>
        <w:rPr>
          <w:rFonts w:ascii="Arial" w:cs="Arial" w:eastAsia="Arial" w:hAnsi="Arial"/>
          <w:sz w:val="16"/>
          <w:szCs w:val="16"/>
          <w:color w:val="auto"/>
        </w:rPr>
        <w:t>(1)</w:t>
        <w:tab/>
        <w:t>Each $1.00 increase (decrease) in the assumed initial public offering price of $ per share, the midpoint of the price range set forth on the cover page of this prospectus, would increase (decrease) each of our pro forma as adjusted cash and cash equivalents, additional paid-in capital, total stockholders’ equity (deficit) and total capitalization by approximately $ million, assuming that the number of shares offered by us remains the</w:t>
      </w:r>
    </w:p>
    <w:p>
      <w:pPr>
        <w:ind w:left="460" w:right="60"/>
        <w:spacing w:after="0" w:line="421" w:lineRule="auto"/>
        <w:rPr>
          <w:sz w:val="20"/>
          <w:szCs w:val="20"/>
          <w:color w:val="auto"/>
        </w:rPr>
      </w:pPr>
      <w:r>
        <w:rPr>
          <w:rFonts w:ascii="Arial" w:cs="Arial" w:eastAsia="Arial" w:hAnsi="Arial"/>
          <w:sz w:val="16"/>
          <w:szCs w:val="16"/>
          <w:color w:val="auto"/>
        </w:rPr>
        <w:t>same and after deducting estimated underwriting discounts and commissions. Similarly, each increase (decrease) of one million shares in the number of shares offered by us would increase (decrease) each of our pro forma as adjusted cash and cash equivalents, additional paid-in capital,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stockholders’ equity (deficit) and total capitalization by approximately $ million, assuming the assumed initial public offering price remains the same and after deducting estimated underwriting discounts and commissions.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99,092,287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excludes:</w:t>
      </w:r>
    </w:p>
    <w:p>
      <w:pPr>
        <w:spacing w:after="0" w:line="116" w:lineRule="exact"/>
        <w:rPr>
          <w:sz w:val="20"/>
          <w:szCs w:val="20"/>
          <w:color w:val="auto"/>
        </w:rPr>
      </w:pPr>
    </w:p>
    <w:p>
      <w:pPr>
        <w:ind w:left="900" w:right="26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14,107,284 shares of common stock issuable upon the exercise of options outstanding as of March 31, 2016, with a weighted-average exercise price of $0.57 per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214,000 shares of common stock issuable upon the exercise of options granted after March 31, 2016, with an exercise price of $0.85 per share;</w:t>
      </w:r>
    </w:p>
    <w:p>
      <w:pPr>
        <w:spacing w:after="0" w:line="153" w:lineRule="exact"/>
        <w:rPr>
          <w:rFonts w:ascii="Arial" w:cs="Arial" w:eastAsia="Arial" w:hAnsi="Arial"/>
          <w:sz w:val="16"/>
          <w:szCs w:val="16"/>
          <w:color w:val="auto"/>
        </w:rPr>
      </w:pPr>
    </w:p>
    <w:p>
      <w:pPr>
        <w:ind w:left="1440" w:hanging="865"/>
        <w:spacing w:after="0"/>
        <w:tabs>
          <w:tab w:leader="none" w:pos="1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2,507,113 shares of</w:t>
      </w:r>
    </w:p>
    <w:p>
      <w:pPr>
        <w:spacing w:after="0" w:line="46" w:lineRule="exact"/>
        <w:rPr>
          <w:sz w:val="20"/>
          <w:szCs w:val="20"/>
          <w:color w:val="auto"/>
        </w:rPr>
      </w:pPr>
    </w:p>
    <w:p>
      <w:pPr>
        <w:ind w:left="900" w:right="18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March 31, 2016, (b) shares of common stock reserved for future issuance under our 2016 Equity Incentive Plan, which will become effective on the date immediately prior to the date of this</w:t>
      </w:r>
    </w:p>
    <w:p>
      <w:pPr>
        <w:spacing w:after="0" w:line="1" w:lineRule="exact"/>
        <w:rPr>
          <w:sz w:val="20"/>
          <w:szCs w:val="20"/>
          <w:color w:val="auto"/>
        </w:rPr>
      </w:pPr>
    </w:p>
    <w:p>
      <w:pPr>
        <w:ind w:left="900"/>
        <w:spacing w:after="0" w:line="252" w:lineRule="auto"/>
        <w:rPr>
          <w:sz w:val="20"/>
          <w:szCs w:val="20"/>
          <w:color w:val="auto"/>
        </w:rPr>
      </w:pPr>
      <w:r>
        <w:rPr>
          <w:rFonts w:ascii="Arial" w:cs="Arial" w:eastAsia="Arial" w:hAnsi="Arial"/>
          <w:sz w:val="18"/>
          <w:szCs w:val="18"/>
          <w:color w:val="auto"/>
        </w:rPr>
        <w:t>prospectus and (c) shares of common stock reserved for future issuance under our 2016 Employee Stock Purchase Plan, which will become effective on the date of this prospectus. Upon the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Compensation—Employee Benefit and Stock Plans”;</w:t>
      </w:r>
    </w:p>
    <w:p>
      <w:pPr>
        <w:spacing w:after="0" w:line="100" w:lineRule="exact"/>
        <w:rPr>
          <w:sz w:val="20"/>
          <w:szCs w:val="20"/>
          <w:color w:val="auto"/>
        </w:rPr>
      </w:pPr>
    </w:p>
    <w:p>
      <w:pPr>
        <w:ind w:left="900" w:right="28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Series C convertible preferred stock that were outstanding as of March 31, 2016, with an exercise price of $0.65 per share, that do not expire upon the closing of this offering.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As of March 31, 2016, our pro forma net tangible book value was approximately $40.2 million, or $0.41 per share of common stock. Our pro forma net tangible book value per share represents the amount of our total tangible assets reduced by the amount of our total liabilities and divided by the total number of shares of our common stock outstanding as of March 31, 2016, assuming (i) the automatic conversion of all outstanding shares of our convertible preferred stock as of March 31, 2016 into 80,645,051 shares of common stock as of immediately prior to the closing of this offering and (ii) the conversion of the preferred stock warrants into common stock warrants and the related reclassification of the preferred stock warrant liability to additional paid-in capital.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3920" w:type="dxa"/>
            <w:vAlign w:val="bottom"/>
            <w:gridSpan w:val="3"/>
          </w:tcPr>
          <w:p>
            <w:pPr>
              <w:ind w:left="180"/>
              <w:spacing w:after="0"/>
              <w:rPr>
                <w:sz w:val="20"/>
                <w:szCs w:val="20"/>
                <w:color w:val="auto"/>
              </w:rPr>
            </w:pPr>
            <w:r>
              <w:rPr>
                <w:rFonts w:ascii="Arial" w:cs="Arial" w:eastAsia="Arial" w:hAnsi="Arial"/>
                <w:sz w:val="18"/>
                <w:szCs w:val="18"/>
                <w:color w:val="auto"/>
              </w:rPr>
              <w:t>After giving effect to our sale in this offering of</w:t>
            </w:r>
          </w:p>
        </w:tc>
        <w:tc>
          <w:tcPr>
            <w:tcW w:w="5860" w:type="dxa"/>
            <w:vAlign w:val="bottom"/>
            <w:gridSpan w:val="6"/>
          </w:tcPr>
          <w:p>
            <w:pPr>
              <w:ind w:left="280"/>
              <w:spacing w:after="0"/>
              <w:rPr>
                <w:sz w:val="20"/>
                <w:szCs w:val="20"/>
                <w:color w:val="auto"/>
              </w:rPr>
            </w:pPr>
            <w:r>
              <w:rPr>
                <w:rFonts w:ascii="Arial" w:cs="Arial" w:eastAsia="Arial" w:hAnsi="Arial"/>
                <w:sz w:val="18"/>
                <w:szCs w:val="18"/>
                <w:color w:val="auto"/>
                <w:w w:val="94"/>
              </w:rPr>
              <w:t>shares of our common stock at an assumed initial public offering price of $</w:t>
            </w:r>
          </w:p>
        </w:tc>
        <w:tc>
          <w:tcPr>
            <w:tcW w:w="1340" w:type="dxa"/>
            <w:vAlign w:val="bottom"/>
          </w:tcPr>
          <w:p>
            <w:pPr>
              <w:ind w:left="360"/>
              <w:spacing w:after="0"/>
              <w:rPr>
                <w:sz w:val="20"/>
                <w:szCs w:val="20"/>
                <w:color w:val="auto"/>
              </w:rPr>
            </w:pPr>
            <w:r>
              <w:rPr>
                <w:rFonts w:ascii="Arial" w:cs="Arial" w:eastAsia="Arial" w:hAnsi="Arial"/>
                <w:sz w:val="18"/>
                <w:szCs w:val="18"/>
                <w:color w:val="auto"/>
                <w:w w:val="86"/>
              </w:rPr>
              <w:t>per share, the</w:t>
            </w:r>
          </w:p>
        </w:tc>
        <w:tc>
          <w:tcPr>
            <w:tcW w:w="0" w:type="dxa"/>
            <w:vAlign w:val="bottom"/>
          </w:tcPr>
          <w:p>
            <w:pPr>
              <w:spacing w:after="0"/>
              <w:rPr>
                <w:sz w:val="1"/>
                <w:szCs w:val="1"/>
                <w:color w:val="auto"/>
              </w:rPr>
            </w:pPr>
          </w:p>
        </w:tc>
      </w:tr>
      <w:tr>
        <w:trPr>
          <w:trHeight w:val="216"/>
        </w:trPr>
        <w:tc>
          <w:tcPr>
            <w:tcW w:w="11400" w:type="dxa"/>
            <w:vAlign w:val="bottom"/>
            <w:gridSpan w:val="11"/>
          </w:tcPr>
          <w:p>
            <w:pPr>
              <w:spacing w:after="0"/>
              <w:rPr>
                <w:sz w:val="20"/>
                <w:szCs w:val="20"/>
                <w:color w:val="auto"/>
              </w:rPr>
            </w:pPr>
            <w:r>
              <w:rPr>
                <w:rFonts w:ascii="Arial" w:cs="Arial" w:eastAsia="Arial" w:hAnsi="Arial"/>
                <w:sz w:val="18"/>
                <w:szCs w:val="18"/>
                <w:color w:val="auto"/>
                <w:w w:val="95"/>
              </w:rPr>
              <w:t>midpoint of the price range set forth on the cover page of this prospectus, and after deducting estimated underwriting discounts and commissions and</w:t>
            </w:r>
          </w:p>
        </w:tc>
        <w:tc>
          <w:tcPr>
            <w:tcW w:w="0" w:type="dxa"/>
            <w:vAlign w:val="bottom"/>
          </w:tcPr>
          <w:p>
            <w:pPr>
              <w:spacing w:after="0"/>
              <w:rPr>
                <w:sz w:val="1"/>
                <w:szCs w:val="1"/>
                <w:color w:val="auto"/>
              </w:rPr>
            </w:pPr>
          </w:p>
        </w:tc>
      </w:tr>
      <w:tr>
        <w:trPr>
          <w:trHeight w:val="216"/>
        </w:trPr>
        <w:tc>
          <w:tcPr>
            <w:tcW w:w="10060" w:type="dxa"/>
            <w:vAlign w:val="bottom"/>
            <w:gridSpan w:val="10"/>
          </w:tcPr>
          <w:p>
            <w:pPr>
              <w:spacing w:after="0"/>
              <w:rPr>
                <w:sz w:val="20"/>
                <w:szCs w:val="20"/>
                <w:color w:val="auto"/>
              </w:rPr>
            </w:pPr>
            <w:r>
              <w:rPr>
                <w:rFonts w:ascii="Arial" w:cs="Arial" w:eastAsia="Arial" w:hAnsi="Arial"/>
                <w:sz w:val="18"/>
                <w:szCs w:val="18"/>
                <w:color w:val="auto"/>
                <w:w w:val="91"/>
              </w:rPr>
              <w:t>estimated offering expenses payable by us, our pro forma net tangible book value as of March 31, 2016 would have been approximately $</w:t>
            </w:r>
          </w:p>
        </w:tc>
        <w:tc>
          <w:tcPr>
            <w:tcW w:w="1340" w:type="dxa"/>
            <w:vAlign w:val="bottom"/>
          </w:tcPr>
          <w:p>
            <w:pPr>
              <w:ind w:left="420"/>
              <w:spacing w:after="0"/>
              <w:rPr>
                <w:sz w:val="20"/>
                <w:szCs w:val="20"/>
                <w:color w:val="auto"/>
              </w:rPr>
            </w:pPr>
            <w:r>
              <w:rPr>
                <w:rFonts w:ascii="Arial" w:cs="Arial" w:eastAsia="Arial" w:hAnsi="Arial"/>
                <w:sz w:val="18"/>
                <w:szCs w:val="18"/>
                <w:color w:val="auto"/>
              </w:rPr>
              <w:t>million, or</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8540" w:type="dxa"/>
            <w:vAlign w:val="bottom"/>
            <w:gridSpan w:val="6"/>
          </w:tcPr>
          <w:p>
            <w:pPr>
              <w:ind w:left="360"/>
              <w:spacing w:after="0"/>
              <w:rPr>
                <w:sz w:val="20"/>
                <w:szCs w:val="20"/>
                <w:color w:val="auto"/>
              </w:rPr>
            </w:pPr>
            <w:r>
              <w:rPr>
                <w:rFonts w:ascii="Arial" w:cs="Arial" w:eastAsia="Arial" w:hAnsi="Arial"/>
                <w:sz w:val="18"/>
                <w:szCs w:val="18"/>
                <w:color w:val="auto"/>
                <w:w w:val="91"/>
              </w:rPr>
              <w:t>per share of our common stock. This represents an immediate increase in pro forma net tangible book value of $</w:t>
            </w:r>
          </w:p>
        </w:tc>
        <w:tc>
          <w:tcPr>
            <w:tcW w:w="2580" w:type="dxa"/>
            <w:vAlign w:val="bottom"/>
            <w:gridSpan w:val="4"/>
          </w:tcPr>
          <w:p>
            <w:pPr>
              <w:ind w:left="440"/>
              <w:spacing w:after="0"/>
              <w:rPr>
                <w:sz w:val="20"/>
                <w:szCs w:val="20"/>
                <w:color w:val="auto"/>
              </w:rPr>
            </w:pPr>
            <w:r>
              <w:rPr>
                <w:rFonts w:ascii="Arial" w:cs="Arial" w:eastAsia="Arial" w:hAnsi="Arial"/>
                <w:sz w:val="18"/>
                <w:szCs w:val="18"/>
                <w:color w:val="auto"/>
              </w:rPr>
              <w:t>per share to our existing</w:t>
            </w:r>
          </w:p>
        </w:tc>
        <w:tc>
          <w:tcPr>
            <w:tcW w:w="0" w:type="dxa"/>
            <w:vAlign w:val="bottom"/>
          </w:tcPr>
          <w:p>
            <w:pPr>
              <w:spacing w:after="0"/>
              <w:rPr>
                <w:sz w:val="1"/>
                <w:szCs w:val="1"/>
                <w:color w:val="auto"/>
              </w:rPr>
            </w:pP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w w:val="98"/>
              </w:rPr>
              <w:t>stockholders and an immediate dilution of $</w:t>
            </w:r>
          </w:p>
        </w:tc>
        <w:tc>
          <w:tcPr>
            <w:tcW w:w="5380" w:type="dxa"/>
            <w:vAlign w:val="bottom"/>
            <w:gridSpan w:val="4"/>
          </w:tcPr>
          <w:p>
            <w:pPr>
              <w:jc w:val="right"/>
              <w:ind w:right="260"/>
              <w:spacing w:after="0"/>
              <w:rPr>
                <w:sz w:val="20"/>
                <w:szCs w:val="20"/>
                <w:color w:val="auto"/>
              </w:rPr>
            </w:pPr>
            <w:r>
              <w:rPr>
                <w:rFonts w:ascii="Arial" w:cs="Arial" w:eastAsia="Arial" w:hAnsi="Arial"/>
                <w:sz w:val="18"/>
                <w:szCs w:val="18"/>
                <w:color w:val="auto"/>
                <w:w w:val="95"/>
              </w:rPr>
              <w:t>per share to investors purchasing shares in this offering, as follows:</w:t>
            </w: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100" w:type="dxa"/>
            <w:vAlign w:val="bottom"/>
            <w:vMerge w:val="restart"/>
          </w:tcPr>
          <w:p>
            <w:pPr>
              <w:spacing w:after="0"/>
              <w:rPr>
                <w:sz w:val="21"/>
                <w:szCs w:val="21"/>
                <w:color w:val="auto"/>
              </w:rPr>
            </w:pPr>
          </w:p>
        </w:tc>
        <w:tc>
          <w:tcPr>
            <w:tcW w:w="6720" w:type="dxa"/>
            <w:vAlign w:val="bottom"/>
            <w:gridSpan w:val="3"/>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720" w:type="dxa"/>
            <w:vAlign w:val="bottom"/>
            <w:gridSpan w:val="3"/>
          </w:tcPr>
          <w:p>
            <w:pPr>
              <w:ind w:left="360"/>
              <w:spacing w:after="0"/>
              <w:rPr>
                <w:sz w:val="20"/>
                <w:szCs w:val="20"/>
                <w:color w:val="auto"/>
              </w:rPr>
            </w:pPr>
            <w:r>
              <w:rPr>
                <w:rFonts w:ascii="Arial" w:cs="Arial" w:eastAsia="Arial" w:hAnsi="Arial"/>
                <w:sz w:val="18"/>
                <w:szCs w:val="18"/>
                <w:color w:val="auto"/>
              </w:rPr>
              <w:t>Pro forma net tangible book value per share as of March 31, 2016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4"/>
              </w:rPr>
              <w:t>Increase in pro forma net tangible book value per share attributable to new investors</w:t>
            </w: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7820" w:type="dxa"/>
            <w:vAlign w:val="bottom"/>
            <w:gridSpan w:val="4"/>
          </w:tcPr>
          <w:p>
            <w:pPr>
              <w:ind w:left="110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Dilution per share to investors in this offering</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 $1.00 increase (decrease) in the assumed initial public offering price of $ per share, the midpoint of the price range set forth on the cover page of this prospectus, would increase (decrease) our pro forma net tangible book value, as adjusted to give effect to this offering, by $ per share, the increase (decrease) attributable to this offering by $ per share, and the dilution in pro forma as adjusted net tangible book value per share to new investors in this offering by $ per share, assuming the number of shares offered by us, as set forth on the cover page of this prospectus, remains the</w:t>
      </w:r>
    </w:p>
    <w:p>
      <w:pPr>
        <w:spacing w:after="0" w:line="2" w:lineRule="exact"/>
        <w:rPr>
          <w:sz w:val="20"/>
          <w:szCs w:val="20"/>
          <w:color w:val="auto"/>
        </w:rPr>
      </w:pPr>
    </w:p>
    <w:p>
      <w:pPr>
        <w:ind w:right="80"/>
        <w:spacing w:after="0" w:line="562" w:lineRule="auto"/>
        <w:rPr>
          <w:sz w:val="20"/>
          <w:szCs w:val="20"/>
          <w:color w:val="auto"/>
        </w:rPr>
      </w:pPr>
      <w:r>
        <w:rPr>
          <w:rFonts w:ascii="Arial" w:cs="Arial" w:eastAsia="Arial" w:hAnsi="Arial"/>
          <w:sz w:val="16"/>
          <w:szCs w:val="16"/>
          <w:color w:val="auto"/>
        </w:rPr>
        <w:t>same, and after deducting estimated underwriting discounts and commissions and estimated offering expenses payable by us. Similarly, each increase of one million shares in the number of shares offered by us in this offering would increase our pro forma as adjusted net tangible book value per share, and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dilution per share to investors in this offering, by $ per share. Each decrease of one million shares in the number of shares offered by us would decrease our pro forma as adjusted net tangible book value per share, and increase the dilution per share to investors in this offering, by $ per share.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exercise their option in full to purchase additional shares, the pro forma net tangible book value per share of our common stock after</w:t>
      </w:r>
    </w:p>
    <w:p>
      <w:pPr>
        <w:spacing w:after="0" w:line="46"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giving effect to this offering would be $</w:t>
      </w:r>
      <w:r>
        <w:rPr>
          <w:sz w:val="20"/>
          <w:szCs w:val="20"/>
          <w:color w:val="auto"/>
        </w:rPr>
        <w:tab/>
      </w:r>
      <w:r>
        <w:rPr>
          <w:rFonts w:ascii="Arial" w:cs="Arial" w:eastAsia="Arial" w:hAnsi="Arial"/>
          <w:sz w:val="16"/>
          <w:szCs w:val="16"/>
          <w:color w:val="auto"/>
        </w:rPr>
        <w:t>per share, and the dilution in net tangible book value per share to investors in this offering would be</w:t>
      </w:r>
    </w:p>
    <w:p>
      <w:pPr>
        <w:spacing w:after="0" w:line="9"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 share.</w:t>
      </w:r>
    </w:p>
    <w:p>
      <w:pPr>
        <w:spacing w:after="0" w:line="211"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color w:val="auto"/>
        </w:rPr>
        <w:t>The following table summarizes, on a pro forma as adjusted basis as of March 31, 2016 after giving effect to (i) the automatic conversion of all outstanding shares of our convertible preferred stock into 80,645,051 shares of common stock as of immediately prior to the closing of this offering and</w:t>
      </w:r>
    </w:p>
    <w:p>
      <w:pPr>
        <w:spacing w:after="0"/>
        <w:tabs>
          <w:tab w:leader="none" w:pos="1860" w:val="left"/>
          <w:tab w:leader="none" w:pos="8620" w:val="left"/>
        </w:tabs>
        <w:rPr>
          <w:sz w:val="20"/>
          <w:szCs w:val="20"/>
          <w:color w:val="auto"/>
        </w:rPr>
      </w:pPr>
      <w:r>
        <w:rPr>
          <w:rFonts w:ascii="Arial" w:cs="Arial" w:eastAsia="Arial" w:hAnsi="Arial"/>
          <w:sz w:val="18"/>
          <w:szCs w:val="18"/>
          <w:color w:val="auto"/>
        </w:rPr>
        <w:t>(ii) the issuance of</w:t>
      </w:r>
      <w:r>
        <w:rPr>
          <w:sz w:val="20"/>
          <w:szCs w:val="20"/>
          <w:color w:val="auto"/>
        </w:rPr>
        <w:tab/>
      </w:r>
      <w:r>
        <w:rPr>
          <w:rFonts w:ascii="Arial" w:cs="Arial" w:eastAsia="Arial" w:hAnsi="Arial"/>
          <w:sz w:val="18"/>
          <w:szCs w:val="18"/>
          <w:color w:val="auto"/>
        </w:rPr>
        <w:t>shares of common stock in this offering at an assumed initial public offering price of $</w:t>
      </w:r>
      <w:r>
        <w:rPr>
          <w:sz w:val="20"/>
          <w:szCs w:val="20"/>
          <w:color w:val="auto"/>
        </w:rPr>
        <w:tab/>
      </w:r>
      <w:r>
        <w:rPr>
          <w:rFonts w:ascii="Arial" w:cs="Arial" w:eastAsia="Arial" w:hAnsi="Arial"/>
          <w:sz w:val="15"/>
          <w:szCs w:val="15"/>
          <w:color w:val="auto"/>
        </w:rPr>
        <w:t>per share,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midpoint of the price range set forth on the cover page of this prospectus, the difference between existing stockholders and new investors with respect to the number of shares of common stock purchased from us, the total consideration paid to us, and the average price per share paid, before deducting underwriting discounts and commissions and estimated offering expenses payable by us: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98"/>
              </w:rPr>
              <w:t>Shares Purchased</w:t>
            </w:r>
          </w:p>
        </w:tc>
        <w:tc>
          <w:tcPr>
            <w:tcW w:w="520" w:type="dxa"/>
            <w:vAlign w:val="bottom"/>
            <w:vMerge w:val="restart"/>
          </w:tcPr>
          <w:p>
            <w:pPr>
              <w:spacing w:after="0"/>
              <w:rPr>
                <w:sz w:val="14"/>
                <w:szCs w:val="14"/>
                <w:color w:val="auto"/>
              </w:rPr>
            </w:pPr>
          </w:p>
        </w:tc>
        <w:tc>
          <w:tcPr>
            <w:tcW w:w="15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6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Borders>
              <w:bottom w:val="single" w:sz="8" w:color="auto"/>
            </w:tcBorders>
            <w:gridSpan w:val="3"/>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500" w:type="dxa"/>
            <w:vAlign w:val="bottom"/>
            <w:tcBorders>
              <w:bottom w:val="single" w:sz="8" w:color="auto"/>
            </w:tcBorders>
            <w:gridSpan w:val="3"/>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52"/>
        </w:trPr>
        <w:tc>
          <w:tcPr>
            <w:tcW w:w="6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4"/>
                <w:szCs w:val="4"/>
                <w:color w:val="auto"/>
              </w:rPr>
            </w:pPr>
          </w:p>
        </w:tc>
        <w:tc>
          <w:tcPr>
            <w:tcW w:w="980" w:type="dxa"/>
            <w:vAlign w:val="bottom"/>
            <w:gridSpan w:val="2"/>
            <w:vMerge w:val="restart"/>
          </w:tcPr>
          <w:p>
            <w:pPr>
              <w:jc w:val="right"/>
              <w:ind w:right="430"/>
              <w:spacing w:after="0"/>
              <w:rPr>
                <w:sz w:val="20"/>
                <w:szCs w:val="20"/>
                <w:color w:val="auto"/>
              </w:rPr>
            </w:pPr>
            <w:r>
              <w:rPr>
                <w:rFonts w:ascii="Arial" w:cs="Arial" w:eastAsia="Arial" w:hAnsi="Arial"/>
                <w:sz w:val="14"/>
                <w:szCs w:val="14"/>
                <w:b w:val="1"/>
                <w:bCs w:val="1"/>
                <w:color w:val="auto"/>
                <w:w w:val="85"/>
              </w:rPr>
              <w:t>Percent</w:t>
            </w:r>
          </w:p>
        </w:tc>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460" w:type="dxa"/>
            <w:vAlign w:val="bottom"/>
          </w:tcPr>
          <w:p>
            <w:pPr>
              <w:spacing w:after="0"/>
              <w:rPr>
                <w:sz w:val="4"/>
                <w:szCs w:val="4"/>
                <w:color w:val="auto"/>
              </w:rPr>
            </w:pPr>
          </w:p>
        </w:tc>
        <w:tc>
          <w:tcPr>
            <w:tcW w:w="86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w w:val="93"/>
              </w:rPr>
              <w:t>Percent</w:t>
            </w:r>
          </w:p>
        </w:tc>
        <w:tc>
          <w:tcPr>
            <w:tcW w:w="1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New public investors</w:t>
            </w:r>
          </w:p>
        </w:tc>
        <w:tc>
          <w:tcPr>
            <w:tcW w:w="7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60" w:type="dxa"/>
            <w:vAlign w:val="bottom"/>
          </w:tcPr>
          <w:p>
            <w:pPr>
              <w:ind w:left="460"/>
              <w:spacing w:after="0"/>
              <w:rPr>
                <w:sz w:val="20"/>
                <w:szCs w:val="20"/>
                <w:color w:val="auto"/>
              </w:rPr>
            </w:pPr>
            <w:r>
              <w:rPr>
                <w:rFonts w:ascii="Arial" w:cs="Arial" w:eastAsia="Arial" w:hAnsi="Arial"/>
                <w:sz w:val="18"/>
                <w:szCs w:val="18"/>
                <w:color w:val="auto"/>
                <w:w w:val="95"/>
              </w:rPr>
              <w:t>A $1.00 increase (decrease) in the assumed initial public offering price of $</w:t>
            </w:r>
          </w:p>
        </w:tc>
        <w:tc>
          <w:tcPr>
            <w:tcW w:w="5260" w:type="dxa"/>
            <w:vAlign w:val="bottom"/>
            <w:gridSpan w:val="12"/>
          </w:tcPr>
          <w:p>
            <w:pPr>
              <w:ind w:left="280"/>
              <w:spacing w:after="0"/>
              <w:rPr>
                <w:sz w:val="20"/>
                <w:szCs w:val="20"/>
                <w:color w:val="auto"/>
              </w:rPr>
            </w:pPr>
            <w:r>
              <w:rPr>
                <w:rFonts w:ascii="Arial" w:cs="Arial" w:eastAsia="Arial" w:hAnsi="Arial"/>
                <w:sz w:val="18"/>
                <w:szCs w:val="18"/>
                <w:color w:val="auto"/>
                <w:w w:val="90"/>
              </w:rPr>
              <w:t>per share, the midpoint of the price range set forth on the cover page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of this prospectus, would increase (decrease) total consideration paid by new investors and total consideration paid by all stockholders by approximately</w:t>
      </w:r>
    </w:p>
    <w:p>
      <w:pPr>
        <w:spacing w:after="0" w:line="32" w:lineRule="exact"/>
        <w:rPr>
          <w:sz w:val="20"/>
          <w:szCs w:val="20"/>
          <w:color w:val="auto"/>
        </w:rPr>
      </w:pPr>
    </w:p>
    <w:p>
      <w:pPr>
        <w:ind w:right="300" w:firstLine="8"/>
        <w:spacing w:after="0" w:line="261" w:lineRule="auto"/>
        <w:tabs>
          <w:tab w:leader="none" w:pos="6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million, assuming that the number of shares offered by us, as set forth on the cover page of this prospectus, remains the same, and after deducting estimated underwriting discounts and commissions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that any outstanding options are exercised, investors will experience further dilution.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Except as otherwise indicated, the above discussion and tables assume no exercise of the underwriters’ option to purchase additional shares. If the</w:t>
      </w:r>
    </w:p>
    <w:p>
      <w:pPr>
        <w:spacing w:after="0" w:line="35" w:lineRule="exact"/>
        <w:rPr>
          <w:sz w:val="20"/>
          <w:szCs w:val="20"/>
          <w:color w:val="auto"/>
        </w:rPr>
      </w:pPr>
    </w:p>
    <w:p>
      <w:pPr>
        <w:ind w:left="540" w:right="420" w:hanging="539"/>
        <w:spacing w:after="0" w:line="261" w:lineRule="auto"/>
        <w:rPr>
          <w:sz w:val="20"/>
          <w:szCs w:val="20"/>
          <w:color w:val="auto"/>
        </w:rPr>
      </w:pPr>
      <w:r>
        <w:rPr>
          <w:rFonts w:ascii="Arial" w:cs="Arial" w:eastAsia="Arial" w:hAnsi="Arial"/>
          <w:sz w:val="18"/>
          <w:szCs w:val="18"/>
          <w:color w:val="auto"/>
        </w:rPr>
        <w:t>underwriters exercise their option to purchase additional shares in full, our existing stockholders would own</w:t>
      </w:r>
      <w:r>
        <w:rPr>
          <w:sz w:val="20"/>
          <w:szCs w:val="20"/>
          <w:color w:val="auto"/>
        </w:rPr>
        <w:t xml:space="preserve"> </w:t>
      </w:r>
      <w:r>
        <w:rPr>
          <w:rFonts w:ascii="Arial" w:cs="Arial" w:eastAsia="Arial" w:hAnsi="Arial"/>
          <w:sz w:val="18"/>
          <w:szCs w:val="18"/>
          <w:color w:val="auto"/>
        </w:rPr>
        <w:t>% and our new investors would own % of the total number of shares of our common stock outstanding upon the closing of this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99,092,287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excludes:</w:t>
      </w:r>
    </w:p>
    <w:p>
      <w:pPr>
        <w:spacing w:after="0" w:line="116" w:lineRule="exact"/>
        <w:rPr>
          <w:sz w:val="20"/>
          <w:szCs w:val="20"/>
          <w:color w:val="auto"/>
        </w:rPr>
      </w:pPr>
    </w:p>
    <w:p>
      <w:pPr>
        <w:ind w:left="900" w:right="26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14,107,284 shares of common stock issuable upon the exercise of options outstanding as of March 31, 2016, with a weighted-average exercise price of $0.57 per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214,000 shares of common stock issuable upon the exercise of options granted after March 31, 2016, with an exercise price of $0.85 per share;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2,507,113 shares of common</w:t>
      </w:r>
    </w:p>
    <w:p>
      <w:pPr>
        <w:spacing w:after="0" w:line="46" w:lineRule="exact"/>
        <w:rPr>
          <w:sz w:val="20"/>
          <w:szCs w:val="20"/>
          <w:color w:val="auto"/>
        </w:rPr>
      </w:pPr>
    </w:p>
    <w:p>
      <w:pPr>
        <w:ind w:left="900" w:right="240"/>
        <w:spacing w:after="0" w:line="281" w:lineRule="auto"/>
        <w:rPr>
          <w:sz w:val="20"/>
          <w:szCs w:val="20"/>
          <w:color w:val="auto"/>
        </w:rPr>
      </w:pPr>
      <w:r>
        <w:rPr>
          <w:rFonts w:ascii="Arial" w:cs="Arial" w:eastAsia="Arial" w:hAnsi="Arial"/>
          <w:sz w:val="16"/>
          <w:szCs w:val="16"/>
          <w:color w:val="auto"/>
        </w:rPr>
        <w:t>stock reserved for future issuance under our 2006 Equity Incentive Plan as of March 31, 2016, (b) shares of common stock reserved for future issuance under our 2016 Equity Incentive Plan, which will become effective on the date immediately prior to the date of this prospectus</w:t>
      </w:r>
    </w:p>
    <w:p>
      <w:pPr>
        <w:spacing w:after="0" w:line="1" w:lineRule="exact"/>
        <w:rPr>
          <w:sz w:val="20"/>
          <w:szCs w:val="20"/>
          <w:color w:val="auto"/>
        </w:rPr>
      </w:pPr>
    </w:p>
    <w:p>
      <w:pPr>
        <w:ind w:left="900"/>
        <w:spacing w:after="0" w:line="292" w:lineRule="auto"/>
        <w:rPr>
          <w:sz w:val="20"/>
          <w:szCs w:val="20"/>
          <w:color w:val="auto"/>
        </w:rPr>
      </w:pPr>
      <w:r>
        <w:rPr>
          <w:rFonts w:ascii="Arial" w:cs="Arial" w:eastAsia="Arial" w:hAnsi="Arial"/>
          <w:sz w:val="16"/>
          <w:szCs w:val="16"/>
          <w:color w:val="auto"/>
        </w:rPr>
        <w:t>and (c) shares of common stock reserved for future issuance under our 2016 Employee Stock Purchase Plan, which will become effective on the date of this prospectus. Upon the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Compensation—Employee Benefit and Stock Plans”;</w:t>
      </w:r>
    </w:p>
    <w:p>
      <w:pPr>
        <w:spacing w:after="0" w:line="68" w:lineRule="exact"/>
        <w:rPr>
          <w:sz w:val="20"/>
          <w:szCs w:val="20"/>
          <w:color w:val="auto"/>
        </w:rPr>
      </w:pPr>
    </w:p>
    <w:p>
      <w:pPr>
        <w:ind w:left="900" w:right="28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Series C convertible preferred stock that were outstanding as of March 31, 2016, with an exercise price of $0.65 per share, that do not expire upon the closing of this offering.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selected statements of operations data for the years ended December 31, 2014 and 2015 and the balance sheet data as of December 31, 2014 and 2015 are derived from our audited financial statements included elsewhere in this prospectus. The selected consolidated statements of operations data for the three months ended March 31, 2015 and 2016 and the consolidated balance sheet data as of March 31, 2016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summary statements of operations data presented below for the year ended December 31, 2013 are derived from our audited financial statements not included in this prospectus. The selected consolidated financial data below should be read in conjunction with the section entitled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The selected financial data in this section are not intended to replace the financial statements and are qualified in their entirety by the financial statements and related notes included elsewhere in this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6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26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311"/>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Collaboration revenue</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15,838</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17,571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4,097</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8,614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17,304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gridSpan w:val="2"/>
          </w:tcPr>
          <w:p>
            <w:pPr>
              <w:ind w:left="1060"/>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10,968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20,893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(loss) from operations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(5,287)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(3,322)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(1,139)</w:t>
            </w:r>
          </w:p>
        </w:tc>
        <w:tc>
          <w:tcPr>
            <w:tcW w:w="0" w:type="dxa"/>
            <w:vAlign w:val="bottom"/>
          </w:tcPr>
          <w:p>
            <w:pPr>
              <w:spacing w:after="0"/>
              <w:rPr>
                <w:sz w:val="1"/>
                <w:szCs w:val="1"/>
                <w:color w:val="auto"/>
              </w:rPr>
            </w:pPr>
          </w:p>
        </w:tc>
      </w:tr>
      <w:tr>
        <w:trPr>
          <w:trHeight w:val="223"/>
        </w:trPr>
        <w:tc>
          <w:tcPr>
            <w:tcW w:w="626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0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(5,266)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060"/>
              <w:spacing w:after="0"/>
              <w:rPr>
                <w:sz w:val="20"/>
                <w:szCs w:val="20"/>
                <w:color w:val="auto"/>
              </w:rPr>
            </w:pPr>
            <w:r>
              <w:rPr>
                <w:rFonts w:ascii="Arial" w:cs="Arial" w:eastAsia="Arial" w:hAnsi="Arial"/>
                <w:sz w:val="18"/>
                <w:szCs w:val="18"/>
                <w:color w:val="auto"/>
              </w:rPr>
              <w:t>Provision for income taxes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(5,405)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Net income attributed to participating securities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(3,300)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attributed to common stockholders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(5,405)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Net income (loss) per common share: </w:t>
            </w:r>
            <w:r>
              <w:rPr>
                <w:rFonts w:ascii="Arial" w:cs="Arial" w:eastAsia="Arial" w:hAnsi="Arial"/>
                <w:sz w:val="15"/>
                <w:szCs w:val="15"/>
                <w:color w:val="auto"/>
              </w:rPr>
              <w:t>(1)</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(0.02)   $</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Weighted-average number of shares outstanding: </w:t>
            </w:r>
            <w:r>
              <w:rPr>
                <w:rFonts w:ascii="Arial" w:cs="Arial" w:eastAsia="Arial" w:hAnsi="Arial"/>
                <w:sz w:val="15"/>
                <w:szCs w:val="15"/>
                <w:color w:val="auto"/>
              </w:rPr>
              <w:t>(1)</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17,368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17,857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17,444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18,403</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Pro forma net loss per common share (unaudited): </w:t>
            </w:r>
            <w:r>
              <w:rPr>
                <w:rFonts w:ascii="Arial" w:cs="Arial" w:eastAsia="Arial" w:hAnsi="Arial"/>
                <w:sz w:val="15"/>
                <w:szCs w:val="15"/>
                <w:color w:val="auto"/>
              </w:rPr>
              <w:t>(1)</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Pro forma weighted-average number of shares outstanding (unaudited): </w:t>
            </w:r>
            <w:r>
              <w:rPr>
                <w:rFonts w:ascii="Arial" w:cs="Arial" w:eastAsia="Arial" w:hAnsi="Arial"/>
                <w:sz w:val="15"/>
                <w:szCs w:val="15"/>
                <w:color w:val="auto"/>
              </w:rPr>
              <w:t>(1)</w:t>
            </w: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77,926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99,048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80" w:hanging="452"/>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Note 2 to our annual consolidated financial statements for an explanation of the method used to calculate basic and diluted net income (loss) per common share, unaudited pro forma basic and diluted net loss per common share and the weighted-average number of shares used in the computation of the per share amounts.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r>
      <w:tr>
        <w:trPr>
          <w:trHeight w:val="162"/>
        </w:trPr>
        <w:tc>
          <w:tcPr>
            <w:tcW w:w="4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9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412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4300" w:type="dxa"/>
            <w:vAlign w:val="bottom"/>
          </w:tcPr>
          <w:p>
            <w:pPr>
              <w:spacing w:after="0"/>
              <w:rPr>
                <w:sz w:val="12"/>
                <w:szCs w:val="12"/>
                <w:color w:val="auto"/>
              </w:rPr>
            </w:pPr>
          </w:p>
        </w:tc>
        <w:tc>
          <w:tcPr>
            <w:tcW w:w="6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920" w:type="dxa"/>
            <w:vAlign w:val="bottom"/>
            <w:gridSpan w:val="2"/>
          </w:tcPr>
          <w:p>
            <w:pPr>
              <w:jc w:val="center"/>
              <w:ind w:left="93"/>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360" w:type="dxa"/>
            <w:vAlign w:val="bottom"/>
            <w:gridSpan w:val="3"/>
          </w:tcPr>
          <w:p>
            <w:pPr>
              <w:jc w:val="right"/>
              <w:ind w:right="328"/>
              <w:spacing w:after="0"/>
              <w:rPr>
                <w:sz w:val="20"/>
                <w:szCs w:val="20"/>
                <w:color w:val="auto"/>
              </w:rPr>
            </w:pPr>
            <w:r>
              <w:rPr>
                <w:rFonts w:ascii="Arial" w:cs="Arial" w:eastAsia="Arial" w:hAnsi="Arial"/>
                <w:sz w:val="18"/>
                <w:szCs w:val="18"/>
                <w:color w:val="auto"/>
              </w:rPr>
              <w:t>$ 22,188</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$ 51,684</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  49,318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36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25,065</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56,280</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54,723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Notes payable, noncurrent portion</w:t>
            </w:r>
          </w:p>
        </w:tc>
        <w:tc>
          <w:tcPr>
            <w:tcW w:w="5360" w:type="dxa"/>
            <w:vAlign w:val="bottom"/>
            <w:gridSpan w:val="3"/>
          </w:tcPr>
          <w:p>
            <w:pPr>
              <w:jc w:val="right"/>
              <w:ind w:right="328"/>
              <w:spacing w:after="0"/>
              <w:rPr>
                <w:sz w:val="20"/>
                <w:szCs w:val="20"/>
                <w:color w:val="auto"/>
              </w:rPr>
            </w:pPr>
            <w:r>
              <w:rPr>
                <w:rFonts w:ascii="Arial" w:cs="Arial" w:eastAsia="Arial" w:hAnsi="Arial"/>
                <w:sz w:val="18"/>
                <w:szCs w:val="18"/>
                <w:color w:val="auto"/>
              </w:rPr>
              <w:t>4,793</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4,903</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4,534</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536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569</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1,549</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5360" w:type="dxa"/>
            <w:vAlign w:val="bottom"/>
            <w:gridSpan w:val="3"/>
          </w:tcPr>
          <w:p>
            <w:pPr>
              <w:jc w:val="right"/>
              <w:ind w:right="328"/>
              <w:spacing w:after="0"/>
              <w:rPr>
                <w:sz w:val="20"/>
                <w:szCs w:val="20"/>
                <w:color w:val="auto"/>
              </w:rPr>
            </w:pPr>
            <w:r>
              <w:rPr>
                <w:rFonts w:ascii="Arial" w:cs="Arial" w:eastAsia="Arial" w:hAnsi="Arial"/>
                <w:sz w:val="18"/>
                <w:szCs w:val="18"/>
                <w:color w:val="auto"/>
              </w:rPr>
              <w:t>36,828</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77,516</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77,516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53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(30,835)</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(35,179)</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(35,737)</w:t>
            </w:r>
          </w:p>
        </w:tc>
      </w:tr>
      <w:tr>
        <w:trPr>
          <w:trHeight w:val="365"/>
        </w:trPr>
        <w:tc>
          <w:tcPr>
            <w:tcW w:w="4120" w:type="dxa"/>
            <w:vAlign w:val="bottom"/>
          </w:tcPr>
          <w:p>
            <w:pPr>
              <w:spacing w:after="0"/>
              <w:rPr>
                <w:sz w:val="24"/>
                <w:szCs w:val="24"/>
                <w:color w:val="auto"/>
              </w:rPr>
            </w:pPr>
          </w:p>
        </w:tc>
        <w:tc>
          <w:tcPr>
            <w:tcW w:w="4300" w:type="dxa"/>
            <w:vAlign w:val="bottom"/>
          </w:tcPr>
          <w:p>
            <w:pPr>
              <w:jc w:val="right"/>
              <w:ind w:right="2530"/>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related notes thereto included elsewhere in this prospectus. This discussion contains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We are a clinical stage biotechnology company developing first-in-class antibody product candidates focused on unmet medical needs in inflammation and immuno-oncology. We develop our product candidates using our proprietary antibody discovery technology platform called SHM-XEL, which is designed to replicate the natural process of antibody generation </w:t>
      </w:r>
      <w:r>
        <w:rPr>
          <w:rFonts w:ascii="Arial" w:cs="Arial" w:eastAsia="Arial" w:hAnsi="Arial"/>
          <w:sz w:val="16"/>
          <w:szCs w:val="16"/>
          <w:i w:val="1"/>
          <w:iCs w:val="1"/>
          <w:color w:val="auto"/>
        </w:rPr>
        <w:t>in vitro</w:t>
      </w:r>
      <w:r>
        <w:rPr>
          <w:rFonts w:ascii="Arial" w:cs="Arial" w:eastAsia="Arial" w:hAnsi="Arial"/>
          <w:sz w:val="16"/>
          <w:szCs w:val="16"/>
          <w:color w:val="auto"/>
        </w:rPr>
        <w:t>. Our platform is based upon a breakthrough understanding of somatic hypermutation, the key biological process utilized by the human immune system to generate antibodies, which enables us to rapidly develop highly functional antibody drug candidates against emerging biological targets. Our most advanced wholly-owned antibody programs, ANB020 and ANB019, bind to therapeutic targets that are genetically associated with severe inflammatory disorders. ANB020 is an antibody that inhibits the activity of interleukin-33 for the treatment of severe adult asthma and severe adult peanut allergy. We have initiated Phase 1 dosing of ANB020 in healthy volunteers in Australia under an approved CTN. ANB019 is an antibody that inhibits the interleukin-36 receptor for the treatment of rare inflammatory diseases called generalized pustular psoriasis and palmo-plantar pustular psoriasis. We plan to submit a CTN for ANB019 by the end of 2016 and commence a Phase 1 clinical trial in the first half of 2017.</w:t>
      </w:r>
    </w:p>
    <w:p>
      <w:pPr>
        <w:spacing w:after="0" w:line="167"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 Through April 30, 2016, we have raised $94.3 million from investors, including Biotechnology Value Fund, Cormorant Asset Management, Frazier Healthcare, HBM Partners, Longwood Capital Partners and Novo A/S.</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and an inflammation-focused collaboration with Celgene. Under our TESARO collaboration, a Phase 1 trial was initiated during the first quarter of 2016 to study an AnaptysBio-generated anti-PD-1 antagonist antibody (TSR-042) in patients under an Investigational New Drug application, or IND, to the U.S. Food and Drug Administration, or FDA, and a second IND was submitted to the FDA during the second quarter of 2016 to enable future clinical trials for an AnaptysBio-generated anti-TIM-3 antagonist antibody (TSR-022). Including TSR-042 and TSR-022, we expect that our collaborators will advance four AnaptysBio-generated antibodies to the clinic by the end of the first half of 2017. Through April 30, 2016, we have received non-dilutive funding of $58.0 million from our collaborators.</w:t>
      </w:r>
    </w:p>
    <w:p>
      <w:pPr>
        <w:spacing w:after="0" w:line="16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intend to continue generating additional therapeutic antibodies against emerging biological targets across various disease applications, including immuno-oncology, inflammation and other unmet medical needs. In general, our strategy is to advance our pipeline programs to key inflection points, and leverage partnerships with pharmaceutical and biotechnology companies where appropriate.</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generated multiple antibodies by using our SHM-XEL platform certain of which are currently being advanced by our partners to key preclinical, clinical and commercial milestones, which we anticipate will generate additional cash receipts for us. To the extent that these product candidates are commercialized, we will also be entitled to royalty payments upon commercial sales of the associated products.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incurred losses in each period since our inception in 2005, except for 2014 in which we received $19.0 million from two upfront payments and recognized revenue of $11.5 million during 2014 following the execution of our strategic collaboration with TESARO. Accordingly, for the year ended December 31, 2014 we reported net income of $3.5 million. As of March 31, 2016, we had an accumulated deficit of $51.6 million. We expect to continue to incur net operating losses for at least the next several years as we advance our products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through clinical development, seek regulatory approval, prepare for and, if approved, proceed to, commercialization, expand our operations and facilities and grow in new and existing markets, territories and industries. We will need substantial additional funding to pay expenses relating to our operating activities, including significant research and development expenses. Adequate funding may not be available to us on acceptable terms, or at all. Our failure to obtain sufficient funds on acceptable terms when needed could have a material adverse effect on our business, results of operations or financial condition.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840" w:firstLine="456"/>
        <w:spacing w:after="0" w:line="308" w:lineRule="auto"/>
        <w:rPr>
          <w:sz w:val="20"/>
          <w:szCs w:val="20"/>
          <w:color w:val="auto"/>
        </w:rPr>
      </w:pPr>
      <w:r>
        <w:rPr>
          <w:rFonts w:ascii="Arial" w:cs="Arial" w:eastAsia="Arial" w:hAnsi="Arial"/>
          <w:sz w:val="17"/>
          <w:szCs w:val="17"/>
          <w:color w:val="auto"/>
        </w:rPr>
        <w:t>We have not generated any revenue from product sales. Our revenue has been derived from amortization of upfront payments, research and development funding and milestone payments under collaboration and license agreements with our collaborators.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and Exclusive License Agreement with TESARO</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2014, we entered into an exclusive worldwide license and collaboration agreement with TESARO for the development and commercialization of therapeutic monospecific and bispecific antibodies that antagonize PD-1, TIM-3 and/or LAG-3. We received $17.0 million in upfront fees from TESARO in March 2014, and in November 2014, we amended the agreement with TESARO to include the development and commercialization of bispecific antibodies to another undisclosed target, for an additional upfront fee of $2.0 million. Both upfront fees are being recognized over the same period that our research and development services, for which we are reimbursed, are performed, which was extended through December 31, 2016 by amendment of the agreement in February 2016. From inception of the agreement through March 31, 2016, we have recognized $34.0 million in total revenue from TESARO.</w:t>
      </w:r>
    </w:p>
    <w:p>
      <w:pPr>
        <w:spacing w:after="0" w:line="18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For each of the four targets under the TESARO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TESARO is obligated to pay us tiered single-digit royalties on annualized net sales of each antibody commercialized from the collaboration. In June 2015, TESARO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good laboratory practices for the AnaptysBio-generated anti-PD-1 antagonist antibody resulting in us receiving a $1.0 million milestone in July 2015. In October 2015, TESARO initiated </w:t>
      </w:r>
      <w:r>
        <w:rPr>
          <w:rFonts w:ascii="Arial" w:cs="Arial" w:eastAsia="Arial" w:hAnsi="Arial"/>
          <w:sz w:val="16"/>
          <w:szCs w:val="16"/>
          <w:i w:val="1"/>
          <w:iCs w:val="1"/>
          <w:color w:val="auto"/>
        </w:rPr>
        <w:t>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vivo </w:t>
      </w:r>
      <w:r>
        <w:rPr>
          <w:rFonts w:ascii="Arial" w:cs="Arial" w:eastAsia="Arial" w:hAnsi="Arial"/>
          <w:sz w:val="16"/>
          <w:szCs w:val="16"/>
          <w:color w:val="auto"/>
        </w:rPr>
        <w:t>toxicology studies using good laboratory practices for the AnaptysBio-generated anti-TIM-3 antagonist antibody resulting in us receiving a $1.0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 in November 2015. In January 2016, TESARO received clearance of their IND from the FDA for the AnaptysBio-generated anti-PD-1 antagonist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antibody product candidate resulting in us receiving a $4.0 million milestone payment in February 2016. We expect to receive an additional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 million in preclinical and IND-related milestone payments by the end of the first half of 2017 based upon further development of the targets mentioned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Antibody Generation Agreement with Celgene Corporation</w:t>
      </w:r>
    </w:p>
    <w:p>
      <w:pPr>
        <w:spacing w:after="0" w:line="11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agreement provided for an upfront payment of $6.0 million from Celgene, which we received in 2011, milestone payments of up to $53.0 million per target, low single-digit royalties on net sales of antibodies against each target, and reimbursement of specified research and development costs. From inception of the agreement through March 31, 2016, we have recognized $8.5 million in total revenue from Celgene. For one of the two programs being advanced by Celgene, we expect to receive up to an aggregate of $1.5 million in preclinical and IND-related milestone payments by the end of 2016.</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459" w:right="3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Collaborative Agreements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are party to other collaboration agreements for which we recognized $1.7 million and $3.7 million in collaboration revenue during the years ended December 31, 2013 and 2014, respectively. We completed our obligations under these agreements in 2014 and did not recognize any additional revenue from them subsequent to the year ended December 31,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Research and development expenses consist of costs associated with our research and development activities, including drug discovery efforts and preclinical development of our programs. Our research and development expenses include:</w:t>
      </w:r>
    </w:p>
    <w:p>
      <w:pPr>
        <w:spacing w:after="0" w:line="76" w:lineRule="exact"/>
        <w:rPr>
          <w:sz w:val="20"/>
          <w:szCs w:val="20"/>
          <w:color w:val="auto"/>
        </w:rPr>
      </w:pPr>
    </w:p>
    <w:p>
      <w:pPr>
        <w:ind w:left="900" w:right="62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third-parties, such as CROs, consultants, members of our scientific and therapeutic advisory boards, and clinical manufacturers;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We are conducting research and development activities on several inflammation and immuno-oncology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conducting initial clinical trials for ANB020 and plan to conduct initial clinical trials for ANB019 in Australia to rapidly enter into first-in-human studies and benefit from research and development-related financial incentives related to the development of ANB020 and ANB019. Taking into account any financial incentives, we expect our research and development expenses to be higher in 2016 as we advance our product candidates into clinical development.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including intellectual property-related legal services.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Interest expense consists of stated interest and amortization of discounts on our outstanding notes payable relating to our Loan and Security Agreement with Oxford Finance LLC and Silicon Valley Bank, as amended, which we refer to as the Loan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Liability for Preferred Stock Warrants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Income and expense from the change in fair value of our liability for preferred stock warrants is from the valuation of our outstanding warrants to purchase shares of our preferred stock, which is valued at each period end. Upon the closing of our initial public offering, the warrants to purchase shares of preferred stock will convert into warrants to purchase shares of common stock, the preferred stock warrant liabilities will be reclassified to additional paid-in capital and periodic fair value adjustments will no longer be recorded.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 and Research and Development Tax Credit Carryforwards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From our inception through December 31, 2013, we accumulated net operating losses, or NOLs. We generated taxable income in the United States for the years ended December 31, 2014 and 2015 as a result of our collaboration agreement with TESARO as well as expenses incurred by our Australian subsidiary which are not deductible for U.S. income tax purposes. While we utilized NOLs in 2014 and 2015, we continue to have a valuation allowance against our net deferred tax assets due to the uncertainty of the realization of such assets.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March 31, 2016, we had federal and state NOL carryforwards of $34.5 million and $41.5 million, respectively. The federal and state NOLs will begin to expire in 2028 and 2017, respectively, unless previously utilized. At March 31, 2016, we had federal and California research tax credit carryforwards of $1.4 million and $1.7 million, respectively. The federal research tax credit carryforward will begin to expire in 2026 and the California state credits carry forward indefinitely.</w:t>
      </w:r>
    </w:p>
    <w:p>
      <w:pPr>
        <w:spacing w:after="0" w:line="18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an IRC Section 382/383 analysis through December 31, 2014 and determined that there was an ownership change in 2007 that may limit the utilization of approximately $5.3 million and $5.4 million in Federal and state NOLs, respectively, and</w:t>
      </w:r>
    </w:p>
    <w:p>
      <w:pPr>
        <w:spacing w:after="0" w:line="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$0.2 million in both Federal and state research tax credits. If a change in ownership occurs as a result of this offering, additional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7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Multiple-Element Revenue Arrangements</w:t>
      </w:r>
      <w:r>
        <w:rPr>
          <w:rFonts w:ascii="Arial" w:cs="Arial" w:eastAsia="Arial" w:hAnsi="Arial"/>
          <w:sz w:val="16"/>
          <w:szCs w:val="16"/>
          <w:color w:val="auto"/>
        </w:rPr>
        <w:t>. 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6" w:lineRule="exact"/>
        <w:rPr>
          <w:sz w:val="20"/>
          <w:szCs w:val="20"/>
          <w:color w:val="auto"/>
        </w:rPr>
      </w:pPr>
    </w:p>
    <w:p>
      <w:pPr>
        <w:ind w:left="900" w:right="120" w:hanging="325"/>
        <w:spacing w:after="0" w:line="25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License Arrangements. The deliverables under our collaboration and license agreements generally include exclusive or nonexclusive licenses to 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 or items, which is generally the period over which we provide research and developments services.</w:t>
      </w:r>
    </w:p>
    <w:p>
      <w:pPr>
        <w:spacing w:after="0" w:line="93" w:lineRule="exact"/>
        <w:rPr>
          <w:rFonts w:ascii="Arial" w:cs="Arial" w:eastAsia="Arial" w:hAnsi="Arial"/>
          <w:sz w:val="18"/>
          <w:szCs w:val="18"/>
          <w:color w:val="auto"/>
        </w:rPr>
      </w:pPr>
    </w:p>
    <w:p>
      <w:pPr>
        <w:ind w:left="900" w:right="100" w:hanging="325"/>
        <w:spacing w:after="0" w:line="297"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Research and Development Services. The deliverables under our collaboration and license arrangements may include research and development 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i w:val="1"/>
          <w:iCs w:val="1"/>
          <w:color w:val="auto"/>
        </w:rPr>
        <w:t xml:space="preserve">Milestone Revenue. </w:t>
      </w:r>
      <w:r>
        <w:rPr>
          <w:rFonts w:ascii="Arial" w:cs="Arial" w:eastAsia="Arial" w:hAnsi="Arial"/>
          <w:sz w:val="17"/>
          <w:szCs w:val="17"/>
          <w:color w:val="auto"/>
        </w:rPr>
        <w:t>Our collaboration and license agreements generally include contingent contractual payments related to achievement of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development and regulatory milestones and sales-based milestones that are dependent upon the performance of the licensor or collaborator.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us. Contingent consideration for which payment is either contingent solely upon the passage of time or the result of a counterparty’s performance is not considered substantive.</w:t>
      </w:r>
    </w:p>
    <w:p>
      <w:pPr>
        <w:spacing w:after="0" w:line="178"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We recognize consideration that is contingent upon the achievement of a milestone in its entirety as revenue in the period in which the milestone is achieved only if the milestone is substantive in its entirety. A milestone is considered substantive when it meets all of the following criteria:</w:t>
      </w:r>
    </w:p>
    <w:p>
      <w:pPr>
        <w:spacing w:after="0" w:line="29" w:lineRule="exact"/>
        <w:rPr>
          <w:sz w:val="20"/>
          <w:szCs w:val="20"/>
          <w:color w:val="auto"/>
        </w:rPr>
      </w:pPr>
    </w:p>
    <w:p>
      <w:pPr>
        <w:ind w:left="90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consideration is commensurate with either the entity’s performance to achieve the milestone or the enhancement of the value of the delivered item(s) as a result of a specific outcome resulting from the entity’s performance to achieve the milestone;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Milestones that are not considered substantive are generally recognized in the same manner as the undelivered item(s), which is generally the period over which we provide research and development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9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6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expense the fair value of stock awards to employees, net of estimated forfeitures, adjusted to reflect actual forfeitures, over the requisite service period, which is typically the vesting period. We estimate the fair value of options granted to employees at the date of grant using the Black-Scholes option-pricing model that requires management to apply judgment and make estimates, including:</w:t>
      </w:r>
    </w:p>
    <w:p>
      <w:pPr>
        <w:spacing w:after="0" w:line="87" w:lineRule="exact"/>
        <w:rPr>
          <w:sz w:val="20"/>
          <w:szCs w:val="20"/>
          <w:color w:val="auto"/>
        </w:rPr>
      </w:pPr>
    </w:p>
    <w:p>
      <w:pPr>
        <w:ind w:left="900" w:right="260" w:hanging="325"/>
        <w:spacing w:after="0" w:line="34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fair value of the underlying common shares</w:t>
      </w:r>
      <w:r>
        <w:rPr>
          <w:rFonts w:ascii="Arial" w:cs="Arial" w:eastAsia="Arial" w:hAnsi="Arial"/>
          <w:sz w:val="16"/>
          <w:szCs w:val="16"/>
          <w:color w:val="auto"/>
        </w:rPr>
        <w:t>, as approved by our board of directors, which was determined using the option-pricing method, or</w:t>
      </w:r>
      <w:r>
        <w:rPr>
          <w:rFonts w:ascii="Arial" w:cs="Arial" w:eastAsia="Arial" w:hAnsi="Arial"/>
          <w:sz w:val="16"/>
          <w:szCs w:val="16"/>
          <w:i w:val="1"/>
          <w:iCs w:val="1"/>
          <w:color w:val="auto"/>
        </w:rPr>
        <w:t xml:space="preserve"> </w:t>
      </w:r>
      <w:r>
        <w:rPr>
          <w:rFonts w:ascii="Arial" w:cs="Arial" w:eastAsia="Arial" w:hAnsi="Arial"/>
          <w:sz w:val="16"/>
          <w:szCs w:val="16"/>
          <w:color w:val="auto"/>
        </w:rPr>
        <w:t>OPM, in periods through December 31, 2014, and the probability-weighted expected return method, or PWERM, beginning March 31, 2015;</w:t>
      </w:r>
    </w:p>
    <w:p>
      <w:pPr>
        <w:spacing w:after="0" w:line="29"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which is based on observed interest rates appropriate for the expected term of the stock option grants, historically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constant maturities;</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which is calculated based on reported volatility data for a representative peer group of publicly traded biotechnology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which historical information is available. Because we are privately held as of the date of these financial statements, we do not have relevant historical data to support our expected volatility;</w:t>
      </w:r>
    </w:p>
    <w:p>
      <w:pPr>
        <w:spacing w:after="0" w:line="86"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which is zero as we have never paid cash dividends and do not expect to pay any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which we calculate using the simplified method, which defines the life as the average of the contractual term of the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weighted average vesting period for all option tranches, as we have insufficient historical information regarding our stock options to provide a basis for an estimate.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computed the fair value of stock options at the date of grant using the following assumptions: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25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70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71.0%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66.8%</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71.2%</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6.1</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6.1</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$0.06</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$0.15</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$0.64</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0 stock options granted in each of the three months ended March 31, 2015 and 2016.</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Stock-based compensation expense related to unvested stock option grants not yet recognized as of March 31, 2016 was $3.4 million and the weighted average period over which these grants are expected to vest is 3.0 years. We expect to continue to grant stock options in the future, and to the extent we do, our actual stock-based compensation expense recognized in future periods will likely increase.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or Practice Aid. Once a public trading market for our common stock has been established in connection with the closing of this offering, it will no longer be necessary for us to estimate the fair value of our common stock in connection with our accounting for stock options and restricted stock, as the fair value of our common stock will be its trading price on the Nasdaq Global Select Market.</w:t>
      </w:r>
    </w:p>
    <w:p>
      <w:pPr>
        <w:spacing w:after="0" w:line="193"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b w:val="1"/>
          <w:bCs w:val="1"/>
          <w:i w:val="1"/>
          <w:iCs w:val="1"/>
          <w:color w:val="auto"/>
        </w:rPr>
        <w:t xml:space="preserve">Common Stock Valuation Methodologies. </w:t>
      </w:r>
      <w:r>
        <w:rPr>
          <w:rFonts w:ascii="Arial" w:cs="Arial" w:eastAsia="Arial" w:hAnsi="Arial"/>
          <w:sz w:val="17"/>
          <w:szCs w:val="17"/>
          <w:color w:val="auto"/>
        </w:rPr>
        <w:t>Our contemporaneous and retrospective valuations were prepared in accordance with the guidelines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66"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We used the market approach as this approach is based on the assumption that the value of an asset, including a company, is equal to the value of a substitute asset with the same characteristics. Therefore, the value of an asset can be inferred by finding similar assets, or an interest in similar assets, that have been sold in recent arm’s-length transactions. The following market approaches were considered in our valuations:</w:t>
      </w:r>
    </w:p>
    <w:p>
      <w:pPr>
        <w:spacing w:after="0" w:line="67" w:lineRule="exact"/>
        <w:rPr>
          <w:sz w:val="20"/>
          <w:szCs w:val="20"/>
          <w:color w:val="auto"/>
        </w:rPr>
      </w:pPr>
    </w:p>
    <w:p>
      <w:pPr>
        <w:ind w:left="900" w:right="80" w:hanging="325"/>
        <w:spacing w:after="0" w:line="256"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Guideline Public Company Method. </w:t>
      </w:r>
      <w:r>
        <w:rPr>
          <w:rFonts w:ascii="Arial" w:cs="Arial" w:eastAsia="Arial" w:hAnsi="Arial"/>
          <w:sz w:val="18"/>
          <w:szCs w:val="18"/>
          <w:color w:val="auto"/>
        </w:rPr>
        <w:t>The guideline public company method, or GPC method, compares the subject company with guideline</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companies. Valuation multiples are calculated from selected guideline companies to provide an indication of how much a current investor in the marketplace would be willing to pay for a company with characteristics similar (such as similar business, size, geographic region, and other operating characteristics) to the subject company. These valuation multiples are evaluated and adjusted based on the strengths and weaknesses of the subject company relative to the selected guideline companies. Finally, the multiples are applied to the subject company’s operating data to arrive at an indication of fair market value.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140" w:hanging="325"/>
        <w:spacing w:after="0" w:line="281"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Similar Transaction Method. </w:t>
      </w:r>
      <w:r>
        <w:rPr>
          <w:rFonts w:ascii="Arial" w:cs="Arial" w:eastAsia="Arial" w:hAnsi="Arial"/>
          <w:sz w:val="17"/>
          <w:szCs w:val="17"/>
          <w:color w:val="auto"/>
        </w:rPr>
        <w:t>The similar transaction method, or ST method, relies on data of actual transactions, such as mergers and</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acquisitions or completed initial public offerings, that have occurred in the subject company’s industry or in related industries. As in the GPC method, valuation multiples are developed and applied to the subject company’s operating data to estimate fair value. Again, the ST method can be used if there are recent transactions involving companies similar to the subject company.</w:t>
      </w:r>
    </w:p>
    <w:p>
      <w:pPr>
        <w:spacing w:after="0" w:line="16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Methods Used to Allocate Our Enterprise Value to Classes of Securities</w:t>
      </w:r>
      <w:r>
        <w:rPr>
          <w:rFonts w:ascii="Arial" w:cs="Arial" w:eastAsia="Arial" w:hAnsi="Arial"/>
          <w:sz w:val="18"/>
          <w:szCs w:val="18"/>
          <w:color w:val="auto"/>
        </w:rPr>
        <w:t>. In accordance with the Practice Aid, we considered the various methods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allocating the enterprise value across our classes and series of capital stock to determine the fair value of our common stock at each valuation date. The methods we utilized consisted of the following:</w:t>
      </w:r>
    </w:p>
    <w:p>
      <w:pPr>
        <w:spacing w:after="0" w:line="83" w:lineRule="exact"/>
        <w:rPr>
          <w:sz w:val="20"/>
          <w:szCs w:val="20"/>
          <w:color w:val="auto"/>
        </w:rPr>
      </w:pPr>
    </w:p>
    <w:p>
      <w:pPr>
        <w:ind w:left="900" w:right="320" w:hanging="325"/>
        <w:spacing w:after="0" w:line="347"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Option Pricing Method. </w:t>
      </w:r>
      <w:r>
        <w:rPr>
          <w:rFonts w:ascii="Arial" w:cs="Arial" w:eastAsia="Arial" w:hAnsi="Arial"/>
          <w:sz w:val="16"/>
          <w:szCs w:val="16"/>
          <w:color w:val="auto"/>
        </w:rPr>
        <w:t>Under OPM, shares are valued by creating a series of call options with exercise prices based on the liquidation</w:t>
      </w:r>
      <w:r>
        <w:rPr>
          <w:rFonts w:ascii="Arial" w:cs="Arial" w:eastAsia="Arial" w:hAnsi="Arial"/>
          <w:sz w:val="16"/>
          <w:szCs w:val="16"/>
          <w:b w:val="1"/>
          <w:bCs w:val="1"/>
          <w:color w:val="auto"/>
        </w:rPr>
        <w:t xml:space="preserve"> </w:t>
      </w:r>
      <w:r>
        <w:rPr>
          <w:rFonts w:ascii="Arial" w:cs="Arial" w:eastAsia="Arial" w:hAnsi="Arial"/>
          <w:sz w:val="16"/>
          <w:szCs w:val="16"/>
          <w:color w:val="auto"/>
        </w:rPr>
        <w:t>preferences and conversion terms of each equity class. The values of the preferred and common stock are inferred by analyzing these options.</w:t>
      </w:r>
    </w:p>
    <w:p>
      <w:pPr>
        <w:spacing w:after="0" w:line="21" w:lineRule="exact"/>
        <w:rPr>
          <w:rFonts w:ascii="Arial" w:cs="Arial" w:eastAsia="Arial" w:hAnsi="Arial"/>
          <w:sz w:val="16"/>
          <w:szCs w:val="16"/>
          <w:color w:val="auto"/>
        </w:rPr>
      </w:pPr>
    </w:p>
    <w:p>
      <w:pPr>
        <w:ind w:left="900" w:hanging="325"/>
        <w:spacing w:after="0" w:line="26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Probability-Weighted Expected Return Method</w:t>
      </w:r>
      <w:r>
        <w:rPr>
          <w:rFonts w:ascii="Arial" w:cs="Arial" w:eastAsia="Arial" w:hAnsi="Arial"/>
          <w:sz w:val="18"/>
          <w:szCs w:val="18"/>
          <w:color w:val="auto"/>
        </w:rPr>
        <w:t>. PWERM is a scenario based analysis that estimates the value per share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probability-weighted present value of expected future investment returns, considering each of the possible outcomes available to us, as well as the economic and control rights of each share class.</w:t>
      </w:r>
    </w:p>
    <w:p>
      <w:pPr>
        <w:spacing w:after="0" w:line="18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Our per share common stock value was estimated by allocating the equity value using the OPM at each valuation date up through December 31, 2014. Starting from our March 31, 2015 contemporaneous valuation, we used the PWERM to allocate the equity value to each element of our capital structure, including our common stock. For both approaches, we applied a discount to the valuations due to the lack of marketability of the ordinary shares. We calculated the discount for lack of marketability using a strike put option model and applied it as appropriate to each allocation.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account for warrants for shares of preferred stock with conversion features that provide for adjustments in the warrant price as derivative liabilities in the accompanying consolidated balance sheets at their fair value on the date of issuance. The derivative liabilities are revalued at each balance sheet date until such instruments, so long as they remain exercisable for shares of preferred stock, are exercised or expire, with changes in the fair value between reporting periods recorded as other income or expense.</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use the Black-Scholes option pricing model to estimate the fair value of the preferred stock warrant liabilities. Inputs we used in the Black-Scholes option pricing model to determine estimated fair value include the estimated fair value of the underlying convertible preferred stock at the valuation measurement date, the remaining contractual term of the warrants, risk-free interest rates, expected dividends and the expected volatility of the price of the underlying convertible preferred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outlines a single comprehensive model for entities to use in accounting for revenue from contracts with customers and supersedes most current revenue recognition guidance in FASB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ASU 2014-09 becomes effective for our annual reporting period beginning January 1, 2018, including interim periods within that reporting period, with adoption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which intends to enhance the reporting model for financial instruments by providing users of financial instruments with more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are currently assessing the impact that this standard will have on our consolidated financial statements.</w:t>
      </w:r>
    </w:p>
    <w:p>
      <w:pPr>
        <w:spacing w:after="0" w:line="17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assessing the impact that this standard will have on our consolidated financial statements.</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is intended to simplify the accounting for share-based payments including forfeiture rates, expected option terms, intrinsic value,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 they relate to awards, and cash flow presentation. ASU 2016-09 becomes effective for our annual reporting period beginning January 1, 2017, including interim periods thereafter; early adoption is permitted. We are currently assessing the impact that this standard will have on our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JOBS Act</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w:t>
      </w:r>
    </w:p>
    <w:p>
      <w:pPr>
        <w:spacing w:after="0" w:line="154"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We intend to take advantage of the reduced reporting requirements and to rely on certain other exemptions provided by the JOBS Act. Subject to certain conditions set forth in the JOBS Act, as an “emerging growth company,” the exemptions that we may rely on include, without limitation:</w:t>
      </w:r>
    </w:p>
    <w:p>
      <w:pPr>
        <w:spacing w:after="0" w:line="29" w:lineRule="exact"/>
        <w:rPr>
          <w:sz w:val="20"/>
          <w:szCs w:val="20"/>
          <w:color w:val="auto"/>
        </w:rPr>
      </w:pPr>
    </w:p>
    <w:p>
      <w:pPr>
        <w:ind w:left="900" w:right="2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42"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2015 and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Collaboration revenue was $4.1 million and $4.9 million during the three months ended March 31, 2015 and 2016, respectively. A comparison of revenue by collaborator is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8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940" w:type="dxa"/>
            <w:vAlign w:val="bottom"/>
          </w:tcPr>
          <w:p>
            <w:pPr>
              <w:spacing w:after="0"/>
              <w:rPr>
                <w:sz w:val="14"/>
                <w:szCs w:val="14"/>
                <w:color w:val="auto"/>
              </w:rPr>
            </w:pPr>
          </w:p>
        </w:tc>
        <w:tc>
          <w:tcPr>
            <w:tcW w:w="18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Ended March 31,</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694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2016</w:t>
            </w:r>
          </w:p>
        </w:tc>
        <w:tc>
          <w:tcPr>
            <w:tcW w:w="44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TESARO-amortization of upfront payments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$2,500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1,597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1,190</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TESARO-milestone</w:t>
            </w:r>
          </w:p>
        </w:tc>
        <w:tc>
          <w:tcPr>
            <w:tcW w:w="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2,941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w:t>
            </w: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4,097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4,866</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During the first and fourth quarter of 2014 we received $17.0 million and $2.0 million, respectively, in upfront fees under our collaboration and exclusive license agreement with TESARO. For the three months ended March 31, 2015 and 2016, we recognized the amortized portion of these upfront fees in the amounts of $2.5 million and $0.7 million, respectively. Originally, the upfront fees were to be recognized ratably through March 2016, however, in December 2015, we determined that the research and development services would be extended through December 31, 2016, so the upfront fees will continue to be recognized ratably through December 31, 2016. We also recognized revenue of $1.6 million and $1.2 million during the three months ended March 31, 2015 and 2016, respectively, for research and development services performed under the agreement. In January 2016, TESARO received clearance of their IND from the FDA for the AnaptysBio-generated anti-PD-1 antagonist antibody product candidate resulting in us earning a $4.0 million milestone payment. We recognized $2.9 million of the $4.0 million milestone payment as revenue during the three months ended March 31, 2016. The remaining unrecognized milestone payment of $1.1 million at March 31, 2016 will be recognized ratably through December 31, 2016. The $4.0 million milestone payment was received in February 2016. We expect that any collaboration revenue we generate will continue to fluctuate from period to period as a result of the timing and amount of milestones and other payments from our existing collaborations.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Research and development expenses were $3.1 million and $4.8 million during the three months ended March 31, 2015 and 2016, respectively, for an increase of $1.7 million. The increase was due primarily to a $1.0 million increase in outside services for preclinical trial work, a $0.4 million increase in clinical trial work performed in Australia, as well as a $0.4 million increase in salaries and related expenses resulting primarily from an increase in research and development personnel.</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expect our research and development expenses to increase as we advance our development programs further and, in particular, as we enter into clinical trials.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General and administrative expenses were $0.7 million and $1.2 million during the three months ended March 31, 2015 and 2016, respectively, for an increase of $0.5 million. The increase was due primarily to a $0.4 million increase in salaries and related expenses for new senior level positions, and a $0.1 million increase in audit and tax fees for additional quarterly and annual services required in preparation for our initial public offering.</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expense was $0.1 million during each of the three months ended March 31, 2015 and 2016, respectively. The interest expense represents effective interest of 9.25% and 9.29% during the three months ended March 31, 2015 and 2016, respectively, on our outstanding Term A Loans, which had an outstanding principal balance of $5.0 million as of March 31, 2015 and 2016.</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$0.6 million and income of $0.4 million during the three months ended March 31, 2015 and 2016, respectively, due to changes in the valuation of our Series C convertible preferred stock which impacts the estimated fair value of the warrants.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Other income (expense) was ($13,000) during the three months ended March 31, 2016 and primarily consisted of a foreign exchange loss of ($35,000) related to our Australian subsidiary, which was established in March 2015. This loss was offset by $22,000 in interest income.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2014 and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Collaboration revenue was $15.8 million and $17.6 million during the years ended December 31, 2014 and 2015, respectively. A comparison of revenue by collaborator is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tcPr>
          <w:p>
            <w:pPr>
              <w:jc w:val="right"/>
              <w:ind w:right="105"/>
              <w:spacing w:after="0"/>
              <w:rPr>
                <w:sz w:val="20"/>
                <w:szCs w:val="20"/>
                <w:color w:val="auto"/>
              </w:rPr>
            </w:pPr>
            <w:r>
              <w:rPr>
                <w:rFonts w:ascii="Arial" w:cs="Arial" w:eastAsia="Arial" w:hAnsi="Arial"/>
                <w:sz w:val="14"/>
                <w:szCs w:val="14"/>
                <w:b w:val="1"/>
                <w:bCs w:val="1"/>
                <w:color w:val="auto"/>
                <w:w w:val="98"/>
              </w:rPr>
              <w:t>Year</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71"/>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ind w:left="80"/>
              <w:spacing w:after="0"/>
              <w:rPr>
                <w:sz w:val="20"/>
                <w:szCs w:val="20"/>
                <w:color w:val="auto"/>
              </w:rPr>
            </w:pPr>
            <w:r>
              <w:rPr>
                <w:rFonts w:ascii="Arial" w:cs="Arial" w:eastAsia="Arial" w:hAnsi="Arial"/>
                <w:sz w:val="14"/>
                <w:szCs w:val="14"/>
                <w:b w:val="1"/>
                <w:bCs w:val="1"/>
                <w:color w:val="auto"/>
              </w:rPr>
              <w:t>Ended December 31,</w:t>
            </w:r>
          </w:p>
        </w:tc>
        <w:tc>
          <w:tcPr>
            <w:tcW w:w="2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vMerge w:val="continue"/>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TESARO-amortization of upfront payments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4,568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6,480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TESARO-milestone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Momenta</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3,100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(3,100)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Celgene Corporation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15,838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17,571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During the first and fourth quarter of 2014 we received $17.0 million and $2.0 million, respectively, in upfront fees under our collaboration and exclusive license agreement with TESARO. For the years ended December 31, 2014 and 2015, we recognized the amortized portion of these upfront fees in the amounts of $7.0 million and $9.4 million, respectively. Originally, the upfront fees were to be recognized ratably through March 2016, however, in December 2015, we determined that the research and development services would be extended through December 31, 2016, so the upfront fees will continue to be recognized ratably through December 31, 2016. We also recognized revenue of $4.6 million and $6.5 million during the years ended December 31, 2014 and 2015, respectively, for research and development services performed under the agreement. We recognized revenue of $1.7 million during the year ended December 31, 2015, for the achievement of two $1.0 million milestones upon initiation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under the principles of good laboratory practice, using the AnaptysBio-generated anti-PD-1 antagonist antibody (TSR-042) and the AnaptysBio-generated anti-TIM-3 antagonist antibody (TSR-</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022), each being advanced by TESARO. The remaining unrecognized milestone payments of $0.3 million at December 31, 2015 will be recognized ratably through December 2016.</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September 2014, we successfully completed our collaboration with Momenta for which we earned a success fee.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we recognized revenue from Momenta of $3.1 million, which relates to a $2.0 million success fee and $1.1 million in amortization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upfront fee.</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final deliverable under our 2011 antibody generation agreement with Celgene was completed in 2014. During the year ended December 31, 2014, we recognized revenue of $0.6 million, which relates to $0.5 million for a success fee and $92,000 for research and development services performed under this agreement.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a party to other collaboration agreements for which in the year ended December 31, 2014 we recognized $0.6 million in collaboration revenue. We completed our obligations under these agreements in 2014 and do not anticipate any additional revenue from them beyond 2014, and we did not recognize any additional revenue from them during the year ended December 31,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Research and development expenses were $8.6 million and $17.3 million during the years ended December 31, 2014 and 2015, respectively, for an increase of $8.7 million. The increase is due primarily to a $6.6 million increase in outside services for preclinical trial work performed primarily in Australia, as well as a $1.7 million increase in salaries and related expenses resulting primarily from an increase in research and development personnel.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General and administrative expenses were $2.4 million and $3.6 million during the years ended December 31, 2014 and 2015, respectively, for an increase of $1.2 million. The increase is due primarily to a $0.7 million increase in salaries and related expenses for new senior level positions, and a $0.4 million increase in audit and tax fees for additional quarterly and annual services required in preparation for our initial public offering.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Interest expense was $1.3 million and $0.5 million during the years ended December 31, 2014 and 2015, respectively, for a decrease of $0.8 million. The interest expense for the year ended December 31, 2014 represents stated interest of 10.0% on our convertible promissory notes principal of $2.0 million, as well as the write-off of the remaining discount on our convertible promissory notes upon conversion of the notes into shares of Series C-1 preferred stock. The interest expense for the year ended December 31, 2015 represents effective interest of 9.25% on our outstanding Term A Loans, which had an outstanding principal balance of $5.0 million as of December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$59,000 and $1.3 million during the years ended December 31, 2014 and 2015, respectively, due to an increase in the valuation of our Series C convertible preferred stock which had the effect of increasing the estimated fair value of the warrants.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Other income (expense) was ($0.2) million during the year ended December 31, 2015 and primarily consisted of a foreign exchange loss of ($0.2) million related to our Australian subsidiary, which was established in March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recorded a provision for income taxes of $0.1 million during the year ended December 31, 2015 related to alternative minimum taxes, which we were not subject to during the year ended December 31, 2014.</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00"/>
          </w:cols>
          <w:pgMar w:left="240" w:top="459"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2013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Collaboration revenue was $5.5 million and $15.8 million during 2013 and 2014, respectively, an increase of $10.4 million. Our license and collaboration agreement with TESARO accounted for the majority of the increase in collaboration revenue during 2014. A comparison of revenue by collaborator is as follows: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9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TESARO-</w:t>
            </w: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upfront payments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6,980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TESARO-funding of 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4,568</w:t>
            </w:r>
          </w:p>
        </w:tc>
        <w:tc>
          <w:tcPr>
            <w:tcW w:w="12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4,568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Momenta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3,100</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Celgene Corporation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3,746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1"/>
              </w:rPr>
              <w:t>(3,154)</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(1,139)</w:t>
            </w:r>
          </w:p>
        </w:tc>
        <w:tc>
          <w:tcPr>
            <w:tcW w:w="0" w:type="dxa"/>
            <w:vAlign w:val="bottom"/>
          </w:tcPr>
          <w:p>
            <w:pPr>
              <w:spacing w:after="0"/>
              <w:rPr>
                <w:sz w:val="1"/>
                <w:szCs w:val="1"/>
                <w:color w:val="auto"/>
              </w:rPr>
            </w:pPr>
          </w:p>
        </w:tc>
      </w:tr>
      <w:tr>
        <w:trPr>
          <w:trHeight w:val="223"/>
        </w:trPr>
        <w:tc>
          <w:tcPr>
            <w:tcW w:w="68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5,483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15,838</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During 2014, we received an aggregate of $19.0 million in upfront fees under our collaboration and exclusive license agreement with TESARO, which were deferred and are recognized ratably through March 2016. We also recognized revenue of $4.6 million during 2014 for research and development services performed under the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September 2014, we successfully completed our collaboration with Momenta for which we earned a success fee.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we recognized revenue from Momenta of $3.1 million, which relates to a $2.0 million success fee and $1.1 million in amortization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upfront fee.</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our antibody generation agreement with Celgene, we recognized revenue of $2.0 million during 2013 from the amortization of the upfront payment received in 2011. We also received $1.0 million and $0.5 million in success fees during 2013 and 2014, respectively, and recognized revenue of $0.7 million and $0.1 million for research and development services performed under this agreement during the years ended December 31, 2013 and 2014, respectively. The final deliverable under this agreement was completed in 2014.</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2013 and 2014, we recognized revenues aggregating $1.7 million and $0.6 million, respectively from other collaborative agreements for which our obligations were completed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Research and development expenses were $8.8 million and $8.6 million during 2013 and 2014, respectively, a decrease of $0.2 million. The decrease is due primarily to $0.4 million in lower salaries and related expenses resulting from reduced research and development positions, due to the completion of multiple collaborations during 2013 and early 2014, $0.3 million in lower depreciation expense, and $0.1 million in lower in-licensing fees due to the expiration of one of our contracts. These decreases were partially offset by $0.6 million in higher reimbursable external expense costs incurred under our collaboration with TESARO.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General and administrative expenses were $2.0 million and $2.4 million during 2013 and 2014, respectively, an increase of $0.4 million. The increase is due primarily to $0.2 million in recruiting expenses for key senior hires during 2014, $0.1 million in higher salaries and related expenses for new senior level positions, and $0.1 million in higher legal expenses.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expense was $0.9 million during 2013 compared to $1.3 million during 2014, an increase of $0.4 million and represents stated interest of 10.0% on our convertible promissory notes principal of $2.0 million and amortization of the related beneficial conversion feature. The increase is due primarily to the $0.4 million write-off of the remaining discount on our convertible promissory notes upon conversion of the notes to into shares of Series C-1 Preferred stock during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Stock Warrants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$59,000 in 2014 and income of $0.6 million in 2013. The change to an expense in 2014 resulted primarily from an increase in the valuation of our Series C convertible preferred stock which has the effect of increasing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From our inception through March 31, 2016, we have received an aggregate of $151.1 million to fund our operations which included $84.9 million from the sale of equity securities, $56.8 million from our collaboration agreements and $9.4 million from venture debt. As of March 31, 2016, we had $49.3 million in cash and cash equivalents.</w:t>
      </w:r>
    </w:p>
    <w:p>
      <w:pPr>
        <w:spacing w:after="0" w:line="18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In addition to our existing cash and cash equivalents, we are eligible to receive research and development funding and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Loan Agreement and our rights to payments under our collaboration agreements are our only committed external source of funds.</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Under the Loan Agreement, we may borrow up to $15.0 million in three separate draws of $5.0 million each, of which, at March 31, 2016, $5.0 million of the Term A Loans were outstanding and $5.0 million of the Term B Loans and $5.0 million of the Term C Loans were undrawn.</w:t>
      </w:r>
    </w:p>
    <w:p>
      <w:pPr>
        <w:spacing w:after="0" w:line="170"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In January 2016, we amended the Loan Agreement to combine Term B Loans and Term C Loans for a total of $10.0 million available for draw and delay the principal repayments for our Term A Loans from February 1, 2016 until February 1, 2017. The Term B Loans and Term C Loans are available for draw upon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(which occurred in the first quarter of 2016) and (ii) July 1, 2016. The draw period will end upon the earlier of (i) an event of default as defined in the Loan Agreement and (ii) December 31, 2016. If the Term B Loans and Term C Loans are issued, they will bear interest at the greater of 6.95% or the 3-month LIBOR plus 6.72%, with principal payments beginning February 1, 2017 and with final maturity in January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our research and development plans and our timing expectations related to the progress of our programs, we expect that the net proceeds from this offering, together with our existing cash and cash equivalents, and research funding that we expect to receive under our existing collaborations, will enable us to fund our operating expenses and capital expenditure requirements through at least the next 24 months.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Net cash used in operating activities during the three months ended March 31, 2015 of $2.5 million was primarily due to cash operating expenses of $4.0 million offset by cash received from our collaboration agreement with TESARO of $1.5 million. Net cash used in operating activities during the three months ended March 31, 2016 of $2.1 million was primarily due to cash operating expenses of $7.3 million, offset by cash received from our collaboration agreement with TESARO of $5.2 million.</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Net cash used in operating activities during the year ended December 31, 2013 of $5.8 million was primarily due to cash operating expenses for the period. Net cash provided by operating activities during the year ended December 31, 2014 of $14.6 million was primarily due to cash received pursuant to our collaboration agreement with TESARO. Net cash used in operating activities during the year ended December 31, 2015 of $9.7 million was primarily due to cash operating expenses of $18.4 million, offset by cash received from our collaboration agreement with TESARO of $8.7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Cash used in investing activities during the three months ended March 31, 2015 and 2016 and the years ended December 31, 2013, 2014 and 2015 was primarily due to our purchases of property and equipment. As of this time, we plan to focus on our growth strategies and do not plan on using a significant amount of our cash resources in investing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Cash provided by financing activities during the three months ended March 31, 2015 was $43,000 and represents the net cash proceeds from the issuance of common stock. The cash used by financing activities during the three months ended March 31, 2016 was $0.3 million and was primarily related to payments made for our deferred offering costs.</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Cash provided by financing activities was $2.0 million during the year ended December 31, 2013 and represents the net cash proceeds from the issuance of our convertible promissory notes in August 2013. Cash provided by financing activities during the year ended December 31, 2014 was $4.9 million and represents the net cash proceeds from the issuance of our Term A Loans in December 2014. The cash provided by financing activities during the year ended December 31, 2015 was $39.4 million and was primarily related to the issuance of Series D Convertible Preferred Stock for net proceeds of $40.7 million in July 2015, partially offset by $1.4 million in payments related to deferred offering costs.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 xml:space="preserve">Total </w:t>
            </w:r>
            <w:r>
              <w:rPr>
                <w:rFonts w:ascii="Arial" w:cs="Arial" w:eastAsia="Arial" w:hAnsi="Arial"/>
                <w:sz w:val="12"/>
                <w:szCs w:val="12"/>
                <w:b w:val="1"/>
                <w:bCs w:val="1"/>
                <w:color w:val="auto"/>
                <w:w w:val="92"/>
              </w:rPr>
              <w:t>(1)</w:t>
            </w:r>
          </w:p>
        </w:tc>
        <w:tc>
          <w:tcPr>
            <w:tcW w:w="40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700" w:type="dxa"/>
            <w:vAlign w:val="bottom"/>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1-3</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3-5</w:t>
            </w:r>
          </w:p>
        </w:tc>
        <w:tc>
          <w:tcPr>
            <w:tcW w:w="3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Notes payable, including interest and final payment fee </w:t>
            </w:r>
            <w:r>
              <w:rPr>
                <w:rFonts w:ascii="Arial" w:cs="Arial" w:eastAsia="Arial" w:hAnsi="Arial"/>
                <w:sz w:val="15"/>
                <w:szCs w:val="15"/>
                <w:color w:val="auto"/>
              </w:rPr>
              <w:t>(2)</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$5,999</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349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$5,176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 xml:space="preserve">Operating lease obligation </w:t>
            </w:r>
            <w:r>
              <w:rPr>
                <w:rFonts w:ascii="Arial" w:cs="Arial" w:eastAsia="Arial" w:hAnsi="Arial"/>
                <w:sz w:val="15"/>
                <w:szCs w:val="15"/>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3,152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512</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1,158</w:t>
            </w: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9,151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861</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1,632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60" w:right="100" w:hanging="452"/>
        <w:spacing w:after="0" w:line="26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Future minimum annual obligations for license payments under all collaborative in-license agreements at December 31, 2015 were $0.2 million. These obligations are excluded from the table above as the annual minimum payments are payable through ten years from the first commercial sale, if any, or expiration of the last patent to expire, the dates of which are not determinable at this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hanging="452"/>
        <w:spacing w:after="0" w:line="25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January 2016, we amended the Loan Agreement, which deferred principal repayments on our Term A Loans from February 1, 2016 to February 1, 2017 as described in “Liquidity and Capital Resources” above.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Operating lease obligation includes future rent payments under an office lease, which was amended in October 2015, and expires on August 31, 2021.</w:t>
      </w:r>
    </w:p>
    <w:p>
      <w:pPr>
        <w:spacing w:after="0" w:line="234"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We enter into contracts in the normal course of business with clinical trial sites and clinical supply manufacturing organizations and with vendors for preclinical studies, research supplies and other services and products for operating purposes. These contracts generally provide for termination after a notice period, and, therefore, are cancelable contracts and not included in the table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Our primary exposure to market risk is interest income sensitivity, which is affected by changes in the general level of U.S. interest rates. Due to the short-term duration of our investment portfolio and the low-risk profile of our investments, we would not expect our operating results or cash flows to be affected to any significant degree by the effect of a sudden change in market interest rates on our investment portfolio.</w:t>
      </w:r>
    </w:p>
    <w:p>
      <w:pPr>
        <w:spacing w:after="0" w:line="166"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We do not believe that our cash and cash equivalents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obligations bear interest at fixed rates and, therefore, have no exposure to changes in interest rates.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2015, we formed a wholly-owned subsidiary in Australia, which exposes us to foreign currency exchange risk. The functional currency of our subsidiary in Australia is the United States dollar.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($35,000) during the three months ended March 31, 2016. We do not expect the effects of changes in exchange rates to have a material impact on our financial statements.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hedged exposures denominated in foreign currencies, but may do so in the future.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We are a clinical stage biotechnology company developing first-in-class antibody product candidates focused on unmet medical needs in inflammation and immuno-oncology. We develop our product candidates using our proprietary antibody discovery technology platform called SHM-XEL, which is designed to replicate the natural process of antibody generation </w:t>
      </w:r>
      <w:r>
        <w:rPr>
          <w:rFonts w:ascii="Arial" w:cs="Arial" w:eastAsia="Arial" w:hAnsi="Arial"/>
          <w:sz w:val="16"/>
          <w:szCs w:val="16"/>
          <w:i w:val="1"/>
          <w:iCs w:val="1"/>
          <w:color w:val="auto"/>
        </w:rPr>
        <w:t>in vitro</w:t>
      </w:r>
      <w:r>
        <w:rPr>
          <w:rFonts w:ascii="Arial" w:cs="Arial" w:eastAsia="Arial" w:hAnsi="Arial"/>
          <w:sz w:val="16"/>
          <w:szCs w:val="16"/>
          <w:color w:val="auto"/>
        </w:rPr>
        <w:t>. Our platform is based upon a breakthrough understanding of somatic hypermutation, the key biological process utilized by the human immune system to generate antibodies, which enables us to rapidly develop highly functional antibody drug candidates against emerging biological targets. Our most advanced wholly-owned programs, ANB020 and ANB019, bind to therapeutic targets that are genetically associated with severe inflammatory disorders. ANB020 is an antibody that inhibits the activity of interleukin-33 for the treatment of severe adult asthma and severe adult peanut allergy. We have initiated dosing of ANB020 in a Phase 1 trial in Australia under an approved Clinical Trial Notification, or CTN. We submitted and have received approval of a CTN in Australia for ANB020 and plan to initiate a Phase 1 clinical trial in the first half of 2016. ANB019 is an antibody that inhibits the interleukin-36 receptor for the treatment of rare inflammatory diseases called generalized pustular psoriasis and palmo-plantar pustular psoriasis. We plan to submit a CTN for ANB019 by the end of 2016 and commence a Phase 1 clinical trial in the first half of 2017.</w:t>
      </w:r>
    </w:p>
    <w:p>
      <w:pPr>
        <w:spacing w:after="0" w:line="16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 Through April 30, 2016, we have raised approximately $94.3 million from investors, including Biotechnology Value Fund, Cormorant Asset Management, Frazier Healthcare, HBM Partners, Longwood Capital Partners and Novo A/S.</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and an inflammation-focused collaboration with Celgene. Under our TESARO collaboration a Phase 1 trial was initiated during the first quarter of 2016 to study an AnaptysBio-generated anti-PD-1 antagonist antibody (TSR-042) in patients under an Investigational New Drug application, or IND, to the U.S. Food and Drug Administration, or FDA, and a second IND was submitted to the FDA during the second quarter of 2016 to enable future clinical trials for an AnaptysBio-generated anti-TIM-3 antagonist antibody (TSR-022). Including TSR-042 and TSR-022, we expect that our collaborators will advance four AnaptysBio-generated antibodies to the clinic by the end of the first half of 2017. Through April 30, 2016, we have received significant, non-dilutive funding of $58.0 million from our collaborators.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Candidates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104775</wp:posOffset>
            </wp:positionV>
            <wp:extent cx="5831840" cy="3078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3184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0" w:hanging="454"/>
        <w:spacing w:after="0"/>
        <w:tabs>
          <w:tab w:leader="none" w:pos="8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Proof-of-concept, or POC, indicates initial efficacy data in a patient population.</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900" w:right="20" w:hanging="325"/>
        <w:spacing w:after="0" w:line="286"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an antibody that inhibits the activity of interleukin-33, or IL-33, a pro-inflammatory cytokine that multiple studies have indicated is a</w:t>
      </w:r>
      <w:r>
        <w:rPr>
          <w:rFonts w:ascii="Arial" w:cs="Arial" w:eastAsia="Arial" w:hAnsi="Arial"/>
          <w:sz w:val="16"/>
          <w:szCs w:val="16"/>
          <w:b w:val="1"/>
          <w:bCs w:val="1"/>
          <w:color w:val="auto"/>
        </w:rPr>
        <w:t xml:space="preserve"> </w:t>
      </w:r>
      <w:r>
        <w:rPr>
          <w:rFonts w:ascii="Arial" w:cs="Arial" w:eastAsia="Arial" w:hAnsi="Arial"/>
          <w:sz w:val="16"/>
          <w:szCs w:val="16"/>
          <w:color w:val="auto"/>
        </w:rPr>
        <w:t>central mediator of atopic diseases, including asthma, food allergies and atopic dermatitis. IL-33 acts on several cell types, including white blood cells that initiate and orchestrate atopic responses. IL-33 also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believe ANB020 is potentially the first-in-class therapy targeting IL-33. We have initiated Phase 1 dosing of ANB020 in healthy volunteers in Australia under an approved CTN, and subsequently plan to commence patient trials in severe adult asthma and severe adult peanut allergy in other countries including the United States, after submitting an IND to the FDA. We estimate, based on our analysis of publicly available data sources and interviews with physicians and key opinion leaders in the field, that asthma affects approximately 7.7% of the adult U.S. population, or approximately 19.0 million individuals, of which 19%, or approximately 3.6 million have severe, persistent occurrence of this respiratory disease. Peanut allergy is the most common cause of food-induced allergy in the United States. Based on our analysis of publicly available data sources and interviews with physicians and key opinion leaders in the field, we estimate approximately 1.7 million adults are affected by peanut allergy, of which approximately 600,000 are regularly treated by allergists and approximately 400,000 are at risk for severe reactions and therefore we believe are suitable for treatment with systemic biological therapies.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20" w:hanging="325"/>
        <w:spacing w:after="0" w:line="290"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ANB019 </w:t>
      </w:r>
      <w:r>
        <w:rPr>
          <w:rFonts w:ascii="Arial" w:cs="Arial" w:eastAsia="Arial" w:hAnsi="Arial"/>
          <w:sz w:val="16"/>
          <w:szCs w:val="16"/>
          <w:color w:val="auto"/>
        </w:rPr>
        <w:t>is an antibody that inhibits the function of the interleukin-36-receptor, or IL-36R, which we are initially developing as a potential first-in-class therapy for GPP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is associated with mutations, that lead to abnormally high signaling through the IL-36R, which we believe can be addressed by treatment with ANB019. We believe ANB019 is the most advanced therapeutic antibody targeting the IL-36R in development. We anticipate filing an Australian CTN for ANB019 by the end of 2016, the approval of which would allow us to initiate Phase 1 trials in Australia in the first half of 2017.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Advantages of Our SHM-XEL Platform</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Our approach to developing novel therapeutic antibody product candidates is based upon somatic hypermutation, or SHM, a critical, endogenous process that generates the essential antibody diversity required to develop a natural immune response to pathogens. Our proprietary antibody generation platform, called SHM-XEL, is designed to replicate the natural process of SHM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Competing antibody discovery technologies include mouse immunization methodologies, microbial antibody display and human B-cell screening. We believe SHM-XEL overcomes several key limitations associated with these competing technologies and has the following competitive advantages:</w:t>
      </w:r>
    </w:p>
    <w:p>
      <w:pPr>
        <w:spacing w:after="0" w:line="90" w:lineRule="exact"/>
        <w:rPr>
          <w:sz w:val="20"/>
          <w:szCs w:val="20"/>
          <w:color w:val="auto"/>
        </w:rPr>
      </w:pPr>
    </w:p>
    <w:p>
      <w:pPr>
        <w:ind w:left="900" w:right="500" w:hanging="325"/>
        <w:spacing w:after="0" w:line="26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900" w:right="100" w:hanging="325"/>
        <w:spacing w:after="0" w:line="313"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900" w:right="40" w:hanging="325"/>
        <w:spacing w:after="0" w:line="26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900" w:right="300" w:hanging="325"/>
        <w:spacing w:after="0" w:line="26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900" w:right="160" w:hanging="325"/>
        <w:spacing w:after="0" w:line="282"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antibody expression, formulation and stability during the antibody generation process.</w:t>
      </w:r>
    </w:p>
    <w:p>
      <w:pPr>
        <w:spacing w:after="0" w:line="67"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Bispecific antibodies. </w:t>
      </w:r>
      <w:r>
        <w:rPr>
          <w:rFonts w:ascii="Arial" w:cs="Arial" w:eastAsia="Arial" w:hAnsi="Arial"/>
          <w:sz w:val="18"/>
          <w:szCs w:val="18"/>
          <w:color w:val="auto"/>
        </w:rPr>
        <w:t>A bispecific antibody is a single therapeutic molecule designed to bind two different targets. Bispecific antibodies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86" w:lineRule="auto"/>
        <w:rPr>
          <w:sz w:val="20"/>
          <w:szCs w:val="20"/>
          <w:color w:val="auto"/>
        </w:rPr>
      </w:pPr>
      <w:r>
        <w:rPr>
          <w:rFonts w:ascii="Arial" w:cs="Arial" w:eastAsia="Arial" w:hAnsi="Arial"/>
          <w:sz w:val="17"/>
          <w:szCs w:val="17"/>
          <w:color w:val="auto"/>
        </w:rPr>
        <w:t>Utilizing our proprietary SHM-XEL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w:t>
      </w:r>
    </w:p>
    <w:p>
      <w:pPr>
        <w:spacing w:after="0" w:line="72" w:lineRule="exact"/>
        <w:rPr>
          <w:sz w:val="20"/>
          <w:szCs w:val="20"/>
          <w:color w:val="auto"/>
        </w:rPr>
      </w:pPr>
    </w:p>
    <w:p>
      <w:pPr>
        <w:ind w:left="900" w:hanging="325"/>
        <w:spacing w:after="0" w:line="29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lead product candidates into the clinic. </w:t>
      </w:r>
      <w:r>
        <w:rPr>
          <w:rFonts w:ascii="Arial" w:cs="Arial" w:eastAsia="Arial" w:hAnsi="Arial"/>
          <w:sz w:val="16"/>
          <w:szCs w:val="16"/>
          <w:color w:val="auto"/>
        </w:rPr>
        <w:t>We have initiated Phase 1 dosing of ANB020 in healthy volunteers in Australia and</w:t>
      </w:r>
      <w:r>
        <w:rPr>
          <w:rFonts w:ascii="Arial" w:cs="Arial" w:eastAsia="Arial" w:hAnsi="Arial"/>
          <w:sz w:val="16"/>
          <w:szCs w:val="16"/>
          <w:b w:val="1"/>
          <w:bCs w:val="1"/>
          <w:color w:val="auto"/>
        </w:rPr>
        <w:t xml:space="preserve"> </w:t>
      </w:r>
      <w:r>
        <w:rPr>
          <w:rFonts w:ascii="Arial" w:cs="Arial" w:eastAsia="Arial" w:hAnsi="Arial"/>
          <w:sz w:val="16"/>
          <w:szCs w:val="16"/>
          <w:color w:val="auto"/>
        </w:rPr>
        <w:t>subsequently plan to initiate trials in severe adult asthma and severe adult peanut allergy patients. We plan to initiate a Phase 1 healthy volunteer trial for ANB019 in the first half of 2017, followed by a registration study in GPP patients. For both ANB020 and ANB019, we plan to conduct our initial clinical trials in Australia, and to then conduct further clinical development in the United States and other countries. We have elected to pursue this strategy in order to benefit from certain financial incentives that Australia makes available for biotechnology research and development, and because we believe 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67" w:lineRule="exact"/>
        <w:rPr>
          <w:rFonts w:ascii="Arial" w:cs="Arial" w:eastAsia="Arial" w:hAnsi="Arial"/>
          <w:sz w:val="16"/>
          <w:szCs w:val="16"/>
          <w:color w:val="auto"/>
        </w:rPr>
      </w:pPr>
    </w:p>
    <w:p>
      <w:pPr>
        <w:ind w:left="900" w:right="40" w:hanging="325"/>
        <w:spacing w:after="0" w:line="277"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and immuno-oncology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clinical proof-of-concept achievement.</w:t>
      </w:r>
    </w:p>
    <w:p>
      <w:pPr>
        <w:spacing w:after="0" w:line="73" w:lineRule="exact"/>
        <w:rPr>
          <w:rFonts w:ascii="Arial" w:cs="Arial" w:eastAsia="Arial" w:hAnsi="Arial"/>
          <w:sz w:val="17"/>
          <w:szCs w:val="17"/>
          <w:color w:val="auto"/>
        </w:rPr>
      </w:pPr>
    </w:p>
    <w:p>
      <w:pPr>
        <w:ind w:left="900" w:right="340" w:hanging="325"/>
        <w:spacing w:after="0" w:line="314"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expand our proprietary pipeline by generating new product candidates using our technology platform. </w:t>
      </w:r>
      <w:r>
        <w:rPr>
          <w:rFonts w:ascii="Arial" w:cs="Arial" w:eastAsia="Arial" w:hAnsi="Arial"/>
          <w:sz w:val="16"/>
          <w:szCs w:val="16"/>
          <w:color w:val="auto"/>
        </w:rPr>
        <w:t>Using our</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antibody generation platform, we are able to rapidly develop novel therapeutic antibodies against emerging targets. Our goal is to advance one or more wholly-owned new therapeutic antibody program to an IND submission to the FDA, or foreign equivalent, each year.</w:t>
      </w:r>
    </w:p>
    <w:p>
      <w:pPr>
        <w:spacing w:after="0" w:line="47" w:lineRule="exact"/>
        <w:rPr>
          <w:rFonts w:ascii="Arial" w:cs="Arial" w:eastAsia="Arial" w:hAnsi="Arial"/>
          <w:sz w:val="16"/>
          <w:szCs w:val="16"/>
          <w:color w:val="auto"/>
        </w:rPr>
      </w:pPr>
    </w:p>
    <w:p>
      <w:pPr>
        <w:ind w:left="900" w:right="80" w:hanging="325"/>
        <w:spacing w:after="0" w:line="261"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 key</w:t>
      </w:r>
      <w:r>
        <w:rPr>
          <w:rFonts w:ascii="Arial" w:cs="Arial" w:eastAsia="Arial" w:hAnsi="Arial"/>
          <w:sz w:val="18"/>
          <w:szCs w:val="18"/>
          <w:b w:val="1"/>
          <w:bCs w:val="1"/>
          <w:color w:val="auto"/>
        </w:rPr>
        <w:t xml:space="preserve"> </w:t>
      </w:r>
      <w:r>
        <w:rPr>
          <w:rFonts w:ascii="Arial" w:cs="Arial" w:eastAsia="Arial" w:hAnsi="Arial"/>
          <w:sz w:val="18"/>
          <w:szCs w:val="18"/>
          <w:color w:val="auto"/>
        </w:rPr>
        <w:t>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that have provided us with $58.0 million in payments through April 30, 2016. Multiple antibodies, generated by us prior to or during a strategic collaboration, are currently being advanced through development by our collaborators. Our collaborations with TESARO and Celgene are described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Programs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SHM-XEL platform consisting of the following antibody product candidates:</w:t>
      </w:r>
    </w:p>
    <w:p>
      <w:pPr>
        <w:spacing w:after="0" w:line="76" w:lineRule="exact"/>
        <w:rPr>
          <w:sz w:val="20"/>
          <w:szCs w:val="20"/>
          <w:color w:val="auto"/>
        </w:rPr>
      </w:pPr>
    </w:p>
    <w:p>
      <w:pPr>
        <w:ind w:left="900" w:right="46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Anti-PD-1 Monospecific Antagonist Antibody (TSR-042)</w:t>
      </w:r>
      <w:r>
        <w:rPr>
          <w:rFonts w:ascii="Arial" w:cs="Arial" w:eastAsia="Arial" w:hAnsi="Arial"/>
          <w:sz w:val="18"/>
          <w:szCs w:val="18"/>
          <w:color w:val="auto"/>
        </w:rPr>
        <w:t>: Phase 1 clinical trial dosing initiated in the first quarter of 2016 subsequent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a U.S. FDA IND;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Anti-TIM-3 Monospecific Antagonist Antibody </w:t>
      </w:r>
      <w:r>
        <w:rPr>
          <w:rFonts w:ascii="Arial" w:cs="Arial" w:eastAsia="Arial" w:hAnsi="Arial"/>
          <w:sz w:val="18"/>
          <w:szCs w:val="18"/>
          <w:color w:val="auto"/>
        </w:rPr>
        <w:t>(</w:t>
      </w:r>
      <w:r>
        <w:rPr>
          <w:rFonts w:ascii="Arial" w:cs="Arial" w:eastAsia="Arial" w:hAnsi="Arial"/>
          <w:sz w:val="18"/>
          <w:szCs w:val="18"/>
          <w:i w:val="1"/>
          <w:iCs w:val="1"/>
          <w:color w:val="auto"/>
        </w:rPr>
        <w:t>TSR-022</w:t>
      </w:r>
      <w:r>
        <w:rPr>
          <w:rFonts w:ascii="Arial" w:cs="Arial" w:eastAsia="Arial" w:hAnsi="Arial"/>
          <w:sz w:val="18"/>
          <w:szCs w:val="18"/>
          <w:color w:val="auto"/>
        </w:rPr>
        <w:t>): U.S. FDA IND submitted in second quarter of 2016 and Phase 1 trial initiation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in mid-2016;</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Anti-LAG-3 Monospecific Antagonist Antibody </w:t>
      </w:r>
      <w:r>
        <w:rPr>
          <w:rFonts w:ascii="Arial" w:cs="Arial" w:eastAsia="Arial" w:hAnsi="Arial"/>
          <w:sz w:val="16"/>
          <w:szCs w:val="16"/>
          <w:color w:val="auto"/>
        </w:rPr>
        <w:t>(</w:t>
      </w:r>
      <w:r>
        <w:rPr>
          <w:rFonts w:ascii="Arial" w:cs="Arial" w:eastAsia="Arial" w:hAnsi="Arial"/>
          <w:sz w:val="16"/>
          <w:szCs w:val="16"/>
          <w:i w:val="1"/>
          <w:iCs w:val="1"/>
          <w:color w:val="auto"/>
        </w:rPr>
        <w:t>TSR-033</w:t>
      </w:r>
      <w:r>
        <w:rPr>
          <w:rFonts w:ascii="Arial" w:cs="Arial" w:eastAsia="Arial" w:hAnsi="Arial"/>
          <w:sz w:val="16"/>
          <w:szCs w:val="16"/>
          <w:color w:val="auto"/>
        </w:rPr>
        <w:t>): currently in preclinical development, clinical antibody candidate selection completed;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 clinical candidate selection anticipated in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Anti-PD-1/LAG-3 Bispecific Antagonist Antibody</w:t>
      </w:r>
      <w:r>
        <w:rPr>
          <w:rFonts w:ascii="Arial" w:cs="Arial" w:eastAsia="Arial" w:hAnsi="Arial"/>
          <w:sz w:val="17"/>
          <w:szCs w:val="17"/>
          <w:color w:val="auto"/>
        </w:rPr>
        <w:t>: currently in lead selection process, clinical candidate selection anticipated in 2016;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Programs</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Wholly-Owned Product Pipeline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pipeline programs, ANB020 and ANB019, are described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Anti-IL-33 Antibody</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ANB020 is an antibody that inhibits the activity of IL-33 and is being developed to treat atopic diseases, including severe adult asthma and severe adult peanut allergy. Despite the key role of IL-33 in atopic diseases, it has been historically difficult for other antibody technologies to generate a functional anti-IL-33 therapeutic agent. We believe ANB020 is the most advanced antibody therapeutic candidate in development targeting the IL-33 cytokine. We have initiated Phase 1 dosing of ANB020 in healthy volunteers in Australia under an approved CTN.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IL-33 Target Biology</w:t>
      </w:r>
    </w:p>
    <w:p>
      <w:pPr>
        <w:spacing w:after="0" w:line="11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IL-33 is a pro-inflammatory cytokine that signals through the ST2 receptor, which multiple studies suggest serves as a central mediator of various immune responses leading to Th2-type inflammatory disorders, including asthma, food allergies, atopic dermatitis and other atopic diseases. In response to pathogens, viruses, toxins or allergens, IL-33 is rapidly released from mucosal epithelial and endothelial cells. For example, a recent scientific study has indicated that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associated with atopic diseases. IL-33 also acts on T helper 2, or Th2, effector cells and Innate Lymphoid Cell Type 2, or ILC2, two types of white blood cells that initiate and orchestrate atopic responses.</w:t>
      </w:r>
    </w:p>
    <w:p>
      <w:pPr>
        <w:spacing w:after="0" w:line="18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Because ANB020 inhibits IL-33 function and acts upstream of key cell types involved in atopy and the subsequent release of Th2 cytokines, we believe that its mechanism has advantages over that of competing therapeutic antibodies which block only a subset of IL-4, IL-5 or IL-13 cytokines.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Genetic studies support the importance of the IL-33 pathway in atopic diseases. These studies have demonstrated that certain ST2 mutations reduce IL-33 mediated signaling and thereby protect individuals with mutated ST2 from asthma. This supports the hypothesis that an anti-IL-33 antibody, such as ANB020, has the potential to benefit asthma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2302510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141605</wp:posOffset>
            </wp:positionV>
            <wp:extent cx="2769870" cy="1920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69870"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Figure 1. Types of cells and cytokines modulated by IL-33. When triggered by pathogens, toxins, viruses or allergens, IL-33 is an upstream mediator of Th2 cells, mast cells, basophils, eosinophils and ILC2 cells, which lead to the secretion of IL-4, IL-5, IL-13 and other chemokines.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2646680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116840</wp:posOffset>
            </wp:positionV>
            <wp:extent cx="2058035" cy="22898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5803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Figure 2. IL-33 intracellular signaling. IL-33 binds to ST2 that is expressed on the cell surface and triggers the activation of the IL-1 receptor accessory protein, or IL-1RAP, leading to the activation of MYD88, IRAK4 and downstream kinases and inducing cytokine release. Soluble ST2 acts as a decoy receptor, inhibiting IL-33 before it engages ST2 on the cell surface.</w:t>
      </w:r>
    </w:p>
    <w:p>
      <w:pPr>
        <w:spacing w:after="0" w:line="18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believe that targeting IL-33 activity is a more promising therapeutic intervention strategy than targeting its receptor, ST2, because (i) ST2 is present in significantly larger quantities, in comparison to IL-33, which will likely require high anti-ST2 antibody dosing levels and (ii) soluble ST2 inhibits IL-33 function, therefore blocking ST2, and likely leading to the release of additional IL-33, thereby exacerbating atopic disease.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Description</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ANB020, which is potentially a first-in-class therapeutic antibody, is our wholly-owned anti-IL-33 antibody product candidate generated using our SHM-XEL technology platform.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Our preclinical studies have provided evidence of ANB020’s favorable potency and functional activity in human and cynomolgus monkey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The high potency and functional activity of ANB020 for human and cynomolgus monkey IL-33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equilibrium dissociation constant, or K D , and half-maximal inhibitory concentration values, or IC 50 . ANB020 demonstrated highly potent K D values of approximately 1 pM and 37 pM for human and cynomolgus monkey IL-33, respectively. ANB020 inhibits secretion of IL-5 from primary basophils purified from peripheral blood of healthy subjects with an IC 50 of approximately 1.5 nM, which is approximately 15-fold greater than that of the soluble ST2 antagonist, as shown in Figure 3 below. Lower K D and IC 50 values indicate higher potency and functional activity,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2343785</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139700</wp:posOffset>
            </wp:positionV>
            <wp:extent cx="5137150" cy="19640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3715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3. Results from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assay comparing effectiveness of ANB020 and soluble ST2 in inhibiting IL-5 release.</w:t>
      </w:r>
    </w:p>
    <w:p>
      <w:pPr>
        <w:spacing w:after="0" w:line="22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Using peripheral blood mononuclear cells, or PBMC, ANB020 inhibited human and cynomolgus monkey interferon-gamma release with an IC 50 of approximately 1.1 nM and approximately 20.4 nM, respectively as shown in Figure 4 below. We have developed a whole blood version of the PBMC assay, which we plan to utilize to understand the pharmacodynamic activity of ANB020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2062480</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141605</wp:posOffset>
            </wp:positionV>
            <wp:extent cx="5093970" cy="1680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93970"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Figure 4. Activity read out of interferon-gamma release for PBMCs pretreated overnight with 100mg/ml IL-12, challenged with ten (human) or five (cynomolgus) nM IL-33 for 48 hours.</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preclinical development has also demonstrated that ANB020 has favorable manufacturability, pharmacokinetics and toxicology to support development. Studies have demonstrated desirable manufacturing properties for ANB020, including robust expression from Chinese hamster ovary cells, or CHO cells, efficient purification using standard downstream techniques and stable formulation up to concentrations required for subcutaneous dosing in humans. ANB020 demonstrated a half-life of approximately seven days in cynomolgus monkeys, retained full functional activity when incubated in normal human serum at 37 °C for one week and</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00"/>
          </w:cols>
          <w:pgMar w:left="240" w:top="459"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proved to be fully active in cynomolgus monkey sera two weeks after dosing. We have conducted preclinical toxicology studies under good laboratory practices for ANB020. In addition, we have conducted manufacturing under good manufacturing practice to produce ANB020 in quantities for initial clinical use.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We have initiated Phase 1 dosing of ANB020 in healthy volunteers in Australia under an approved CTN. Conducting early clinical trials in Australia permits us to benefit from Australia’s streamlined approval processes for the initiation of first-in-human studies. Our Phase 1 trial is intended to assess, in single and multiple ascending doses, safety, tolerability and pharmacokinetic characteristics of ANB020. We will concurrently utilize a whole blood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assay to identify its pharmacodynamic activity range. These tests are taking place in Australia, and following completion of these tests we plan to conduct further clinical trials in the United States under a U.S. IND.</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Once pharmacodynamic activity has been established in healthy volunteers, we plan to test the clinical activity of ANB020 in atopic dermatitis patients challenged with an allergen, after dosing with ANB020 or a placebo in the United Kingdom.</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submitting a U.S. IND, we plan to test ANB020 in Phase 2 trials in patients with severe adult asthma and severe adult peanut allergy. Upon demonstrating proof-of-concept in Phase 2 trials, we intend to conduct Phase 3 registration trials for ANB020 in these indications. These later-stage trials may be conducted through collaboration with a leading pharmaceutical company with strong commercial infrastructure in respiratory and allergic therapeutic areas.</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we are exploring the potential to develop ANB020 as a treatment for myeloproliferative neoplasms where the survival, expansion or transformation of pathogenic precursor cells may be dependent upon IL-33, including myelofibrosis, which affects approximately 18,000 people in the United States.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Figure 5 below describes our current anticipated clinical development strategy for ANB020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6285865" cy="3490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85865" cy="349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5. Anticipated ANB020 clinical development strategy.</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described above, we plan to pursue a clinical development strategy that involves conducting our initial clinical trials in Australia. We are pursuing this strategy in order to benefit from certain financial incentives that Australia makes available for biotechnology research and development and because we believe that Australia provides a streamlined approval processes for the initiation of first-in-human studies, which we believe will allow us to begin our Phase 1 clinical trials weeks, and possibly several months, sooner than if we pursued initiation of trials in the United States. In particular, the Australian CTN review process is conducted on a regional basis by a single committee, without the requirement for review by the national regulatory agency in Australia, the Therapeutic Goods Administration, or the TGA. In contrast, in the United States, the sponsor of a first-in-human clinical trial typically must engage in a series of steps that include submission of an IND to the FDA and waiting 30 days for FDA feedback, if any, and then separate submission of materials to a review board at the trial site. Although we expect the length of each Phase 1 clinical trial, once initiated, will be the same as it would be if the trials were conducted in the United States, we believe the streamlined approval processes for the initiation of our trials in Australia offers us a meaningful advantage.</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we believe that clinical data generated in Australia will subsequently be accepted by the FDA and its foreign equivalents outside of Australia, and therefore may enable us to commence Phase 2 clinical trials in the United States following submission of an IND, without any need for us to repeat our Phase 1 trials in the United States. As discussed below under “Government Regulation and Product Approval—Foreign Clinical Studies to Support an IND,” we believe the FDA will generally accept data from well-designed, well-conducted foreign clinical trials that are conducted in accordance with good clinical practice, or GCP, where the FDA is able to validate data through onsite inspection, if the FDA deems such inspection necessary. We expect that our Phase 1</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clinical trials for ANB020 will be well-designed and conducted in accordance with GCP and therefore believe that the data from the trials will be accepted by the FDA. However, the FDA and other foreign equivalents are not required to accept Phase 1 data generated in Australia. If they do not accept any such data, we would likely be required to conduct additional Phase 1 clinical trials.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Market Opportunity</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significant portion of individuals in the U.S. population experiences at least one atopic disease during their lifetime, and it is well understood that most patients with one type of atopic condition tend to present with other allergic conditions. While we believe ANB020 may be effective across atopic diseases, we have prioritized our development efforts based on unmet medical need and potential market opportunity. We have chosen to focus our ANB020 program initially on two indications: severe adult asthma and severe adult peanut allergy.</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Asthma. </w:t>
      </w:r>
      <w:r>
        <w:rPr>
          <w:rFonts w:ascii="Arial" w:cs="Arial" w:eastAsia="Arial" w:hAnsi="Arial"/>
          <w:sz w:val="18"/>
          <w:szCs w:val="18"/>
          <w:color w:val="auto"/>
        </w:rPr>
        <w:t>We estimate, based on our analysis of publicly available data sources and interviews with physicians and key opinion leaders in the field, that asthma</w:t>
      </w:r>
      <w:r>
        <w:rPr>
          <w:rFonts w:ascii="Arial" w:cs="Arial" w:eastAsia="Arial" w:hAnsi="Arial"/>
          <w:sz w:val="18"/>
          <w:szCs w:val="18"/>
          <w:i w:val="1"/>
          <w:iCs w:val="1"/>
          <w:color w:val="auto"/>
        </w:rPr>
        <w:t xml:space="preserve"> </w:t>
      </w:r>
      <w:r>
        <w:rPr>
          <w:rFonts w:ascii="Arial" w:cs="Arial" w:eastAsia="Arial" w:hAnsi="Arial"/>
          <w:sz w:val="18"/>
          <w:szCs w:val="18"/>
          <w:color w:val="auto"/>
        </w:rPr>
        <w:t>affects approximately 7.7% of the adult U.S. population, or 19.0 million individuals, of which 19%, or 3.6 million individuals, have severe, persistent occurrence of this respiratory disease. As a chronic inflammatory disorder, severe asthma can lead to permanent structural damage to the airways and long-term reductions in lung function. Although many mild-to-moderate asthmatics respond well to currently available treatments, which include inhaled corticosteroids, or ICS, and long-acting beta agonists, or LABA, severe asthma in patients is generally not adequately controlled by such available therapies. We will initially focus on the treatment of severe asthma that, based on our analysis, includes 1.1 million adult patients whose disease is not sufficiently controlled through standard-of-care therapy. We have conducted primary market studies that estimate approximately 45% of these patients are candidates for biologic therapies, such as ANB020.</w:t>
      </w:r>
    </w:p>
    <w:p>
      <w:pPr>
        <w:spacing w:after="0" w:line="19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Existing biologic therapies include Xolair, which is approved for the treatment of moderate to severe persistent allergic asthma patients whose asthma symptoms are not controlled by ICS. Xolair’s approved labeling carries a black box warning about the risk of anaphylaxis, a severe, potentially fatal, allergic reaction, and Nucala, which the FDA recently approved for the add-on maintenance treatment in patients aged 12 years or older with severe eosinophilic asthma. Other emerging therapies currently in development, such as lebrikizumab, have yet to be approved by the FDA for treatment of asthma while the FDA’s Pulmonary-Allergy Drugs Advisory Committee recommended that the FDA approve reslizumab in adult patients aged 18 years and older for the treatment of inadequately controlled asthma in patients with elevated eosinophils, despite an inhaled corticosteroids treatment regimen. Xolair is a difficult drug to prescribe due to complex dosing algorithms, frequent administration and risk of anaphylaxis, and we expect the indications for Nucala, reslizumab and lebrikizumab will be limited to subsets of the asthma market defined by biomarkers. We believe that ANB020 may have therapeutic benefit across a broad range of ICS-refractory severe adult asthma patients, and plan to utilize biomarkers during development to differentiate ANB020 relative to competitors.</w:t>
      </w:r>
    </w:p>
    <w:p>
      <w:pPr>
        <w:spacing w:after="0" w:line="1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Peanut Allergy. </w:t>
      </w:r>
      <w:r>
        <w:rPr>
          <w:rFonts w:ascii="Arial" w:cs="Arial" w:eastAsia="Arial" w:hAnsi="Arial"/>
          <w:sz w:val="18"/>
          <w:szCs w:val="18"/>
          <w:color w:val="auto"/>
        </w:rPr>
        <w:t>Peanuts are the most common cause of food-induced allergy in the United States. We estimate, based on our analysis of publicly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data sources and interviews with physicians and key opinion leaders in the field, that approximately 1.7 million adults in the United States have allergic responses to peanut. We estimate approximately 600,000 are treated by allergists and approximately 400,000 are at risk for severe reactions and therefore we believe are suitable for treatment with systemic biological therapies.</w:t>
      </w:r>
    </w:p>
    <w:p>
      <w:pPr>
        <w:spacing w:after="0" w:line="18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Existing therapies have failed to prevent the occurrence of severe reactions due to accidental peanut exposure, which often results in systemic anaphylaxis and can lead to death. Immunotherapy approaches, such as oral or transdermal desensitization, currently being developed for this indication require patients to be dosed with increasing quantities of peanut antigens over time. If patients are able to overcome the toxicities of this allergen-based approach, therapeutic benefit, on an allergen-specific basis, may be observed after 12 to 24 months of oral or skin patch based delivery of peanut allergens. The long-term safety and efficacy of immunotherapy is still uncertain, and these desensitization treatments have not yet been approved by the FDA.</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ANB020 has the potential to rapidly suppress severe adult peanut allergy through its cytokine targeting mechanism, which is allergen non-specific, allowing patients with multiple allergic responses to benefit from a single therapy, and avoids tolerability issues by acting without allergen dosing. If approved, we anticipate that ANB020 could become the standard-of-care for the treatment of severe adult peanut allergy patients.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Anti-IL-36R Antibody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ANB019 is an antibody that inhibits the function of IL-36R, which we are initially developing as a potential first-in-class therapy for genetically-defined GPP patients. GPP is a life-threatening, rare systemic inflammatory disorder reported to affect approximately 3,000 patients in the United States alone, with no currently approved therapies. Studies have shown that GPP is associated with mutations in the gene encoding the IL-36R antagonist, or IL-36RA, that lead to abnormally high signaling through the IL-36R and thereby cause the systemic inflammatory condition, GPP. We believe ANB019 is the most advanced antibody targeting the IL-36R in development.</w:t>
      </w:r>
    </w:p>
    <w:p>
      <w:pPr>
        <w:spacing w:after="0" w:line="188"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anticipate filing an Australian CTN for ANB019 by the end of 2016 and initiating a Phase 1 trial in Australia in the first half of 2017. We also plan to develop ANB019 for other IL-36R driven inflammatory conditions, including PPP, which is reported to affect approximately 150,000 patients in the United States. We plan to seek FDA Orphan Drug Designation for ANB019 for the treatment of GPP and PPP, which we believe may be differentiated from the non-rare plaque psoriasis, or psoriasis vulgaris, based upon distinctive genetic and translational features unique to GPP and/or PPP.</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IL-36R Target Biology</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IL-36 subfamily of proteins consists of the IL-36 receptor antagonist, or IL-36RA, as well as IL-36 alpha, IL-36 beta and IL-36 gamma, all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2472690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131445</wp:posOffset>
            </wp:positionV>
            <wp:extent cx="2787015" cy="21012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8701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680"/>
        <w:spacing w:after="0" w:line="266" w:lineRule="auto"/>
        <w:rPr>
          <w:sz w:val="20"/>
          <w:szCs w:val="20"/>
          <w:color w:val="auto"/>
        </w:rPr>
      </w:pPr>
      <w:r>
        <w:rPr>
          <w:rFonts w:ascii="Arial" w:cs="Arial" w:eastAsia="Arial" w:hAnsi="Arial"/>
          <w:sz w:val="18"/>
          <w:szCs w:val="18"/>
          <w:b w:val="1"/>
          <w:bCs w:val="1"/>
          <w:color w:val="auto"/>
        </w:rPr>
        <w:t>Figure 6. IL-36 Receptor Signaling. Signaling is maintained in balance by the receptor antagonist. Mutations render the receptor antagonist dysfunctional and lead to uncontrolled signaling causing GPP. PPP is caused by excess cytokine signaling that overcomes a normal receptor antagonist.</w:t>
      </w:r>
    </w:p>
    <w:p>
      <w:pPr>
        <w:spacing w:after="0" w:line="18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Studies have demonstrated the relevance of IL-36 in regulating inflammation in the skin. Mice over-expressing the IL-36 alpha cytokine undergo a psoriasis-like condition when challenged with an inflammatory stimulus. Additionally, immuno-deficient mice transplanted with human psoriatic skin have been shown to require the IL-36R signaling to maintain disease.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Recent human studies have demonstrated that mutations in the IL-36RA lead to the occurrence of GPP by rendering it non-functional and unable to dampen IL-36R signaling</w:t>
      </w:r>
      <w:r>
        <w:rPr>
          <w:rFonts w:ascii="Arial" w:cs="Arial" w:eastAsia="Arial" w:hAnsi="Arial"/>
          <w:sz w:val="18"/>
          <w:szCs w:val="18"/>
          <w:i w:val="1"/>
          <w:iCs w:val="1"/>
          <w:color w:val="auto"/>
        </w:rPr>
        <w:t>.</w:t>
      </w:r>
      <w:r>
        <w:rPr>
          <w:rFonts w:ascii="Arial" w:cs="Arial" w:eastAsia="Arial" w:hAnsi="Arial"/>
          <w:sz w:val="18"/>
          <w:szCs w:val="18"/>
          <w:color w:val="auto"/>
        </w:rPr>
        <w:t xml:space="preserve"> These findings support our hypothesis that IL-36 signaling plays a significant role in GPP.</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ANB019 has the potential to be the first-in-class therapeutic antibody targeting IL-36R, serving as a therapeutic opportunity for patients with IL-36 signaling mediated inflammatory disease, including GPP.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 Description</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ANB019 was generated using our SHM-XEL technology platform and has demonstrated high functional potency in blocking human and cynomolgus monkey IL-36 signaling in preclinical studies.</w:t>
      </w:r>
    </w:p>
    <w:p>
      <w:pPr>
        <w:spacing w:after="0" w:line="17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ANB019 blocks signal transduction through the human IL-36R and cynomolgus monkey IL-36R by inhibiting the interaction between the receptor and IL-36 alpha, IL-36 beta, and IL-36 gamma cytokines. The high potency and functional activity of ANB019 for human and cynomolgus monkey IL-36R was measured using standard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to determine K D, and IC 50 values. ANB019 has demonstrated potent K D values of approximately of 71 pM and 209 pM for human IL-36R and cynomolgus monkey IL-36R, respectively. The antibody exhibits high specificity for IL-36R, displaying no detectable binding to related proteins. As shown in Figure 7 below, functional potency of ANB019 is at least 100-fold greater than IL-36RA in both human and cynomolgus systems, which is measured as the IC 50 of inhibition of interleukin-8, or IL-8, release from human and cynomolgus keratinocytes. ANB019 functional activity has been demonstrated through inhibition of IL-8 secretion from human and cynomolgus primary keratinocytes when stimulated by IL-36 gamma of approximately 0.15 nM and 1.2 nM, respectively. Lower K D and IC 50 values indicate higher potency and functional activity, respectively. Similar IC 50 values were observed in those same preclinical studies when keratinocytes were stimulated with IL-36 alpha or beta.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2172970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132080</wp:posOffset>
            </wp:positionV>
            <wp:extent cx="5274310" cy="18008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7431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Figure 7. ANB019 demonstrated functional inhibition in our preclinical studies and inhibited functional activity of IL-36 cytokines with at least 100-fold greater potency than IL-36RA.</w:t>
      </w:r>
    </w:p>
    <w:p>
      <w:pPr>
        <w:spacing w:after="0" w:line="16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initiated manufacturing, pharmacokinetic and safety studies with ANB019, and plan to initiate clinical development in the first half of 2017. To date, we have demonstrated that the half-life of ANB019 in cynomolgus monkeys is more than nine days. ANB019 is well-expressed from CHO mammalian cells and is readily purified using standard methodologies. In addition, the antibody retained full functional activity when incubated in normal human serum at 37 °C for one week.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We plan to initiate clinical development of ANB019 in Australia with a healthy volunteer, Phase 1 dose escalation trial involving single and multiple ascending dose protocols, while also utilizing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assays to determine the antibody’s pharmacodynamic activity range. Following completion of this initial Phase 1 trial, we plan to submit a U.S. IND and conduct further clinical testing in the United States.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Our initial clinical testing of ANB019 will focus primarily on GPP patients. We currently plan to conduct a registration program in the United States with ANB019 in GPP patients, focusing on patients who have mutations that render their IL-36RA dysfunctional, starting with an initial signal study with five to ten patients. Based on the therapeutic effect we anticipate ANB019 will have in the treatment of patients with GPP who have the relevant genetic defect, we believe a small trial, potentially with fewer than 100 patients, may be sufficient to demonstrate substantial evidence of efficacy and safety. We intend to obtain input from FDA on clinical trial design before conducting a pivotal clinical trial in patients with GPP.</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Once the aforementioned GPP registration study has been initiated, we intend to develop ANB019 for PPP. We anticipate a dose-ranging placebo-controlled Phase 2 trial for PPP with United States and foreign testing sites, followed by one or more Phase 3 pivotal registration trials. If we use a diagnostic test to select patients for inclusion in our registration program, such as a genetic test for IL-36RA mutations, the FDA may require that the companion diagnostic be approved or cleared for use at the time the product receives marketing approval.</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Human studies have shown that IL-36 cytokines are highly upregulated in psoriasis vulgaris, in conjunction with some upregulation of other inflammatory cytokines such as TNF-alpha, IL-17A, IL-6 and IL-12. Therefore, we may, as part of our initial clinical testing of ANB019, conduct a proof-of-mechanism clinical trial with psoriasis vulgaris patients who are not currently on any biological therapies. In addition, we may also consider clinical development of ANB019 for patients with psoriasis vulgaris that have failed treatment with the current standard of care, including Stelara (ustekinumab) and Cosentyx (secukinumab).</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Figure 8 below describes our current anticipated clinical development strategy for ANB019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6217285" cy="36620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17285" cy="366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8. Anticipated ANB019 clinical development strategy.</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described above, we plan to pursue a clinical development strategy that involves conducting our initial clinical trials in Australia. We are pursuing this strategy in order to benefit from certain financial incentives that Australia makes available for biotechnology research and development and because we believe that Australia provides streamlined approval processes for the initiation of first-in-human studies, which we believe will allow us to begin our Phase 1 clinical trials weeks, and possibly several months, sooner than if we pursued initiation of trials in the United States. In particular, the Australian CTN review process is conducted on a regional basis by a single committee, without the requirement for review by the TGA. In contrast, in the United States, the sponsor of a first-in-human clinical trial typically must engage in a series of steps that include submission of an IND to the FDA and waiting 30 days for FDA feedback, if any, and then separate submission of materials to a review board at the trial site. Although we expect the length of each Phase 1 clinical trial, once initiated, will be the same as it would be if the trials were conducted in the United States, we believe the streamlined approval processes for the initiation of our trials in Australia offers us a meaningful advantage.</w:t>
      </w:r>
    </w:p>
    <w:p>
      <w:pPr>
        <w:spacing w:after="0" w:line="18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addition, we believe that clinical data generated in Australia will subsequently be accepted by the FDA and its foreign equivalents outside of Australia, and therefore may enable us to commence Phase 2 and possibly registration clinical trials in the United States following submission of an IND, without any need for us to repeat our Phase 1 trials in the United States. As discussed below under “Government Regulation and Product Approval—Foreign Clinical Studies to Support an IND,” we believe the FDA will generally accept data from well-designed, well-conducted foreign clinical trials that are conducted in accordance with GCP where the FDA is able to validate data through onsite inspection, if the FDA deems such inspection necessary. We expect that our Phase 1 clinical trials for ANB019 will be well-designed and conducted in accordance with GCP and therefore believe that the data from the trials will be accepted by the FDA. However, the FDA and other foreign equivalents are not required to accept Phase 1 data generated in Australia. If they do not accept any such data, we would likely be required to conduct additional Phase 1 clinical trials.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 Market Opportunity</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IL-36R cytokine dysfunction is implicated in multiple inflammatory disorders including GPP, PPP, and potentially in severe, refractory cases of psoriasis vulgaris.</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Generalized Pustular Psoriasis. </w:t>
      </w:r>
      <w:r>
        <w:rPr>
          <w:rFonts w:ascii="Arial" w:cs="Arial" w:eastAsia="Arial" w:hAnsi="Arial"/>
          <w:sz w:val="16"/>
          <w:szCs w:val="16"/>
          <w:color w:val="auto"/>
        </w:rPr>
        <w:t>GPP is a chronic, life-threatening, rare disease with no currently approved therapies. GPP is a systemic inflammatory disease</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Through assessment of public literature and primary key opinion leader discussions, we estimate GPP affects approximately 3,000 individuals in the United States. We have conducted, and will continue to conduct, genotyping studies to identify GPP patients for potential enrollment in our upcoming clinical trials in this indication. Given the limited size of this patient population in the United States, we plan to seek Orphan Drug Designation from the FDA for ANB019 for the treatment of GPP. The FDA may grant Orphan Drug Designation to a product intended to treat a rare disease or condition—generally one that affects fewer than 200,000 individuals in the United States. If we obtain Orphan Drug Designation for ANB019 for the treatment of GPP and subsequently are the first BLA applicant to receive FDA approval for a product containing the same active molecular structure as ANB019, ANB019 would be entitled to a seven-year exclusive marketing period in the United States for the treatment of GPP. Although the GPP patient population is small, we believe there is an unmet medical need that ANB019 may be able to address.</w:t>
      </w:r>
    </w:p>
    <w:p>
      <w:pPr>
        <w:spacing w:after="0" w:line="17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Palmo-plantar Pustular Psoriasis. </w:t>
      </w:r>
      <w:r>
        <w:rPr>
          <w:rFonts w:ascii="Arial" w:cs="Arial" w:eastAsia="Arial" w:hAnsi="Arial"/>
          <w:sz w:val="17"/>
          <w:szCs w:val="17"/>
          <w:color w:val="auto"/>
        </w:rPr>
        <w:t>PPP is a non-fatal form of pustular psoriasis that we estimate affects approximately 2% of total psoriasis cases,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150,000 patients in the United States alone. Patients experience a chronic occurrence of sterile pustules on their hands and feet, while systemic levels of IL-36 cytokines and other inflammatory disease biomarkers are also elevated. Patients with severe symptoms may have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significant pain and be unable to stand, walk or do manual work, resulting in greatly diminished quality of life. Existing anti-inflammatory therapeutic options to our knowledge have not proven to be consistently effective in treating PPP. As we believe the PPP patient population to be less than 200,000 individuals in the United States, we plan to seek Orphan Drug Designation from the FDA for ANB019 in this indication as well.</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Refractory Psoriasis Vulgaris. </w:t>
      </w:r>
      <w:r>
        <w:rPr>
          <w:rFonts w:ascii="Arial" w:cs="Arial" w:eastAsia="Arial" w:hAnsi="Arial"/>
          <w:sz w:val="17"/>
          <w:szCs w:val="17"/>
          <w:color w:val="auto"/>
        </w:rPr>
        <w:t>Refractory psoriasis vulgaris is another potential market opportunity for the development of ANB019. While the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biologics that target these three cytokine pathways, including Stelara (ustekinumab) and Cosentyx (secukinumab), are effective for the majority of psoriasis vulgaris patients, a subset of the population is refractory to approved biologics. For purposes of developing an estimate, we have defined the refractory population as the subset of the patient population that does not have at least a 75% response to the leading approved therapy, which is Cosentyx. Based on this definition and our analysis publicly-available information and literature, we estimate that approximately 5% of the patient population, representing approximately 375,000 patients, is refractory to the leading approved therapy for psoriasis vulgaris. We hypothesize that IL-36 cytokine function is the key inflammatory driver in such refractory patients, and therefore these patients may benefit from ANB019.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Discovery-Stage Programs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Our strategy includes the discovery and development of therapeutic antibodies targeting emerging opportunities in inflammation and immuno-oncology. We are currently developing anti-inflammatory antibodies that agonize checkpoint receptors and amplify negative signaling into T cells, which may be useful for the treatment of severe inflammatory conditions. We are also developing potentially first-in-class checkpoint receptor antagonists that are designed to treat patients that may not benefit from currently approved checkpoint inhibitor antibody therapies. Each of these programs is in lead selection stages and we anticipate moving at least one new product to IND-enabling manufacturing and preclinical studies during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SHM-XEL Antibody Discovery Platform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Antibody Overview</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1649095</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148590</wp:posOffset>
            </wp:positionV>
            <wp:extent cx="1431925" cy="12604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3192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Figure 9. Antibody structure. Antibodies are composed of two heavy and light chains paired into a Y-shaped formation. Antigen binding occurs at the antigen binding site, formed by the heavy and light chain Fab domains, while the Fc domain of the heavy chains form the effector end of the antibody.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73" w:lineRule="exact"/>
        <w:rPr>
          <w:sz w:val="20"/>
          <w:szCs w:val="20"/>
          <w:color w:val="auto"/>
        </w:rPr>
      </w:pPr>
    </w:p>
    <w:p>
      <w:pPr>
        <w:ind w:left="900" w:right="180" w:hanging="325"/>
        <w:spacing w:after="0" w:line="26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Target Specificity. </w:t>
      </w:r>
      <w:r>
        <w:rPr>
          <w:rFonts w:ascii="Arial" w:cs="Arial" w:eastAsia="Arial" w:hAnsi="Arial"/>
          <w:sz w:val="18"/>
          <w:szCs w:val="18"/>
          <w:color w:val="auto"/>
        </w:rPr>
        <w:t>Due to the large size and complex nature of the antibody Fab domain, antibodies generally bind with high specificity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therapeutic target and tend to exhibit less off-target binding to unrelated proteins, which lowers the risk of unintended biological side effects such as toxicity.</w:t>
      </w:r>
    </w:p>
    <w:p>
      <w:pPr>
        <w:spacing w:after="0" w:line="81" w:lineRule="exact"/>
        <w:rPr>
          <w:rFonts w:ascii="Arial" w:cs="Arial" w:eastAsia="Arial" w:hAnsi="Arial"/>
          <w:sz w:val="18"/>
          <w:szCs w:val="18"/>
          <w:color w:val="auto"/>
        </w:rPr>
      </w:pPr>
    </w:p>
    <w:p>
      <w:pPr>
        <w:ind w:left="900" w:right="100" w:hanging="325"/>
        <w:spacing w:after="0" w:line="26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 molecules.</w:t>
      </w:r>
      <w:r>
        <w:rPr>
          <w:rFonts w:ascii="Arial" w:cs="Arial" w:eastAsia="Arial" w:hAnsi="Arial"/>
          <w:sz w:val="18"/>
          <w:szCs w:val="18"/>
          <w:b w:val="1"/>
          <w:bCs w:val="1"/>
          <w:color w:val="auto"/>
        </w:rPr>
        <w:t xml:space="preserve"> </w:t>
      </w:r>
      <w:r>
        <w:rPr>
          <w:rFonts w:ascii="Arial" w:cs="Arial" w:eastAsia="Arial" w:hAnsi="Arial"/>
          <w:sz w:val="18"/>
          <w:szCs w:val="18"/>
          <w:color w:val="auto"/>
        </w:rPr>
        <w:t>Full length antibodies tend to exhibit serum half-lives of seven to 24 days in humans, leading to bi-weekly or monthly dosing as typical practice for therapeutic antibodies.</w:t>
      </w:r>
    </w:p>
    <w:p>
      <w:pPr>
        <w:spacing w:after="0" w:line="81" w:lineRule="exact"/>
        <w:rPr>
          <w:rFonts w:ascii="Arial" w:cs="Arial" w:eastAsia="Arial" w:hAnsi="Arial"/>
          <w:sz w:val="18"/>
          <w:szCs w:val="18"/>
          <w:color w:val="auto"/>
        </w:rPr>
      </w:pPr>
    </w:p>
    <w:p>
      <w:pPr>
        <w:ind w:left="900" w:hanging="325"/>
        <w:spacing w:after="0" w:line="347"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to their desired target, with binding dissociation constants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low nanomolar to picomolar range. Hence, antibodies tend to be dosed at low amounts (less than 1 gram quantities per course of therapy).</w:t>
      </w:r>
    </w:p>
    <w:p>
      <w:pPr>
        <w:spacing w:after="0" w:line="12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believe that therapeutic antibodies can be significantly de-risked pre-clinically for specificity, toxicology and pharmacokinetics, which is not generally true for small molecule drugs.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Since the first therapeutic antibody was approved by the FDA in 1986, the pharmaceutical industry has sought opportunities to leverage antibodies as therapeutic agents to treat human disease. Global sales of therapeutic antibodies have reached over $40 billion annually and are predicted to remain a fast-growing segment of the therapeutic market.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Competing Antibody Technologies</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Despite the promise of antibodies as a therapeutic modality, historically it has been difficult and time-consuming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w:t>
      </w:r>
    </w:p>
    <w:p>
      <w:pPr>
        <w:spacing w:after="0" w:line="73" w:lineRule="exact"/>
        <w:rPr>
          <w:sz w:val="20"/>
          <w:szCs w:val="20"/>
          <w:color w:val="auto"/>
        </w:rPr>
      </w:pPr>
    </w:p>
    <w:p>
      <w:pPr>
        <w:ind w:left="900" w:right="60" w:hanging="325"/>
        <w:spacing w:after="0" w:line="289"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Insufficient Diversity</w:t>
      </w:r>
      <w:r>
        <w:rPr>
          <w:rFonts w:ascii="Arial" w:cs="Arial" w:eastAsia="Arial" w:hAnsi="Arial"/>
          <w:sz w:val="17"/>
          <w:szCs w:val="17"/>
          <w:color w:val="auto"/>
        </w:rPr>
        <w:t>. Each of the prior technologies has limited, and often static, diversity of antibodies available for selection.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63" w:lineRule="exact"/>
        <w:rPr>
          <w:rFonts w:ascii="Arial" w:cs="Arial" w:eastAsia="Arial" w:hAnsi="Arial"/>
          <w:sz w:val="17"/>
          <w:szCs w:val="17"/>
          <w:color w:val="auto"/>
        </w:rPr>
      </w:pPr>
    </w:p>
    <w:p>
      <w:pPr>
        <w:ind w:left="900" w:right="360" w:hanging="325"/>
        <w:spacing w:after="0" w:line="266"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Lack of Functional Activity Selection. </w:t>
      </w:r>
      <w:r>
        <w:rPr>
          <w:rFonts w:ascii="Arial" w:cs="Arial" w:eastAsia="Arial" w:hAnsi="Arial"/>
          <w:sz w:val="18"/>
          <w:szCs w:val="18"/>
          <w:color w:val="auto"/>
        </w:rPr>
        <w:t>Competing technologies have not been able to drive antibody selection on the basis of functional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Even if antibodies are available against a certain target, they may not bind the correct region or epitope of the protein to achieve the intended functional therapeutic effects;</w:t>
      </w:r>
    </w:p>
    <w:p>
      <w:pPr>
        <w:spacing w:after="0" w:line="81" w:lineRule="exact"/>
        <w:rPr>
          <w:rFonts w:ascii="Arial" w:cs="Arial" w:eastAsia="Arial" w:hAnsi="Arial"/>
          <w:sz w:val="18"/>
          <w:szCs w:val="18"/>
          <w:color w:val="auto"/>
        </w:rPr>
      </w:pPr>
    </w:p>
    <w:p>
      <w:pPr>
        <w:ind w:left="900" w:hanging="325"/>
        <w:spacing w:after="0" w:line="266"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Low Potency. </w:t>
      </w:r>
      <w:r>
        <w:rPr>
          <w:rFonts w:ascii="Arial" w:cs="Arial" w:eastAsia="Arial" w:hAnsi="Arial"/>
          <w:sz w:val="18"/>
          <w:szCs w:val="18"/>
          <w:color w:val="auto"/>
        </w:rPr>
        <w:t>Antibodies from competing technologies tend to demonstrate low binding potencies against their targets. Such incomplete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result in therapeutic effect that is sufficient to change disease outcomes, or require impractically high doses to convey therapeutic benefit; and</w:t>
      </w:r>
    </w:p>
    <w:p>
      <w:pPr>
        <w:spacing w:after="0" w:line="81" w:lineRule="exact"/>
        <w:rPr>
          <w:rFonts w:ascii="Arial" w:cs="Arial" w:eastAsia="Arial" w:hAnsi="Arial"/>
          <w:sz w:val="18"/>
          <w:szCs w:val="18"/>
          <w:color w:val="auto"/>
        </w:rPr>
      </w:pPr>
    </w:p>
    <w:p>
      <w:pPr>
        <w:ind w:left="900" w:right="420" w:hanging="325"/>
        <w:spacing w:after="0" w:line="266"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Unpredictable Manufacturing Properties. </w:t>
      </w:r>
      <w:r>
        <w:rPr>
          <w:rFonts w:ascii="Arial" w:cs="Arial" w:eastAsia="Arial" w:hAnsi="Arial"/>
          <w:sz w:val="18"/>
          <w:szCs w:val="18"/>
          <w:color w:val="auto"/>
        </w:rPr>
        <w:t>Using microbial display systems such as phage and yeast display libraries has resulted in</w:t>
      </w:r>
      <w:r>
        <w:rPr>
          <w:rFonts w:ascii="Arial" w:cs="Arial" w:eastAsia="Arial" w:hAnsi="Arial"/>
          <w:sz w:val="18"/>
          <w:szCs w:val="18"/>
          <w:b w:val="1"/>
          <w:bCs w:val="1"/>
          <w:color w:val="auto"/>
        </w:rPr>
        <w:t xml:space="preserve"> </w:t>
      </w:r>
      <w:r>
        <w:rPr>
          <w:rFonts w:ascii="Arial" w:cs="Arial" w:eastAsia="Arial" w:hAnsi="Arial"/>
          <w:sz w:val="18"/>
          <w:szCs w:val="18"/>
          <w:color w:val="auto"/>
        </w:rPr>
        <w:t>unpredictable expression, stability and formulation when manufacturing is initiated using mammalian cells, thus leading to poor production yields and product stability.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Mouse immunization methodologies</w:t>
      </w:r>
      <w:r>
        <w:rPr>
          <w:rFonts w:ascii="Arial" w:cs="Arial" w:eastAsia="Arial" w:hAnsi="Arial"/>
          <w:sz w:val="18"/>
          <w:szCs w:val="18"/>
          <w:color w:val="auto"/>
        </w:rPr>
        <w:t>. Mouse immunization methodologies involve the administration of human target antigen to mice with wild-type or</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Microbial antibody display systems</w:t>
      </w:r>
      <w:r>
        <w:rPr>
          <w:rFonts w:ascii="Arial" w:cs="Arial" w:eastAsia="Arial" w:hAnsi="Arial"/>
          <w:sz w:val="18"/>
          <w:szCs w:val="18"/>
          <w:color w:val="auto"/>
        </w:rPr>
        <w:t>. Microbial antibody display systems require screening of antibodies, typically formatted as antibody fragments, from a</w:t>
      </w:r>
      <w:r>
        <w:rPr>
          <w:rFonts w:ascii="Arial" w:cs="Arial" w:eastAsia="Arial" w:hAnsi="Arial"/>
          <w:sz w:val="18"/>
          <w:szCs w:val="18"/>
          <w:i w:val="1"/>
          <w:iCs w:val="1"/>
          <w:color w:val="auto"/>
        </w:rPr>
        <w:t xml:space="preserve"> </w:t>
      </w:r>
      <w:r>
        <w:rPr>
          <w:rFonts w:ascii="Arial" w:cs="Arial" w:eastAsia="Arial" w:hAnsi="Arial"/>
          <w:sz w:val="18"/>
          <w:szCs w:val="18"/>
          <w:color w:val="auto"/>
        </w:rPr>
        <w:t>static library diversity displayed on a bacterial or yeast microbial cell surface. The static nature of these libraries limits the range of antibody specificities to 10 9 or 10 10 range, which is generally insufficient to avail high-affinity antibodies against many antigens. This can lead to suboptimal potency, and subsequently require phage/yeast antibodies to be matured significantly, typically with random mutagenesis, to obtain therapeutic level potencies, which is a labor-intensive and inefficient process. In 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Human B cell screening methodologies</w:t>
      </w:r>
      <w:r>
        <w:rPr>
          <w:rFonts w:ascii="Arial" w:cs="Arial" w:eastAsia="Arial" w:hAnsi="Arial"/>
          <w:sz w:val="18"/>
          <w:szCs w:val="18"/>
          <w:color w:val="auto"/>
        </w:rPr>
        <w:t>. Human B cell screening methodologies involve the screening and isolation of antibodies from peripheral human</w:t>
      </w:r>
      <w:r>
        <w:rPr>
          <w:rFonts w:ascii="Arial" w:cs="Arial" w:eastAsia="Arial" w:hAnsi="Arial"/>
          <w:sz w:val="18"/>
          <w:szCs w:val="18"/>
          <w:i w:val="1"/>
          <w:iCs w:val="1"/>
          <w:color w:val="auto"/>
        </w:rPr>
        <w:t xml:space="preserve"> </w:t>
      </w:r>
      <w:r>
        <w:rPr>
          <w:rFonts w:ascii="Arial" w:cs="Arial" w:eastAsia="Arial" w:hAnsi="Arial"/>
          <w:sz w:val="18"/>
          <w:szCs w:val="18"/>
          <w:color w:val="auto"/>
        </w:rPr>
        <w:t>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Solution</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7"/>
          <w:szCs w:val="17"/>
          <w:i w:val="1"/>
          <w:iCs w:val="1"/>
          <w:color w:val="auto"/>
        </w:rPr>
        <w:t>in vitro</w:t>
      </w:r>
      <w:r>
        <w:rPr>
          <w:rFonts w:ascii="Arial" w:cs="Arial" w:eastAsia="Arial" w:hAnsi="Arial"/>
          <w:sz w:val="17"/>
          <w:szCs w:val="17"/>
          <w:color w:val="auto"/>
        </w:rPr>
        <w:t>. SHM is a critical, endogenous process that generates the essential antibody diversity required to develop a natural immune response to pathogens. Our genomes encode a limited number of antibody genes, which are insufficient to generate antibodies against the wide variety of foreign pathogens encountered from the external environment. SHM enables our immune system to expand the limited diversity encoded within our genomes to the billions of antibody specificities required to defend ourselves against external pathogens.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2219960</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135890</wp:posOffset>
            </wp:positionV>
            <wp:extent cx="3319145" cy="18440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1914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Figure 10. Mechanism of SHM. SHM is initiated by the Activation-Induced Cytidine Deaminase, or AID, which converts cytidine to uracil at key positions, resulting in subsequent replication, DNA repair and base excision processes that generate either wild-type (wt) or mutant DNA molecules.</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SHM does not generally progress to the creation of high potency antibodies or develop antibodies against the body’s own proteins.</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By coupling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SHM with our mammalian cell system that simultaneously displays and secretes antibodies, we believe SHM-XEL is able to rapidly identify and mature antibodies with desired functional activity to high potency while simultaneously mitigating the risks associated with manufacturing. We introduce AID into mammalian cells to replicate the non-random mutagenesis SHM pattern observed within B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our platform technology closely mimics the pattern observed among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generated antibodies, thereby increasing confidence that antibodies generated by our platform will be tolerated when used as therapeutic drugs in humans.</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By selecting antibodies based on their antigen binding from the broad antibody library population SHM-XEL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have been challenging for competing antibody technology platforms to generate such as IL-33 and TIM-3.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1886585</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146050</wp:posOffset>
            </wp:positionV>
            <wp:extent cx="2967355" cy="15005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6735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Figure 11. SHM-XEL Antibody Generation Process. Our platform initiates antibody selection from starting libraries of human and non-human diversity, which is further optimized through iterative rounds of SHM and selection.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evolving antibody is expressed within the SHM-active mammalian cell to concurrently (i) display the evolved antibody on the cell surface to permit cell sorting selection for potency properties while (ii) the same antibody is secreted into the extracellular media at sufficient quantities to permit functional assays to be conducted. In this manner, the evolving antibodies expressed by each transfected cell are assessed in a high-throughput fashion for the desired functional activity relevant to the therapeutic mechanism.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antibody discovery platform, as described above, has the following advantages over competing approaches:</w:t>
      </w:r>
    </w:p>
    <w:p>
      <w:pPr>
        <w:spacing w:after="0" w:line="127" w:lineRule="exact"/>
        <w:rPr>
          <w:sz w:val="20"/>
          <w:szCs w:val="20"/>
          <w:color w:val="auto"/>
        </w:rPr>
      </w:pPr>
    </w:p>
    <w:p>
      <w:pPr>
        <w:ind w:left="900" w:right="300" w:hanging="325"/>
        <w:spacing w:after="0" w:line="266"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We are able to generate an unprecedented diversity of antibodies by applying SHM-based diversification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outside of the constraints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This enables us to develop antibodies against human targets that we believe have not otherwise been accessible to prior technologies.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100" w:hanging="325"/>
        <w:spacing w:after="0" w:line="313"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w:t>
      </w:r>
    </w:p>
    <w:p>
      <w:pPr>
        <w:spacing w:after="0" w:line="43" w:lineRule="exact"/>
        <w:rPr>
          <w:rFonts w:ascii="Arial" w:cs="Arial" w:eastAsia="Arial" w:hAnsi="Arial"/>
          <w:sz w:val="17"/>
          <w:szCs w:val="17"/>
          <w:color w:val="auto"/>
        </w:rPr>
      </w:pPr>
    </w:p>
    <w:p>
      <w:pPr>
        <w:ind w:left="900" w:right="40" w:hanging="325"/>
        <w:spacing w:after="0" w:line="26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900" w:right="300" w:hanging="325"/>
        <w:spacing w:after="0" w:line="26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900" w:right="160" w:hanging="325"/>
        <w:spacing w:after="0" w:line="26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the risks associated with antibody expression, formulation and stability during the antibody generation process.</w:t>
      </w:r>
    </w:p>
    <w:p>
      <w:pPr>
        <w:spacing w:after="0" w:line="81"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Bispecific antibodies. </w:t>
      </w:r>
      <w:r>
        <w:rPr>
          <w:rFonts w:ascii="Arial" w:cs="Arial" w:eastAsia="Arial" w:hAnsi="Arial"/>
          <w:sz w:val="16"/>
          <w:szCs w:val="16"/>
          <w:color w:val="auto"/>
        </w:rPr>
        <w:t>A bispecific antibody is a single therapeutic molecule designed to bind two different targets. Bispecific antibodies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SHM-XEL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March 2014, we entered into a collaboration and exclusive license agreement with TESARO. We executed an amendment in November 2014 to add an additional dual-reactive antibody product candidate. Under the terms of the amended agreement, we granted TESARO an exclusive, royalty-bearing, sublicensable worldwide license to research, develop, manufacture, market and sell products based on our proprietary technology for the discovery, generation and optimization of certain specified immunotherapy antibodies. Specifically, we granted TESARO exclusive rights to three monospecific antibody product candidates targeting TIM-3 (TSR-022), LAG-3 (TSR-033) and PD-1 (TSR-042) and three bispecific antibody product candidates targeting PD-1/TIM-3, PD-1/LAG-3 and an undisclosed target. Under the amended agreement, we are responsible for performing initial discovery and development of therapeutic antibodies with the goal of generating immunotherapy antibodies for use in the treatment of cancer. TESARO is responsible for all subsequent preclinical, clinical, regulatory, manufacturing and other activities necessary to develop and commercialize antibodies selected under each of six development programs, and TESARO is obligated to use commercially reasonable efforts to research, develop and commercialize at least one product to each of the four targets. During the term, other than under the collaboration, both TESARO and we are prohibited from developing and commercializing, independently or with a third party, any agents targeting LAG-3, PD-1 or TIM-3, as single agents or in combination with other therapies.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Under the terms of this agreement, TESARO made up-front, non-creditable and non-refundable cash payments aggregating $19.0 million to us during 2014. TESARO is also required to reimburse us on a quarterly basis for specified costs incurred by us in our initial discovery and development activities covered by the agreement. For products to each of the four targets, TESARO is required to make milestone payments to us of up to $18.0 million if certain research and development milestone events are achieved, and up to an additional $90.0 million of milestone payments if certain U.S. and non-U.S. regulatory submissions and approvals occur in initial and subsequent indications. TESARO will also be required to pay us tiered single-digit royalties, on a product-by-product basis, on worldwide annual net sales, and additional commercial milestone payments if specified levels of annual net sales of a product are attained.</w:t>
      </w:r>
    </w:p>
    <w:p>
      <w:pPr>
        <w:spacing w:after="0" w:line="165"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This agreement expires when no further payments are due to us, unless earlier terminated. Either party may terminate the agreement in the event of an uncured material breach by the other party. TESARO may terminate the agreement at any time upon 90 days’ prior written notice to us.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December 2011, we entered into a collaboration agreement with Celgene, or the Collaboration Agreement, to develop human therapeutic antibodies against multiple biological targets. We completed our responsibilities under the terms of the agreement to generate antibodies against various mutually agreed biological targets. On a target-by-target basis, we provided Celgene an option to obtain rights to develop and commercialize a defined number of antibodies against each target. We were successful in generating antibodies against multiple targets and Celgene has exercised its option with respect to antibodies against three targets. Celgene is currently advancing two anti-flammatory antibodies to the clinic.</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Upon execution of the Collaboration Agreement in 2011, Celgene paid us a one-time, non-refundable, non-creditable initial fee of $6.0 million. Celgene has reimbursed us for specified research costs in accordance with the research plans. Celgene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Celgene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ten years after the first commercial sale of the product in such country.</w:t>
      </w:r>
    </w:p>
    <w:p>
      <w:pPr>
        <w:spacing w:after="0" w:line="18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Collaboration Agreement continues until our royalty rights on any Celgene product resulting from the collaboration expire, which period will last at least ten years after any such product first goes to market. Either we or Celgene may terminate the agreement in the event of an uncured material breach by the other party. Celgene may also terminate the agreement at any time prior to the delivery of any of the contemplated antibodies upon 90 days’ prior written notice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MRC</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2006, we entered into an exclusive worldwide license agreement with the Medical Research Council, or MRC, to obtain rights to multiple patents and patent applications relating to fundamental discoveries with respect to SHM and AID by Dr. Michael Neuberger and his colleagues. We since amended this license agreement to include additional subject matter. Under the terms of the agreement, or the MRC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responsible for paying MRC an annual fee of $55,000. Additionally, for each product developed and commercialized under the MRC Agreement, we are obligated to pay MRC up to an additional $175,000 upon the achievement of specified development milestone events and up to an additional $275,000 upon the achievement of specified regulatory milestone events. In addition we owe MRC royalties at 0.25% of annual net sales for worldwide sales on a product-by-product at or below $750 million and 1% of annual net sales of products worldwide above $750 million, payable on a country-by-country basis until the expiration of the last licensed patent covering such product in such country. Under this license agreement, we have rights to 16 patents and seven pending patent applications worldwide.</w:t>
      </w:r>
    </w:p>
    <w:p>
      <w:pPr>
        <w:spacing w:after="0" w:line="19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Unless earlier terminated, the MRC Agreement will expire upon expiration of all royalty payment obligations under the MRC Agreement. Either party may terminate the MRC Agreement in the event of an uncured material breach by the other party or upon the occurrence of specified bankruptcy events for the other party. We may terminate the MRC Agreement upon 60 days’ notice to MRC.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Millipore</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Additionally, for each product developed and commercialized under the Millipore Agreement, we are obligated to pay Millipore up to an additional $75,000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18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Operations</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March 2015, we established a wholly-owned Australian subsidiary called AnaptysBio Pty. Ltd, in order to conduct various preclinical and clinical activities for ANB020 and ANB019. We believe our Australian subsidiary will be eligible for certain financial incentives made available by the Australian government for biotech research and development expenses. Specifically, Australia provides a refundable tax credit in the form of a cash rebate equal to 43.5% of qualified expenditures on biotech research and development projects to Australian companies that operate the majority of their research and development activities associated with such projects in Australia. A wholly-owned Australian subsidiary of a non-Australian parent company is eligible to receive the refundable tax credit, provided that the Australian subsidiary retains the rights to the data and intellectual property generated in Australia, and provided that the total revenues of the parent company and its consolidated subsidiaries during the period for which the refundable tax credit is claimed are less than $20.0 million Australian dollars. In April 2016, we received a refundable tax credit totaling $0.4 million for preclinical and clinical activities in Australia and we anticipate receiving an additional $0.5 million to $1.5 million in Australian refundable tax credits over the next 24 months, to the extent that our revenues do not exceed $20.0 million Australian dollars in any annual tax period and we comply with the other requirements described above.</w:t>
      </w:r>
    </w:p>
    <w:p>
      <w:pPr>
        <w:spacing w:after="0" w:line="16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by establishing operations in Australia, we are able to access an established network of manufacturing and clinical development support contractors located in Australia and benefit from Australia’s streamlined approval processes for the initiation of first-in human studies. We do not have any employees with experience advancing product candidates through the Australian regulatory review process. However, we have engaged Australian consultants with expertise in the regulatory requirements and clinical development of therapeutic products in Australia, and we plan to work with established manufacturing and clinical development support contractors located in Australia, who are also familiar with Australian regulatory and product development processes.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160" w:firstLine="456"/>
        <w:spacing w:after="0" w:line="302" w:lineRule="auto"/>
        <w:rPr>
          <w:sz w:val="20"/>
          <w:szCs w:val="20"/>
          <w:color w:val="auto"/>
        </w:rPr>
      </w:pPr>
      <w:r>
        <w:rPr>
          <w:rFonts w:ascii="Arial" w:cs="Arial" w:eastAsia="Arial" w:hAnsi="Arial"/>
          <w:sz w:val="16"/>
          <w:szCs w:val="16"/>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patent portfolio, including patents to our technology platform licensed from MRC and patents licensed from Kyoto University, consisted of 33 issued patents and 36 pending patent applications as of April 30, 2016.</w:t>
      </w:r>
    </w:p>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antibody sequence diversity, epitopes, functional activity and methods of use. Throughout the development of our product candidates, we seek to identify additional means of obtaining patent protection that would potentially enhance commercial success, including through additional methods of use and biomarker and companion diagnostic related claims.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two internal programs and platform technology are outlined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April 30, 2016, we owned one international patent application, filed under the Patent Cooperation Treaty, or PCT, which is directed to the antibody sequence of ANB020 and its variants, epitopes, methods of use and related matters. We intend to prosecute the pending international application and pursue patent issuance and protection in key commercial markets where significant product sales may occur. Patents that may issue from this pending international application would provide protection until January 2035.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April 30, 2016, we owned one international patent application, filed under the PCT, which is directed to the antibody sequence of ANB019 and its variants, epitopes, methods of use and related matters. We intend to prosecute the pending international application, and pursue patent issuance and protection in key commercial markets where significant product sales may occur. Patents that may issue from the expected international application would provide protection until April 2036.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Technology</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platform technology is covered by U.S. and foreign issued patents and pending patent applications, emanating from our in-licensed portfolio and wholly owned portfolio, currently under prosecution in various jurisdictions.</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Our wholly owned portfolio includes patents and patent applications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2028.</w:t>
      </w:r>
    </w:p>
    <w:p>
      <w:pPr>
        <w:spacing w:after="0" w:line="14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Factors—Risks Related to Our Intellectual Property.”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must manufacture drug product for clinical trial use in compliance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16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to manufacture cGMP drug substance or filled drug product for use in human clinical trials.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rely on third-party manufacturers to generate cGMP-grade cell lines and will rely on them to produce cGMP drug product required for our planned clinical trials, and expect to continue to rely on third parties to manufacture clinical trial drug supplies for the foreseeable future. We also contract with additional third parties 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cGMP batches of our product candidates, they have previously manufactured products for other companies in compliance with cGMP and have been previously inspected by regulatory authorities for compliance with cGMP standards. Similarly, our personnel have had experience with cGMP at previous positions.</w:t>
      </w:r>
    </w:p>
    <w:p>
      <w:pPr>
        <w:spacing w:after="0" w:line="16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Specifically, there are several companies developing or marketing treatments that may be approved for the same indications and/or diseases as our lead product candidates, ANB019 and ANB020, including major pharmaceutical companies.</w:t>
      </w:r>
    </w:p>
    <w:p>
      <w:pPr>
        <w:spacing w:after="0" w:line="17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(AstraZeneca) that bind the IL-5 receptor; antibodies that bind to IL-13 such as lebrikizumab (Roche), tralokinumab (AstraZeneca) and anrukinzumab (Pfizer) which are in clinical testing; antibodies that bind the IL-4 receptor alpha chain such as dupilumab (Regeneron) and AMG 317 (Amgen) each in clinical testing; and an ST2-binding antibody which Roche has in-licensed from Amgen (previously known as AMG 282) and plans to advance into Phase 2 clinical trials.</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Biologics License Application, or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7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and a proposed clinical trial protocol. Long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w:t>
      </w:r>
    </w:p>
    <w:p>
      <w:pPr>
        <w:spacing w:after="0" w:line="2" w:lineRule="exact"/>
        <w:rPr>
          <w:sz w:val="20"/>
          <w:szCs w:val="20"/>
          <w:color w:val="auto"/>
        </w:rPr>
      </w:pPr>
    </w:p>
    <w:p>
      <w:pPr>
        <w:jc w:val="both"/>
        <w:ind w:right="60" w:firstLine="8"/>
        <w:spacing w:after="0" w:line="254" w:lineRule="auto"/>
        <w:tabs>
          <w:tab w:leader="none" w:pos="2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9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 products are reviewed within ten months of the date the FDA files the BLA; most applications for priority review biologics are reviewed within six months of the date the FDA files the BLA.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current good manufacturing practice, or cGMP, is satisfactory and the BLA contains data that provide substantial evidence that the biologic is safe, pure, potent and effective in the indication studied.</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REMS to help ensure that the benefits of the biologic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clinical studies to support an IND</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52"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investigator’s qualifications;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description of the research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detailed summary of the protocol and study results and, if requested, case records or additional background data;</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description of the drug substance and drug product, including the components, formulation, specifications, and, if available, the bioavailability of the drug product;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information showing that the study is adequate and well controlled;</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name and address of the independent ethics committee that reviewed the study and a statement that the independent ethics committee meets the required definition;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summary of the independent ethics committee’s decision to approve or modify and approve the study, or to provide a favorable opinion;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description of how informed consent was obtained;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description of what incentives, if any, were provided to subjects to participate;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description of how the sponsors monitored the study and ensured that the study was consistent with the protocol;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statement on whether written commitments by investigators to comply with GCP and the protocol were obtained.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Orphan Drug Act, the FDA may grant orphan drug designation to biological products intended to treat a rare disease or condition—generally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for an indication for which orphan designation has been granted.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controls for biologics</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or biologic for which an NDA or BLA has not been submitted.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On March 6, 2015, the FDA approved the first biosimilar product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w:t>
      </w:r>
    </w:p>
    <w:p>
      <w:pPr>
        <w:spacing w:after="0" w:line="18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If use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is essential to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in conjunction with the review of a biologic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1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9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7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 March 2010, President Obama enacted the ACA, which has the potential to substantially change healthcare financing and delivery by both governmental and private insurers, and significantly impact the pharmaceutical and biotechnology industry.</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Among the ACA provisions of importance to the pharmaceutical and biotechnology industries, in addition to those otherwise described above, are the following:</w:t>
      </w:r>
    </w:p>
    <w:p>
      <w:pPr>
        <w:spacing w:after="0" w:line="76" w:lineRule="exact"/>
        <w:rPr>
          <w:sz w:val="20"/>
          <w:szCs w:val="20"/>
          <w:color w:val="auto"/>
        </w:rPr>
      </w:pPr>
    </w:p>
    <w:p>
      <w:pPr>
        <w:ind w:left="900" w:right="680" w:hanging="325"/>
        <w:spacing w:after="0" w:line="34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29" w:lineRule="exact"/>
        <w:rPr>
          <w:rFonts w:ascii="Arial" w:cs="Arial" w:eastAsia="Arial" w:hAnsi="Arial"/>
          <w:sz w:val="16"/>
          <w:szCs w:val="16"/>
          <w:color w:val="auto"/>
        </w:rPr>
      </w:pPr>
    </w:p>
    <w:p>
      <w:pPr>
        <w:ind w:left="900" w:right="10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w:t>
      </w:r>
    </w:p>
    <w:p>
      <w:pPr>
        <w:spacing w:after="0" w:line="2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anticipate that the ACA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revenues from product candidates that we may successfully develop and for which we may obtain regulatory approval and may affect our overall financial condition and ability to develop product candidates. In addition, it is possible that there will be further legislation or regulation that could harm our business, financial condition and results of operations.</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2025 unless additional Congressional action is taken. Additionally, in January 2013, the American Taxpayer Relief Act of 2012 was signed into law, which, among other things, reduced Medicare payments to several providers, including hospitals and imaging centers. These new laws may result in additional reductions in Medicare and other healthcare funding, which could have a material adverse effect on customers for our drugs, if approved, and, accordingly, our financial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58"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Conducting clinical trials for therapeutic drug candidates in Australia is subject to regulation by Australian governmental entities. Approval for inclusion in the Australian Register of Therapeutic Goods, or the ARTG, is required before a pharmaceutical drug product may be marketed in Australia.</w:t>
      </w:r>
    </w:p>
    <w:p>
      <w:pPr>
        <w:spacing w:after="0" w:line="124"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TGA for quality, safety and efficacy must occur pursuant to either the Clinical Trial Notification, or CTN, or Clinical Trial Exemption, or CTX, process.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CTN process broadly involves:</w:t>
      </w:r>
    </w:p>
    <w:p>
      <w:pPr>
        <w:spacing w:after="0" w:line="131"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submission to a Human Research Ethics Committee, or the HREC, of all material relating to the proposed clinical trial, including the trial protocol. The TGA does not review any data relating to the clinical trial;</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institution or organisation at which the trial will be conducted, referred to as the “Approving Authority” gives the final approval for the conduct of the trial at the site, having due regard to the advice from the HREC;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CTN trials cannot commence until the trial has been notified to the TGA.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CTX process:</w:t>
      </w:r>
    </w:p>
    <w:p>
      <w:pPr>
        <w:spacing w:after="0" w:line="131"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sponsor submits an application to conduct a clinical trial to the TGA for evaluation and comment; and</w:t>
      </w:r>
    </w:p>
    <w:p>
      <w:pPr>
        <w:spacing w:after="0" w:line="130"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sponsor cannot commence a CTX trial until written advice has been received from the TGA regarding the application and approval for the conduct of the trial has been obtained from an ethics committee and the institution at which the trial will be conducted.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it is required that:</w:t>
      </w:r>
    </w:p>
    <w:p>
      <w:pPr>
        <w:spacing w:after="0" w:line="131"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adequate and well-controlled clinical trials demonstrate the quality, safety and efficacy of the therapeutic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evidence is compiled which demonstrates that the manufacture of the therapeutic drug product complies with the principles of cGMP;</w:t>
      </w:r>
    </w:p>
    <w:p>
      <w:pPr>
        <w:spacing w:after="0" w:line="142"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manufacturing and clinical data is derived to submit to the Australian Committee on Prescription Medicines, which makes recommendations to the TGA as to whether or not to grant approval to include the therapeutic drug product in the ARTG;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ultimate decision is made by the TGA whether to include the therapeutic drug product in the ARTG.</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trials involve administering the investigational product to healthy volunteers or patients under the supervision of a qualified principal investigator. The TGA has developed guidelines for a CTN. Under the CTN process, all material relating to the proposed trial is submitted directly to the HREC of each institution at which the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w:t>
      </w:r>
    </w:p>
    <w:p>
      <w:pPr>
        <w:spacing w:after="0" w:line="18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standards for clinical research in Australia are set by the TGA and the National Health and Medical Research Council, and compliance with GCP is mandatory. Guidelines, such as those promulgated by the International Conference on Harmonization of Technical Requirements for Registration of Pharmaceuticals for Human Use, or ICH, are required across all fields, including those related to pharmaceutical quality, nonclinical and clinical data requirements and study designs. The basic requirements for preclinical data to support a first-in-human study under ICH guidelines are applicable in Australia. Requirements related to adverse event reporting in Australia are similar to those required in other major jurisdictions.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of April 30, 2016, we had 52 full-time employees. Of these employees, 42 were primarily engaged in research and development activities and 12 have an M.D. or a Ph.D. None of our employees are represented by a labor union or covered by collective bargaining agreements, and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Facilities</w:t>
      </w:r>
    </w:p>
    <w:p>
      <w:pPr>
        <w:spacing w:after="0" w:line="12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Our principal executive office is located in San Diego, California, and consists of approximately 25,000 square feet of leased office and laboratory space under a lease which will expire on August 31, 2021. We use these facilities for our administrative, research and development and other activities.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facilities are adequate to meet our needs for the foreseeable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00"/>
          </w:cols>
          <w:pgMar w:left="240" w:top="459" w:right="3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April 30,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320" w:type="dxa"/>
            <w:vAlign w:val="bottom"/>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tcPr>
          <w:p>
            <w:pPr>
              <w:spacing w:after="0"/>
              <w:rPr>
                <w:sz w:val="16"/>
                <w:szCs w:val="16"/>
                <w:color w:val="auto"/>
              </w:rPr>
            </w:pPr>
          </w:p>
        </w:tc>
        <w:tc>
          <w:tcPr>
            <w:tcW w:w="516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182"/>
        </w:trPr>
        <w:tc>
          <w:tcPr>
            <w:tcW w:w="57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216"/>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Hamza Suria.</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51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Marco Londei, M.D.</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5160" w:type="dxa"/>
            <w:vAlign w:val="bottom"/>
          </w:tcPr>
          <w:p>
            <w:pPr>
              <w:spacing w:after="0"/>
              <w:rPr>
                <w:sz w:val="20"/>
                <w:szCs w:val="20"/>
                <w:color w:val="auto"/>
              </w:rPr>
            </w:pPr>
            <w:r>
              <w:rPr>
                <w:rFonts w:ascii="Arial" w:cs="Arial" w:eastAsia="Arial" w:hAnsi="Arial"/>
                <w:sz w:val="18"/>
                <w:szCs w:val="18"/>
                <w:color w:val="auto"/>
              </w:rPr>
              <w:t>Chief Development Officer</w:t>
            </w:r>
          </w:p>
        </w:tc>
      </w:tr>
      <w:tr>
        <w:trPr>
          <w:trHeight w:val="216"/>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Robert E. Hoffman</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2"/>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Matthew Moyle, Ph.D.*</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5160" w:type="dxa"/>
            <w:vAlign w:val="bottom"/>
          </w:tcPr>
          <w:p>
            <w:pPr>
              <w:spacing w:after="0"/>
              <w:rPr>
                <w:sz w:val="20"/>
                <w:szCs w:val="20"/>
                <w:color w:val="auto"/>
              </w:rPr>
            </w:pPr>
            <w:r>
              <w:rPr>
                <w:rFonts w:ascii="Arial" w:cs="Arial" w:eastAsia="Arial" w:hAnsi="Arial"/>
                <w:sz w:val="18"/>
                <w:szCs w:val="18"/>
                <w:color w:val="auto"/>
              </w:rPr>
              <w:t>Chief Scientific Officer</w:t>
            </w:r>
          </w:p>
        </w:tc>
      </w:tr>
      <w:tr>
        <w:trPr>
          <w:trHeight w:val="220"/>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216"/>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Tiba Aynechi, Ph.D.**</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5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 xml:space="preserve">Carol G. Gallagher, Pharm.D. </w:t>
            </w:r>
            <w:r>
              <w:rPr>
                <w:rFonts w:ascii="Arial" w:cs="Arial" w:eastAsia="Arial" w:hAnsi="Arial"/>
                <w:sz w:val="15"/>
                <w:szCs w:val="15"/>
                <w:color w:val="auto"/>
              </w:rPr>
              <w:t>(1)(2)(3)</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5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 xml:space="preserve">Nicholas B. Lydon, Ph.D., FRS </w:t>
            </w:r>
            <w:r>
              <w:rPr>
                <w:rFonts w:ascii="Arial" w:cs="Arial" w:eastAsia="Arial" w:hAnsi="Arial"/>
                <w:sz w:val="15"/>
                <w:szCs w:val="15"/>
                <w:color w:val="auto"/>
              </w:rPr>
              <w:t>(2)</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5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 xml:space="preserve">Hollings Renton </w:t>
            </w:r>
            <w:r>
              <w:rPr>
                <w:rFonts w:ascii="Arial" w:cs="Arial" w:eastAsia="Arial" w:hAnsi="Arial"/>
                <w:sz w:val="15"/>
                <w:szCs w:val="15"/>
                <w:color w:val="auto"/>
              </w:rPr>
              <w:t>(3)(4)</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5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 xml:space="preserve">John P. Schmid </w:t>
            </w:r>
            <w:r>
              <w:rPr>
                <w:rFonts w:ascii="Arial" w:cs="Arial" w:eastAsia="Arial" w:hAnsi="Arial"/>
                <w:sz w:val="15"/>
                <w:szCs w:val="15"/>
                <w:color w:val="auto"/>
              </w:rPr>
              <w:t>(1)</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5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 xml:space="preserve">James A. Schoeneck </w:t>
            </w:r>
            <w:r>
              <w:rPr>
                <w:rFonts w:ascii="Arial" w:cs="Arial" w:eastAsia="Arial" w:hAnsi="Arial"/>
                <w:sz w:val="15"/>
                <w:szCs w:val="15"/>
                <w:color w:val="auto"/>
              </w:rPr>
              <w:t>(1)(2)</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51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 xml:space="preserve">James N. Topper, M.D., Ph.D. </w:t>
            </w:r>
            <w:r>
              <w:rPr>
                <w:rFonts w:ascii="Arial" w:cs="Arial" w:eastAsia="Arial" w:hAnsi="Arial"/>
                <w:sz w:val="15"/>
                <w:szCs w:val="15"/>
                <w:color w:val="auto"/>
              </w:rPr>
              <w:t>(3)(5)</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51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Dr. Moyle will begin serving as our Chief Scientific Officer in May 2016.</w:t>
      </w:r>
    </w:p>
    <w:p>
      <w:pPr>
        <w:spacing w:after="0" w:line="23"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Dr. Aynechi has notified us that she will resign from our board of directors contingent upon and effective immediately prior to the effectiveness of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registration statement of which this prospectus forms a part.</w:t>
      </w:r>
    </w:p>
    <w:p>
      <w:pPr>
        <w:spacing w:after="0" w:line="9"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Chairman of the Board of Directors.</w:t>
      </w:r>
    </w:p>
    <w:p>
      <w:pPr>
        <w:spacing w:after="0" w:line="3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Hamza Suria </w:t>
      </w:r>
      <w:r>
        <w:rPr>
          <w:rFonts w:ascii="Arial" w:cs="Arial" w:eastAsia="Arial" w:hAnsi="Arial"/>
          <w:sz w:val="17"/>
          <w:szCs w:val="17"/>
          <w:color w:val="auto"/>
        </w:rPr>
        <w:t>has served as our President and Chief Executive Officer and a member of our board of directors since July 2011. From January 2009 to</w:t>
      </w:r>
      <w:r>
        <w:rPr>
          <w:rFonts w:ascii="Arial" w:cs="Arial" w:eastAsia="Arial" w:hAnsi="Arial"/>
          <w:sz w:val="17"/>
          <w:szCs w:val="17"/>
          <w:i w:val="1"/>
          <w:iCs w:val="1"/>
          <w:color w:val="auto"/>
        </w:rPr>
        <w:t xml:space="preserve"> </w:t>
      </w:r>
      <w:r>
        <w:rPr>
          <w:rFonts w:ascii="Arial" w:cs="Arial" w:eastAsia="Arial" w:hAnsi="Arial"/>
          <w:sz w:val="17"/>
          <w:szCs w:val="17"/>
          <w:color w:val="auto"/>
        </w:rPr>
        <w:t>June 2011 Mr. Suria served as Vice President of Corporate Development. Before joining our company in December 2008, Mr. Suria worked at Maxygen, Inc., a biopharmaceutical company, where he was responsible for partnering and alliance management of next-generation protein therapeutics in oncology supportive care, hematology and autoimmunity, including partnerships with healthcare and pharmaceutical companies, such as Roche, Sanofi S.A., Bayer Corporation and Astellas Pharma. Mr. Suria received his M.S. in immunology from the University of Western Ontario, his Executive M.B.A. from the Richard Ivey School of Business of the University of Western Ontario and his B.S. in biochemistry from Kalamazoo College.</w:t>
      </w:r>
    </w:p>
    <w:p>
      <w:pPr>
        <w:spacing w:after="0" w:line="17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believe that Mr. Suria’s thorough knowledge of our company and technology, and his scientific and business experience, provide him with the qualifications and skills to serve on our board of directors.</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Marco Londei, M.D. </w:t>
      </w:r>
      <w:r>
        <w:rPr>
          <w:rFonts w:ascii="Arial" w:cs="Arial" w:eastAsia="Arial" w:hAnsi="Arial"/>
          <w:sz w:val="18"/>
          <w:szCs w:val="18"/>
          <w:color w:val="auto"/>
        </w:rPr>
        <w:t>has served as our Chief Development Officer since October 2014. Before joining our company, Dr. Londei worked as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Area Head Immunosciences, at Bristol-Myers Squibb, a biopharmaceutical company, from November 2012 to September 2014. Before starting at Bristol-Myers Squibb, Dr. Londei served as Global Head Translational Medicine of the Autoimmunity, Transplantation &amp; Inflammation Department at Novartis AG and Translational Science Officer at the Genomics Institute of the Novartis Research Foundation from October 2005 to October 2012. Dr. Londei was Professor at the Kennedy Institute of Rheumatology, Imperial College School of Medicine, London, from July 1999 to July 2003 and then Professor and head of the gastroenterology unit at University College London, Medical School UK, from July 2003 through September 2007. Dr. Londei received his M.D. from Università di Bologna.</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Robert E. Hoffman </w:t>
      </w:r>
      <w:r>
        <w:rPr>
          <w:rFonts w:ascii="Arial" w:cs="Arial" w:eastAsia="Arial" w:hAnsi="Arial"/>
          <w:sz w:val="18"/>
          <w:szCs w:val="18"/>
          <w:color w:val="auto"/>
        </w:rPr>
        <w:t>has served as our Chief Financial Officer since July 2015. Before joining our company, Mr. Hoffman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Finance and Chief Financial Officer of Arena Pharmaceuticals, Inc., a biopharmaceutical company, from June 2012 to July 2015, as Vice President, Finance and Chief Financial Officer from August 2011 to June 2012 and December 2005 to March 2011. From March 2011 to August 2011, Mr. Hoffman served as Chief Financial Officer for Polaris Group, a biopharmaceutical drug company. Mr. Hoffman is a member of the board of directors of CombiMatrix Corporation, a molecular diagnostics company, Kura Oncology, Inc., a biotechnology company, and MabVax Therapeutics Holdings, Inc., a biopharmaceutical company. He also serves as a member of the Financial Accounting Standards Board’s Small Business Advisory Committee and the steering committee of the Association of Bioscience Financial Officers. Mr. Hoffman received his B.B.A. from St. Bonaventure University, and is licensed as a C.P.A. (inactive) in the State of California.</w:t>
      </w:r>
    </w:p>
    <w:p>
      <w:pPr>
        <w:spacing w:after="0" w:line="19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Matthew Moyle, Ph.D. </w:t>
      </w:r>
      <w:r>
        <w:rPr>
          <w:rFonts w:ascii="Arial" w:cs="Arial" w:eastAsia="Arial" w:hAnsi="Arial"/>
          <w:sz w:val="16"/>
          <w:szCs w:val="16"/>
          <w:color w:val="auto"/>
        </w:rPr>
        <w:t>will commence serving as our Chief Scientific Officer in May 2016. Dr. Moyle has more than 25 years of industry experience in</w:t>
      </w:r>
      <w:r>
        <w:rPr>
          <w:rFonts w:ascii="Arial" w:cs="Arial" w:eastAsia="Arial" w:hAnsi="Arial"/>
          <w:sz w:val="16"/>
          <w:szCs w:val="16"/>
          <w:i w:val="1"/>
          <w:iCs w:val="1"/>
          <w:color w:val="auto"/>
        </w:rPr>
        <w:t xml:space="preserve"> </w:t>
      </w:r>
      <w:r>
        <w:rPr>
          <w:rFonts w:ascii="Arial" w:cs="Arial" w:eastAsia="Arial" w:hAnsi="Arial"/>
          <w:sz w:val="16"/>
          <w:szCs w:val="16"/>
          <w:color w:val="auto"/>
        </w:rPr>
        <w:t>drug discovery and development of biologics. Before joining us, from October 2010 to August 2015, Dr. Moyle served as Vice President of Biotherapeutics at Boehringer Ingelheim GmbH, a German pharmaceutical company, where he chaired Boehringer Ingelheim’s International Biologics Council. Prior to that, Dr. Moyle held positions as Senior Vice President of Research and Development and Chief Scientific Officer at Theraclone Sciences, Inc., a private biotechnology company, from May 2007 to October 2010, and as Vice President of Research and Corporate Officer at Tanox, Inc., a public biotechnology company that was acquired in 2006 by Genentech, Inc., from January 2001 to August 2005, where his research organizations designed and developed several monoclonal antibody therapeutic candidates, including three that are currently in mid- to late-stage clinical trials and clinical development at leading pharmaceutical companies. Before Tanox, Dr. Moyle served in various positions at Amgen Inc. from 1995 to 2001, including heading a research department with responsibility for building and running the company’s high-throughput expression-profiling facility. Before that, Dr. Moyle was a Group Leader at Corvas, International, Inc., from 1991 to 1995, where he co-discovered two novel natural product biologics that subsequently advanced to pivotal clinical trials. Dr. Moyle was a postdoctoral scientist at Genentech Inc. from 1989 to 1991, where he was part of the company’s first program in small molecule therapeutics. Dr. Moyle earned a Ph.D. and B.Sc. in Biochemistry at the University of Toronto.</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Tiba Aynechi, Ph.D. </w:t>
      </w:r>
      <w:r>
        <w:rPr>
          <w:rFonts w:ascii="Arial" w:cs="Arial" w:eastAsia="Arial" w:hAnsi="Arial"/>
          <w:sz w:val="18"/>
          <w:szCs w:val="18"/>
          <w:color w:val="auto"/>
        </w:rPr>
        <w:t>has served as a member of our board of directors since April 2015. Dr. Aynechi is employed as a Partner at Novo Ventures (US)</w:t>
      </w:r>
      <w:r>
        <w:rPr>
          <w:rFonts w:ascii="Arial" w:cs="Arial" w:eastAsia="Arial" w:hAnsi="Arial"/>
          <w:sz w:val="18"/>
          <w:szCs w:val="18"/>
          <w:i w:val="1"/>
          <w:iCs w:val="1"/>
          <w:color w:val="auto"/>
        </w:rPr>
        <w:t xml:space="preserve"> </w:t>
      </w:r>
      <w:r>
        <w:rPr>
          <w:rFonts w:ascii="Arial" w:cs="Arial" w:eastAsia="Arial" w:hAnsi="Arial"/>
          <w:sz w:val="18"/>
          <w:szCs w:val="18"/>
          <w:color w:val="auto"/>
        </w:rPr>
        <w:t>Inc., which provides certain consultancy services to Novo A/S, a Danish limited liability company that manages investments and financial assets. Prior to joining Novo Ventures (US) Inc. in March 2010, Dr. Aynechi was employed from June 2006 to March 2010 by Burrill &amp; Company, a private financial firm specializing in biotechnology and life sciences investment, in various positions, including from January 2009 to March 2010 as a Director in Merchant Banking where she was responsible for regional and cross-border mergers and acquisitions, licensing, and financing transactions. Dr. Aynechi has served as a member of the board of directors of several private biotechnology and medical device companies. Dr. Aynechi received her Ph.D. in biophysics from the University of California, San Francisco, where her research involved developing computational methods for drug discovery. She received her B.S. in physics from the University of California, Irvine.</w:t>
      </w:r>
    </w:p>
    <w:p>
      <w:pPr>
        <w:spacing w:after="0" w:line="19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believe that Dr. Aynechi’s extensive experience in the biotechnology and pharmaceutical industries, makes her qualified to serve on our own board of directors.</w:t>
      </w:r>
    </w:p>
    <w:p>
      <w:pPr>
        <w:spacing w:after="0" w:line="170" w:lineRule="exact"/>
        <w:rPr>
          <w:sz w:val="20"/>
          <w:szCs w:val="20"/>
          <w:color w:val="auto"/>
        </w:rPr>
      </w:pPr>
    </w:p>
    <w:p>
      <w:pPr>
        <w:ind w:right="320" w:firstLine="456"/>
        <w:spacing w:after="0" w:line="285" w:lineRule="auto"/>
        <w:rPr>
          <w:sz w:val="20"/>
          <w:szCs w:val="20"/>
          <w:color w:val="auto"/>
        </w:rPr>
      </w:pPr>
      <w:r>
        <w:rPr>
          <w:rFonts w:ascii="Arial" w:cs="Arial" w:eastAsia="Arial" w:hAnsi="Arial"/>
          <w:sz w:val="16"/>
          <w:szCs w:val="16"/>
          <w:i w:val="1"/>
          <w:iCs w:val="1"/>
          <w:color w:val="auto"/>
        </w:rPr>
        <w:t xml:space="preserve">Carol G. Gallagher, Pharm.D. </w:t>
      </w:r>
      <w:r>
        <w:rPr>
          <w:rFonts w:ascii="Arial" w:cs="Arial" w:eastAsia="Arial" w:hAnsi="Arial"/>
          <w:sz w:val="16"/>
          <w:szCs w:val="16"/>
          <w:color w:val="auto"/>
        </w:rPr>
        <w:t>has served as a member of our board of directors since October 2011. Dr. Gallagher has been a partner at New</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 Associates, a venture-capital firm, since October 2014. She has served as a director at Atara Biotherapeutics, Inc., a public biopharmaceutical company, since February 2013 and she became lead director in October 2014. She has also served as a director at Atterocor, Inc. since October 2012, as chairperson of the board of directors of eFFECTOR Therapeutics, Inc. from October 2012 to 2014 and as a director of Aragon Pharmaceuticals, Inc. from February 2012 to July 2013. Dr. Gallagher was a venture partner with Frazier Healthcare, a venture-capital firm, from November 2013 to July 2014.</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Dr. Gallagher served as the President and Chief Executive Officer of Calistoga Pharmaceuticals, a biopharmaceutical company, from September 2008 to April 2011, when the company was acquired by Gilead Sciences. From 2007 to 2008, Dr. Gallagher was the President and Chief Executive Officer of Metastatix, Inc., a biopharmaceutical company. Dr. Gallagher attended Vanderbilt University and received her B.S. and Pharm.D. degrees from the University of Kentucky.</w:t>
      </w:r>
    </w:p>
    <w:p>
      <w:pPr>
        <w:spacing w:after="0" w:line="19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Dr. Gallagher’s extensive experience in the life sciences industry and as a chief executive officer provide her with the qualifications and skills to serve on our board of directors.</w:t>
      </w:r>
    </w:p>
    <w:p>
      <w:pPr>
        <w:spacing w:after="0" w:line="170"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i w:val="1"/>
          <w:iCs w:val="1"/>
          <w:color w:val="auto"/>
        </w:rPr>
        <w:t xml:space="preserve">Nicholas B. Lydon, Ph.D., FRS </w:t>
      </w:r>
      <w:r>
        <w:rPr>
          <w:rFonts w:ascii="Arial" w:cs="Arial" w:eastAsia="Arial" w:hAnsi="Arial"/>
          <w:sz w:val="16"/>
          <w:szCs w:val="16"/>
          <w:color w:val="auto"/>
        </w:rPr>
        <w:t>is a co-founder of our company and has served on our board of directors since our company was founded in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2005. Dr. Lydon also co-founded and has served on the board of directors of BluePrint Medicines Inc. since April 2011. Since 2011, Dr. Lydon has served as Managing Member at Staurus Pharma, LLC, a biotechnology company. Dr. Lydon is also the founder of Granite Biopharma LLC, a consulting company, and has served as sole member of Granite Biopharma since 2003. Dr. Lydon also previously served as Vice President, Small Molecule Drug Discovery at Amgen Inc. from 2000 to 2002. Prior to joining Amgen, he was the Chief Executive Officer and founder of Kinetix Pharmaceuticals, Inc., a biotechnology company focused on the discovery and development of selective protein kinase inhibitors, from 1997 to 2000. Kinetix Pharmaceuticals was acquired by</w:t>
      </w:r>
    </w:p>
    <w:p>
      <w:pPr>
        <w:spacing w:after="0" w:line="5"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Amgen in 2000. Prior to joining Kinetix, Dr. Lydon worked at CIBA-GEIGY, AG (Novartis) in Basel, Switzerland from 1985 to 1997, where he was responsible for the protein kinase inhibitor program, including</w:t>
      </w:r>
    </w:p>
    <w:p>
      <w:pPr>
        <w:sectPr>
          <w:pgSz w:w="11900" w:h="16838" w:orient="portrait"/>
          <w:cols w:equalWidth="0" w:num="1">
            <w:col w:w="11400"/>
          </w:cols>
          <w:pgMar w:left="240" w:top="459" w:right="259" w:bottom="144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00"/>
          </w:cols>
          <w:pgMar w:left="240" w:top="459" w:right="25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discovery and preclinical development of Imatinib (Gleevec). Dr. Lydon began his pharmaceutical career at Schering-Plough Corporation from 1982 to 1985 where his research involved studies on recombinant interferons. Dr. Lydon has been awarded the Lasker~DeBakey Clinical Medical Research Award and the Japan Prize for his work on Imatinib. Other awards include the Warren Alpert Foundation Prize, the AACR Bruce F. Cain Memorial Award and the Charles F. Kettering Prize from the General Motors Cancer Research Foundation. Dr. Lydon earned his B.S. in Biochemistry and Zoology from the University of Leeds, England, and received his Ph.D. in Biochemistry from the Medical Sciences Institute, University of Dundee, Scotland.</w:t>
      </w:r>
    </w:p>
    <w:p>
      <w:pPr>
        <w:spacing w:after="0" w:line="15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believe that Dr. Lydon’s extensive industry experience and significant knowledge of scientific matters provide him with the qualifications and skills to serve on our board of directors.</w:t>
      </w:r>
    </w:p>
    <w:p>
      <w:pPr>
        <w:spacing w:after="0" w:line="170"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i w:val="1"/>
          <w:iCs w:val="1"/>
          <w:color w:val="auto"/>
        </w:rPr>
        <w:t xml:space="preserve">Hollings Renton </w:t>
      </w:r>
      <w:r>
        <w:rPr>
          <w:rFonts w:ascii="Arial" w:cs="Arial" w:eastAsia="Arial" w:hAnsi="Arial"/>
          <w:sz w:val="17"/>
          <w:szCs w:val="17"/>
          <w:color w:val="auto"/>
        </w:rPr>
        <w:t>has served as a member of our board of directors since June 2015. Mr. Renton previously served as the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Onyx Pharmaceuticals, Inc. from 1993 to 2008 and as the chairperson of the board of directors from 2000 to 2008. Before joining Onyx Pharmaceuticals, Mr. Renton worked for Chiron Corporation, a pharmaceutical company, as President and Chief Operating Officer from 1991 to 1993, following its acquisition of Cetus Corporation. Before joining Onyx Pharmaceuticals, Mr. Renton worked for Cetus Corporation as President from 1990 to 1991, as Chief Operating Officer from 1987 to 1990, and as Chief Financial Officer from 1983 to 1987. Mr. Renton currently serves as a director of multiple life sciences companies, including as chairperson of the board of directors of Portola Pharmaceuticals, Inc., and is a member of the board of directors of Cepheid Inc. and Kythera Biopharmaceuticals, Inc. He previously served on the boards of directors of Rigel Pharmaceuticals, Inc., Affymax Inc., Sangstat Medical Corporation, Special Olympics Northern California and the Biotechnology Industry Organization. Mr. Renton received his M.B.A. from the University of Michigan and his B.S. in Mathematics from Colorado State University.</w:t>
      </w:r>
    </w:p>
    <w:p>
      <w:pPr>
        <w:spacing w:after="0" w:line="18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Mr. Renton’s extensive industry experience and board memberships provide him with the qualifications and skills to serve on our board of directors.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John P. Schmid </w:t>
      </w:r>
      <w:r>
        <w:rPr>
          <w:rFonts w:ascii="Arial" w:cs="Arial" w:eastAsia="Arial" w:hAnsi="Arial"/>
          <w:sz w:val="16"/>
          <w:szCs w:val="16"/>
          <w:color w:val="auto"/>
        </w:rPr>
        <w:t>has served as a member of our board of directors since June 2015. Mr. Schmid served as Chief Financial Officer of Auspex</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from September 2013 to June 2015. Before joining Auspex Pharmaceuticals, Mr. Schmid co-founded Trius Therapeutics, Inc., a publicly traded biopharmaceutical company, where he served as the Chief Financial Officer from June 2004 until its merger with Cubist Pharmaceuticals, Inc., in September 2013. Before he joined Trius Therapeutics, Inc., Mr. Schmid served as the Chief Financial Officer at GeneFormatics, Inc., a private biotechnology company, from 1998 to 2003, and at Endonetics, Inc., a private medical device company, from 1995 to 1998. Mr. Schmid currently serves as a member of the board of directors of Neos Therapeutics, Inc., a pharmaceutical company, and as the chairman of the board of directors of Speak, Inc., a speakers bureau, which he helped found in 1989. Mr. Schmid received his M.B.A. from the University of San Diego and his B.A. from Wesleyan University.</w:t>
      </w:r>
    </w:p>
    <w:p>
      <w:pPr>
        <w:spacing w:after="0" w:line="16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believe that Mr. Schmid’s extensive industry experience and executive positions at multiple biopharmaceutical companies qualify him to serve on our board of directors.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James A. Schoeneck </w:t>
      </w:r>
      <w:r>
        <w:rPr>
          <w:rFonts w:ascii="Arial" w:cs="Arial" w:eastAsia="Arial" w:hAnsi="Arial"/>
          <w:sz w:val="18"/>
          <w:szCs w:val="18"/>
          <w:color w:val="auto"/>
        </w:rPr>
        <w:t>has served as a member of our board of directors since November 2015. Mr. Schoeneck has served as the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Depomed, Inc. since April 2011 and as a director of Depomed since December 2007. Before joining Depomed, Mr. Schoeneck served as Chief Executive Officer of BrainCells Inc., a private biopharmaceutical company in San Diego, from September 2005 to April 2011. Mr. Schoeneck has served as a director of FibroGen, Inc., a public biopharmaceutical company since June 2010. Mr. Schoeneck received his B.S. in Education from Jacksonville State University.</w:t>
      </w:r>
    </w:p>
    <w:p>
      <w:pPr>
        <w:spacing w:after="0" w:line="18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believe that Mr. Schoeneck’s extensive industry and leadership experience provide him with the qualifications and skills to serve on our board of directors.</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i w:val="1"/>
          <w:iCs w:val="1"/>
          <w:color w:val="auto"/>
        </w:rPr>
        <w:t xml:space="preserve">James N. Topper, M.D., Ph.D. </w:t>
      </w:r>
      <w:r>
        <w:rPr>
          <w:rFonts w:ascii="Arial" w:cs="Arial" w:eastAsia="Arial" w:hAnsi="Arial"/>
          <w:sz w:val="18"/>
          <w:szCs w:val="18"/>
          <w:color w:val="auto"/>
        </w:rPr>
        <w:t>has served as a member of our board of directors since November 2007. Dr. Topper has been a partner with Frazier</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since August 2003, serving as General Partner since 2005.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on numerous boards of directors, including Amicus Therapeutics, Inc. and Portola Pharmaceuticals, Inc. Dr. Topper received his M.D. and Ph.D. in biophysics from Stanford University and his B.S. in biology from the University of Michigan.</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believe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Officers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officers. The full text of our code of conduct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code of conduct, or waivers of these provisions, on our website or in public filings.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business and affairs are organized under the direction of our board of directors, which currently consists of eight members. Our current certificate of incorporation and a voting agreement by and among us and certain of our investors provide for up to eight directors, of which (i) up to two directors are designated by holders of our Series B, Series B-1 and Series B-2 Preferred Stock, voting together as a single class on an as-converted basis, (ii) one director is designed by holders of our common stock, voting as a separate class and (iii) all remaining directors are designated by the holders of our common stock and convertible preferred stock, voting together as a single class on an as-converted basis. Drs. Aynechi and Topper are the current designees of holders of our Series B, Series B-1 and Series B-2 convertible preferred stock, voting together as a single class on an as-converted basis. Mr. Suria is the current designee of holders of our common stock. Dr. Gallagher, Dr. Lydon, Mr. Renton and Mr. Schmid are the current designees of holders of our common stock and convertible preferred stock, voting together as a single class on an as-converted basis.</w:t>
      </w:r>
    </w:p>
    <w:p>
      <w:pPr>
        <w:spacing w:after="0" w:line="17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voting agreement and the provisions of our certificate of incorporation that govern the election and designation of our directors will terminate in connection with our initial public offering, after which no contractual obligations will concern the election of our directors. Each of our current directors will continue to serve until the election and qualification of his or her successor, or until his or her earlier death, resignation or removal.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completion of this offering, our board of directors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214" w:lineRule="exact"/>
        <w:rPr>
          <w:sz w:val="20"/>
          <w:szCs w:val="20"/>
          <w:color w:val="auto"/>
        </w:rPr>
      </w:pPr>
    </w:p>
    <w:p>
      <w:pPr>
        <w:ind w:left="5580" w:right="300" w:hanging="5126"/>
        <w:spacing w:after="0" w:line="449" w:lineRule="auto"/>
        <w:tabs>
          <w:tab w:leader="none" w:pos="89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Class I directors will be Dr. Gallagher and Dr. Topper and their terms will expire at the annual meeting of stockholders to be held in 2017; 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Class II directors will be Mr. Suria and Dr. Lydon and their terms will expire at the annual meeting of stockholders to be held in 2018; and</w:t>
      </w:r>
    </w:p>
    <w:p>
      <w:pPr>
        <w:spacing w:after="0" w:line="153" w:lineRule="exact"/>
        <w:rPr>
          <w:rFonts w:ascii="Arial" w:cs="Arial" w:eastAsia="Arial" w:hAnsi="Arial"/>
          <w:sz w:val="16"/>
          <w:szCs w:val="16"/>
          <w:color w:val="auto"/>
        </w:rPr>
      </w:pPr>
    </w:p>
    <w:p>
      <w:pPr>
        <w:ind w:left="900" w:right="6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Class III directors will be Mr. Renton, Mr. Schmid and Mr. Schoeneck and their terms will expire at the annual meeting of stockholders to be held in 2019.</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restated certificate of incorporation and restated bylaws that will be in effect upon the closing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Provisions—Restated Certificate of Incorporation and Restated Bylaw Provisions.”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connection with this offering, our common stock has been approved for listing on the Nasdaq Global Select Market. Under the rules of the Nasdaq Stock Market, or Nasdaq, independent directors must comprise a majority of a listed company’s board of directors within a specified period of the closing of this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intend to satisfy the audit committee independence requirements of Rule 10A-3 as of the closing of this initial public offering. Additionally, compensation committee members must not have a relationship with us that is material to the director’s ability to be independent from management in connection with the duties of a compensation committee member.</w:t>
      </w:r>
    </w:p>
    <w:p>
      <w:pPr>
        <w:spacing w:after="0" w:line="18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ability to exercise independent judgment in carrying out his responsibilities. As a result of this review, our board of directors determined that all of our directors, except for Mr. Suria, are “independent directors” as defined under the applicable rules and regulations of the Securities and Exchange Commission, or SEC, and the listing requirements and rules of Nasdaq.</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will have the composition and responsibilities described below as of the closing of our initial public offering. Members serve on these committees until their resignation or until otherwise determined by our board of directors.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audit committee is comprised of Dr. Gallagher, Mr. Schoeneck and Mr. Schmid, with Mr. Schmid as the chairman of our audit committee. The composition of our audit committee meets the requirements for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independence under the current Nasdaq and SEC rules and regulations. In addition, our board of directors has determined that Mr. Schmid is an “audit committee financial expert” as defined in Item 407(d)(5)(ii) of Regulation S-K promulgated under the Securities Act. This designation does not impose on him any duties, obligations or liabilities that are greater than are generally imposed on members of our audit committee and our board of directors. Our audit committee is directly responsible for, among other things:</w:t>
      </w:r>
    </w:p>
    <w:p>
      <w:pPr>
        <w:spacing w:after="0" w:line="92"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considering the adequacy of our internal controls;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non-audit services to be performed by the independent registered public accounting firm.</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compensation committee is comprised of Dr. Gallagher, Dr. Lydon and Mr. Schoeneck, with Dr. Gallagher as the chairperson of our compensation committee. Each member of this committee is a non-employee director, as defined by Rule 16b-3 promulgated under the Exchange Act, and an outside director, as defined pursuant to Section 162(m) of the Internal Revenue Code of 1984, as amended, or the Code, and meets the requirements for independence under the current Nasdaq listing standards and SEC rules and regulations. Our compensation committee is responsible for, among other things:</w:t>
      </w:r>
    </w:p>
    <w:p>
      <w:pPr>
        <w:spacing w:after="0" w:line="60"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terms of any compensatory agreements with our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incentive compensation and equity plans;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nominating and governance committee is comprised of Dr. Gallagher, Mr. Renton and Dr. Topper, with Mr. Renton as the chairman of our nominating and governance committee. Each member of the Committee meets the requirements for independence under the current Nasdaq listing standards. Our nominating and governance committee is responsible for, among other things:</w:t>
      </w:r>
    </w:p>
    <w:p>
      <w:pPr>
        <w:spacing w:after="0" w:line="87"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recommending directors to serve on board committees;</w:t>
      </w:r>
    </w:p>
    <w:p>
      <w:pPr>
        <w:spacing w:after="0" w:line="130" w:lineRule="exact"/>
        <w:rPr>
          <w:rFonts w:ascii="Arial" w:cs="Arial" w:eastAsia="Arial" w:hAnsi="Arial"/>
          <w:sz w:val="18"/>
          <w:szCs w:val="18"/>
          <w:color w:val="auto"/>
        </w:rPr>
      </w:pPr>
    </w:p>
    <w:p>
      <w:pPr>
        <w:ind w:left="5580" w:right="4700" w:hanging="5126"/>
        <w:spacing w:after="0" w:line="44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 120</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evaluating, and overseeing the process of evaluating, the performance of our board of directors and individual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None of our executive officers has served as a member of our board of directors, or as a member of our compensation or similar committee, of any entity that has one or more executive officers who served on our board of directors or compensation committee during the year ended December 31, 2015. Prior to establishing the compensation committee, our full board of directors made decisions relating to the compensation of our officers. For a description of transactions between us and members of our compensation committee and affiliates of such members, please see “Certain Relationships and Related Party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following table presents the total compensation earned or paid in the year ended December 31, 2015 for each member of our board of directors, except for our President and Chief Executive Officer, Mr. Suria, who receives no additional compensation for his service as a director. Other than as described below, none of our non-employee directors received any fees or reimbursement of any expenses (other than customary expenses in connection with the attendance of meetings of our board of directors) or any equity or non-equity awards in the year ended December 31, 2015.</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Fees Earned</w:t>
            </w:r>
          </w:p>
        </w:tc>
        <w:tc>
          <w:tcPr>
            <w:tcW w:w="140" w:type="dxa"/>
            <w:vAlign w:val="bottom"/>
          </w:tcPr>
          <w:p>
            <w:pPr>
              <w:spacing w:after="0"/>
              <w:rPr>
                <w:sz w:val="14"/>
                <w:szCs w:val="14"/>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2"/>
                <w:szCs w:val="12"/>
                <w:b w:val="1"/>
                <w:bCs w:val="1"/>
                <w:color w:val="auto"/>
              </w:rPr>
              <w:t>(2)(3)</w:t>
            </w:r>
          </w:p>
        </w:tc>
        <w:tc>
          <w:tcPr>
            <w:tcW w:w="220" w:type="dxa"/>
            <w:vAlign w:val="bottom"/>
          </w:tcPr>
          <w:p>
            <w:pPr>
              <w:spacing w:after="0"/>
              <w:rPr>
                <w:sz w:val="12"/>
                <w:szCs w:val="12"/>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 xml:space="preserve">Cash </w:t>
            </w:r>
            <w:r>
              <w:rPr>
                <w:rFonts w:ascii="Arial" w:cs="Arial" w:eastAsia="Arial" w:hAnsi="Arial"/>
                <w:sz w:val="12"/>
                <w:szCs w:val="12"/>
                <w:b w:val="1"/>
                <w:bCs w:val="1"/>
                <w:color w:val="auto"/>
                <w:w w:val="94"/>
              </w:rPr>
              <w:t>(1)</w:t>
            </w:r>
            <w:r>
              <w:rPr>
                <w:rFonts w:ascii="Arial" w:cs="Arial" w:eastAsia="Arial" w:hAnsi="Arial"/>
                <w:sz w:val="14"/>
                <w:szCs w:val="14"/>
                <w:b w:val="1"/>
                <w:bCs w:val="1"/>
                <w:color w:val="auto"/>
                <w:w w:val="94"/>
              </w:rPr>
              <w:t xml:space="preserv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40" w:type="dxa"/>
            <w:vAlign w:val="bottom"/>
          </w:tcPr>
          <w:p>
            <w:pPr>
              <w:spacing w:after="0"/>
              <w:rPr>
                <w:sz w:val="14"/>
                <w:szCs w:val="14"/>
                <w:color w:val="auto"/>
              </w:rPr>
            </w:pPr>
          </w:p>
        </w:tc>
        <w:tc>
          <w:tcPr>
            <w:tcW w:w="66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Carol</w:t>
            </w:r>
          </w:p>
        </w:tc>
        <w:tc>
          <w:tcPr>
            <w:tcW w:w="57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 Gallagher, Pharm.D</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37,500</w:t>
            </w:r>
          </w:p>
        </w:tc>
        <w:tc>
          <w:tcPr>
            <w:tcW w:w="14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Hollings Renton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225,235</w:t>
            </w:r>
            <w:r>
              <w:rPr>
                <w:rFonts w:ascii="Arial" w:cs="Arial" w:eastAsia="Arial" w:hAnsi="Arial"/>
                <w:sz w:val="15"/>
                <w:szCs w:val="15"/>
                <w:color w:val="auto"/>
                <w:w w:val="95"/>
              </w:rPr>
              <w:t>(4)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250,235</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John P. Schmid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23,333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174,888</w:t>
            </w:r>
            <w:r>
              <w:rPr>
                <w:rFonts w:ascii="Arial" w:cs="Arial" w:eastAsia="Arial" w:hAnsi="Arial"/>
                <w:sz w:val="15"/>
                <w:szCs w:val="15"/>
                <w:color w:val="auto"/>
                <w:w w:val="95"/>
              </w:rPr>
              <w:t>(5)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198,221</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Schoeneck</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232,861</w:t>
            </w:r>
            <w:r>
              <w:rPr>
                <w:rFonts w:ascii="Arial" w:cs="Arial" w:eastAsia="Arial" w:hAnsi="Arial"/>
                <w:sz w:val="15"/>
                <w:szCs w:val="15"/>
                <w:color w:val="auto"/>
                <w:w w:val="95"/>
              </w:rPr>
              <w:t>(6)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232,861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71"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Dr. Gallagher was paid a $50,000 annual retainer fee in connection with her service on our board of directors. Dr. Lydon and Mr. Renton were each paid a prorated annual retainer fee of $50,000 in connection with their service on our board of directors. Mr. Schmid was paid a prorated annual retainer fee of $35,000 and $5,000 in connection with his service on our board of directors and audit committee, respectively.</w:t>
      </w:r>
    </w:p>
    <w:p>
      <w:pPr>
        <w:ind w:left="460" w:right="22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reported in this column represents the aggregate grant date fair value of stock options as computed in accordance with FASB ASC Topic 718. The amounts reported in this column reflect the accounting cost for these stock options, and do not correspond to the actual economic value that may be received by the non-employee directors from the awards. The assumptions used in calculating the grant date fair value of the stock options reported in this column are set forth in Note 8 to our financial statements.</w:t>
      </w:r>
    </w:p>
    <w:p>
      <w:pPr>
        <w:spacing w:after="0" w:line="1" w:lineRule="exact"/>
        <w:rPr>
          <w:rFonts w:ascii="Arial" w:cs="Arial" w:eastAsia="Arial" w:hAnsi="Arial"/>
          <w:sz w:val="18"/>
          <w:szCs w:val="18"/>
          <w:color w:val="auto"/>
        </w:rPr>
      </w:pPr>
    </w:p>
    <w:p>
      <w:pPr>
        <w:ind w:left="460" w:right="380" w:hanging="452"/>
        <w:spacing w:after="0" w:line="290"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following table sets forth information on stock options granted to non-employee directors in 2015 as well as the expected aggregate number of shares of our common stock subject to outstanding stock options held by our non-employee directors as of December 31, 2015:</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2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4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Underlying Stock</w:t>
            </w:r>
          </w:p>
        </w:tc>
        <w:tc>
          <w:tcPr>
            <w:tcW w:w="8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Options Held as</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4"/>
              </w:rPr>
              <w:t>Director Name</w:t>
            </w:r>
          </w:p>
        </w:tc>
        <w:tc>
          <w:tcPr>
            <w:tcW w:w="23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Options Granted</w:t>
            </w:r>
          </w:p>
        </w:tc>
        <w:tc>
          <w:tcPr>
            <w:tcW w:w="8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December 31,</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1120" w:type="dxa"/>
            <w:vAlign w:val="bottom"/>
          </w:tcPr>
          <w:p>
            <w:pPr>
              <w:jc w:val="right"/>
              <w:ind w:right="261"/>
              <w:spacing w:after="0" w:line="158" w:lineRule="exact"/>
              <w:rPr>
                <w:sz w:val="20"/>
                <w:szCs w:val="20"/>
                <w:color w:val="auto"/>
              </w:rPr>
            </w:pPr>
            <w:r>
              <w:rPr>
                <w:rFonts w:ascii="Arial" w:cs="Arial" w:eastAsia="Arial" w:hAnsi="Arial"/>
                <w:sz w:val="14"/>
                <w:szCs w:val="14"/>
                <w:b w:val="1"/>
                <w:bCs w:val="1"/>
                <w:color w:val="auto"/>
              </w:rPr>
              <w:t>in 2015</w:t>
            </w:r>
          </w:p>
        </w:tc>
        <w:tc>
          <w:tcPr>
            <w:tcW w:w="1940" w:type="dxa"/>
            <w:vAlign w:val="bottom"/>
            <w:gridSpan w:val="2"/>
          </w:tcPr>
          <w:p>
            <w:pPr>
              <w:jc w:val="center"/>
              <w:ind w:left="736"/>
              <w:spacing w:after="0" w:line="158"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Carol G. Gallagher, Pharm.D.</w:t>
            </w:r>
          </w:p>
        </w:tc>
        <w:tc>
          <w:tcPr>
            <w:tcW w:w="22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684,057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228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217,088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Hollings Renton</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358,098</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John P. Schmid</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296,370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296,370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Schoeneck</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296,365</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80" w:type="dxa"/>
            <w:vAlign w:val="bottom"/>
          </w:tcPr>
          <w:p>
            <w:pPr>
              <w:jc w:val="right"/>
              <w:ind w:right="974"/>
              <w:spacing w:after="0"/>
              <w:rPr>
                <w:sz w:val="20"/>
                <w:szCs w:val="20"/>
                <w:color w:val="auto"/>
              </w:rPr>
            </w:pPr>
            <w:r>
              <w:rPr>
                <w:rFonts w:ascii="Arial" w:cs="Arial" w:eastAsia="Arial" w:hAnsi="Arial"/>
                <w:sz w:val="18"/>
                <w:szCs w:val="18"/>
                <w:color w:val="auto"/>
              </w:rPr>
              <w:t>121</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hanging="452"/>
        <w:spacing w:after="0" w:line="253"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Renton was granted (i) an early-exercisable stock-option award on July 6, 2015 under our 2006 Equity Incentive Plan to purchase up to 286,478 shares of our common stock at a per-share price of $0.99. 1/36 of the shares underlying the option vested on July 23, 2015, and, thereafter, 1/36 of the underlying shares vest on the twenty-third day of each succeeding calendar month, starting August 23, 2015; and (ii) an early-exercisable stock-option award on August 14, 2015 under our 2006 Equity Incentive Plan to purchase up to 71,620 shares of our common stock at a per-share price of $0.99. 1/36 of the shares underlying the option vested on August 6, 2015, and, thereafter, 1/36 of the underlying shares vest on the sixth day of each succeeding calendar month, starting September 6, 2015.</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Schmid was granted (i) a stock-option award on June 10, 2015 under our 2006 Equity Incentive Plan to purchase up to 151,849 shares of our common stock at a per-share price of $0.65. 1/36 of the shares underlying the option vested on July 10, 2015, and, thereafter, 1/36 of the underlying shares vest on the tenth day of each succeeding calendar month, starting August 10, 2015; and (ii) an early-exercisable stock-option award on November 16, 2015 under our 2006 Equity Incentive Plan to purchase up to 144,521 shares of our common stock at a per-share price of $1.22. 1/36 of the shares underlying the option vest on December 16, 2015, and, thereafter, 1/36 of the underlying shares vest on the sixteenth day of each succeeding calendar month, starting January 16, 2016.</w:t>
      </w:r>
    </w:p>
    <w:p>
      <w:pPr>
        <w:spacing w:after="0" w:line="2"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Mr. Schoeneck was granted an early-exercisable stock-option award on November 16, 2015 under our 2006 Equity Incentive Plan to purchase up to 296,365 shares of our common stock at a per-share price of $1.22. 1/36 of the shares underlying the option vest on December 16, 2015, and, thereafter, 1/36 of the underlying shares vest on the sixteenth day of each succeeding calendar month, starting January 16, 2016.</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September 2015, our board of directors approved a non-employee director compensation policy, which will take effect following the completion of this offering. Pursuant to this policy, each of our non-employee directors will receive an annual retainer of $40,000. Additionally, a lead independent director will receive an additional annual payment of $20,000; the chairperson of our board of directors will receive an additional annual payment of $15,000 when a lead independent director is also serving and $30,000 when no lead independent director is serving; the chairpersons of our audit, compensation and nominating and corporate governance committees will receive an additional annual payment of $15,000, $10,000 and $7,500, respectively; and the members of our audit, compensation and nominating and corporate governance committees will receive an additional annual payment of $7,500, $5,000 and $3,750, respectively.</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Beginning in 2016, each of our non-employee directors will also receive an annual option to purchase 100,000 shares of common stock, which will vest in a single installment 12 months after the grant date, subject to the applicable director’s continuous service through such date. Additionally, new non-employee directors will receive upon election to our board of directors, an option to purchase 200,000 shares of common stock, which will vest in 36 equal monthly installments after the grant date, subject to the applicable director’s continuous service through such date. The exercise price of such grants will be the fair market value as of the grant 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following tables and accompanying narrative disclosure set forth information about the compensation provided to our executive officers during the years ended December 31, 2014 and 2015. These executive officers, who include our principal executive officer and who we expect to be the two most highly-compensated executive officers (other than our principal executive officer) serving as executive officers as of December 31, 2015, were:</w:t>
      </w:r>
    </w:p>
    <w:p>
      <w:pPr>
        <w:spacing w:after="0" w:line="52"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Hamza Suria, President, Chief Executive Officer and Director;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Robert E. Hoffman, our Chief Financial Officer;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Marco Londei, Chief Development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these individuals in this section as our “named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years ended December 31, 2014 and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w:t>
            </w:r>
          </w:p>
        </w:tc>
        <w:tc>
          <w:tcPr>
            <w:tcW w:w="10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6"/>
              </w:rPr>
              <w:t xml:space="preserve">Bonus </w:t>
            </w:r>
            <w:r>
              <w:rPr>
                <w:rFonts w:ascii="Arial" w:cs="Arial" w:eastAsia="Arial" w:hAnsi="Arial"/>
                <w:sz w:val="12"/>
                <w:szCs w:val="12"/>
                <w:b w:val="1"/>
                <w:bCs w:val="1"/>
                <w:color w:val="auto"/>
                <w:w w:val="96"/>
              </w:rPr>
              <w:t>(1)</w:t>
            </w:r>
          </w:p>
        </w:tc>
        <w:tc>
          <w:tcPr>
            <w:tcW w:w="1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4"/>
                <w:szCs w:val="14"/>
                <w:color w:val="auto"/>
              </w:rPr>
            </w:pPr>
          </w:p>
        </w:tc>
        <w:tc>
          <w:tcPr>
            <w:tcW w:w="1060" w:type="dxa"/>
            <w:vAlign w:val="bottom"/>
            <w:gridSpan w:val="2"/>
          </w:tcPr>
          <w:p>
            <w:pPr>
              <w:jc w:val="right"/>
              <w:ind w:right="363"/>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2"/>
                <w:szCs w:val="12"/>
                <w:b w:val="1"/>
                <w:bCs w:val="1"/>
                <w:color w:val="auto"/>
              </w:rPr>
              <w:t>(2)</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36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Hamza Suria</w:t>
            </w:r>
          </w:p>
        </w:tc>
        <w:tc>
          <w:tcPr>
            <w:tcW w:w="420" w:type="dxa"/>
            <w:vAlign w:val="bottom"/>
            <w:tcBorders>
              <w:top w:val="single" w:sz="8" w:color="auto"/>
            </w:tcBorders>
            <w:shd w:val="clear" w:color="auto" w:fill="CCEEFF"/>
          </w:tcPr>
          <w:p>
            <w:pPr>
              <w:ind w:left="60"/>
              <w:spacing w:after="0" w:line="198" w:lineRule="exact"/>
              <w:rPr>
                <w:sz w:val="20"/>
                <w:szCs w:val="20"/>
                <w:color w:val="auto"/>
              </w:rPr>
            </w:pPr>
            <w:r>
              <w:rPr>
                <w:rFonts w:ascii="Arial" w:cs="Arial" w:eastAsia="Arial" w:hAnsi="Arial"/>
                <w:sz w:val="18"/>
                <w:szCs w:val="18"/>
                <w:color w:val="auto"/>
                <w:w w:val="84"/>
              </w:rPr>
              <w:t>2015</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w w:val="86"/>
              </w:rPr>
              <w:t>382,083</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97,431</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w w:val="87"/>
              </w:rPr>
              <w:t>1,170,840</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540</w:t>
            </w:r>
          </w:p>
        </w:tc>
        <w:tc>
          <w:tcPr>
            <w:tcW w:w="300" w:type="dxa"/>
            <w:vAlign w:val="bottom"/>
            <w:tcBorders>
              <w:top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87"/>
              </w:rPr>
              <w:t>(5)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87"/>
              </w:rPr>
              <w:t>1,650,894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326,759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166,000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53,831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621</w:t>
            </w:r>
            <w:r>
              <w:rPr>
                <w:rFonts w:ascii="Arial" w:cs="Arial" w:eastAsia="Arial" w:hAnsi="Arial"/>
                <w:sz w:val="15"/>
                <w:szCs w:val="15"/>
                <w:color w:val="auto"/>
              </w:rPr>
              <w:t>(5)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547,211</w:t>
            </w: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Robert E. Hoffman</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spacing w:after="0"/>
              <w:rPr>
                <w:sz w:val="20"/>
                <w:szCs w:val="20"/>
                <w:color w:val="auto"/>
              </w:rPr>
            </w:pPr>
            <w:r>
              <w:rPr>
                <w:rFonts w:ascii="Arial" w:cs="Arial" w:eastAsia="Arial" w:hAnsi="Arial"/>
                <w:sz w:val="18"/>
                <w:szCs w:val="18"/>
                <w:color w:val="auto"/>
              </w:rPr>
              <w:t>152,708</w:t>
            </w:r>
            <w:r>
              <w:rPr>
                <w:rFonts w:ascii="Arial" w:cs="Arial" w:eastAsia="Arial" w:hAnsi="Arial"/>
                <w:sz w:val="15"/>
                <w:szCs w:val="15"/>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32,726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746,021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3"/>
              <w:spacing w:after="0"/>
              <w:rPr>
                <w:sz w:val="20"/>
                <w:szCs w:val="20"/>
                <w:color w:val="auto"/>
              </w:rPr>
            </w:pPr>
            <w:r>
              <w:rPr>
                <w:rFonts w:ascii="Arial" w:cs="Arial" w:eastAsia="Arial" w:hAnsi="Arial"/>
                <w:sz w:val="18"/>
                <w:szCs w:val="18"/>
                <w:color w:val="auto"/>
              </w:rPr>
              <w:t>518</w:t>
            </w:r>
            <w:r>
              <w:rPr>
                <w:rFonts w:ascii="Arial" w:cs="Arial" w:eastAsia="Arial" w:hAnsi="Arial"/>
                <w:sz w:val="15"/>
                <w:szCs w:val="15"/>
                <w:color w:val="auto"/>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931,973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Marco Londei, M.D.</w:t>
            </w:r>
          </w:p>
        </w:tc>
        <w:tc>
          <w:tcPr>
            <w:tcW w:w="7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363,333</w:t>
            </w:r>
            <w:r>
              <w:rPr>
                <w:rFonts w:ascii="Arial" w:cs="Arial" w:eastAsia="Arial" w:hAnsi="Arial"/>
                <w:sz w:val="15"/>
                <w:szCs w:val="15"/>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81,094</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406,049</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3"/>
              <w:spacing w:after="0" w:line="201" w:lineRule="exact"/>
              <w:rPr>
                <w:sz w:val="20"/>
                <w:szCs w:val="20"/>
                <w:color w:val="auto"/>
              </w:rPr>
            </w:pPr>
            <w:r>
              <w:rPr>
                <w:rFonts w:ascii="Arial" w:cs="Arial" w:eastAsia="Arial" w:hAnsi="Arial"/>
                <w:sz w:val="18"/>
                <w:szCs w:val="18"/>
                <w:color w:val="auto"/>
              </w:rPr>
              <w:t>42,042</w:t>
            </w:r>
            <w:r>
              <w:rPr>
                <w:rFonts w:ascii="Arial" w:cs="Arial" w:eastAsia="Arial" w:hAnsi="Arial"/>
                <w:sz w:val="15"/>
                <w:szCs w:val="15"/>
                <w:color w:val="auto"/>
              </w:rPr>
              <w:t>(7)</w:t>
            </w:r>
          </w:p>
        </w:tc>
        <w:tc>
          <w:tcPr>
            <w:tcW w:w="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892,518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Chief Development Officer</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66,410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167,147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29,086</w:t>
            </w:r>
            <w:r>
              <w:rPr>
                <w:rFonts w:ascii="Arial" w:cs="Arial" w:eastAsia="Arial" w:hAnsi="Arial"/>
                <w:sz w:val="15"/>
                <w:szCs w:val="15"/>
                <w:color w:val="auto"/>
              </w:rPr>
              <w:t>(8)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amounts reported in this column represent bonuses awarded at the discretion of our board of directors.</w:t>
      </w:r>
    </w:p>
    <w:p>
      <w:pPr>
        <w:spacing w:after="0" w:line="23"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grant-date fair value of the awards granted under our 2006 Equity Incentive Plan to our named executive officers during the years ended December 31, 2014 and 2015, as computed in accordance with FASB ASC Topic 718. The assumptions used in calculating the grant date fair value of the awards reported in the Stock Option Awards column are set forth in Note 8 to our consolidated financial statements. Note that the amounts reported in this column reflect the aggregate accounting cost for these awards, and do not necessarily correspond to the actual economic value that may be received by the named executive officers from the awards.</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Reflects Mr. Hoffman’s salary from the commencement of his employment on July 13, 2015, through December 31,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Reflects Dr. Londei’s salary from the commencement of his employment on September 26, 2014, through December 31,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Reflects group term life insurance premiums paid by us on behalf of Mr. Suria.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Reflects group term life insurance premiums paid by us on behalf of Mr. Hoffman.</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2015, consisting of $39,462 for temporary housing and moving expenses, including tax gross-up with respect to temporary housing payments, and $2,580 for group term life insurance premiums paid by us on behalf of Dr. Londei.</w:t>
      </w:r>
    </w:p>
    <w:p>
      <w:pPr>
        <w:spacing w:after="0" w:line="1" w:lineRule="exact"/>
        <w:rPr>
          <w:rFonts w:ascii="Arial" w:cs="Arial" w:eastAsia="Arial" w:hAnsi="Arial"/>
          <w:sz w:val="18"/>
          <w:szCs w:val="18"/>
          <w:color w:val="auto"/>
        </w:rPr>
      </w:pPr>
    </w:p>
    <w:p>
      <w:pPr>
        <w:jc w:val="both"/>
        <w:ind w:left="460" w:right="20" w:hanging="452"/>
        <w:spacing w:after="0" w:line="255"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2014, consisting of (a) $28,011 for temporary housing and moving expenses, including tax gross-up with respect to temporary housing payments, (b) $646 for travel expenses and (c) $430 for group term life insurance premiums paid by us on behalf of Dr. Londei.</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initial terms and conditions of employment of each of Mr. Suria, Mr. Hoffman and Dr. Londei were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Suria’s Employment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an employment agreement effective as of January 1, 2012 and amended October 9, 2012 and September 16, 2014, or collectively the Suria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Employment Agreement, Mr. Suria serves as our President and Chief Executive Officer. The Suria Employment Agreement sets forth the principal terms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of his employment, including his initial annual base salary of $285,000 and an annual target cash bonus opportunity of 25% of his base salary,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subject to pro rata adjustment for any partial years worked, which bonus is earned based on our achievement of specified milestones and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objectives, as well as Mr. Suria’s performance relative to one or more performance objectives established by Mr. Suria, our compensation committee and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the achievement of which is evaluated by us. On August 14, 2015, our board of directors increased Mr. Suria’s annual base salary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$420,000, effective as of August 1, 2015. The Suria Employment Agreement provided for the grant of a time-based stock option to purchase up to 1,499,684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under our 2006 Equity Incentive Plan. The Suria Employment Agreement also provided for the grant of a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option to purchase up to 684,056 shares of our common stock under our 2006 Equity Incentive Plan, all of which would vest immediately in the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change of control or qualified initial public offering. These options were granted with an exercise price equal to the fair value of our common stock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date of grant and vest over four years as described in more detail in “—Outstanding Equity Awards at Fiscal Year-End Table” below. Mr. Suria’s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employment is at will and may be terminated at any time, with or without cause. However, pursuant to the terms of the Suria Employment Agreement,</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Suria will be entitled to severance benefits upon a qualifying termination of employment as described in “—Potential Payments upon IPO, Termination or Change in Control” below.</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Mr. Hoffman’s Employment Agreement</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Pursuant to an Employment Agreement effective as of July 13, 2015 and amended December 14, 2015, or collectively the Hoffman Employment Agreement, Mr. Hoffman serves as our Chief Financial Officer. The Hoffman Employment Agreement sets forth the principal terms and conditions of his employment, including his initial annual base salary of $325,000 and an annual target cash bonus opportunity of 25% of his base salary, subject to pro rata adjustment for any partial years worked, which bonus is earned based on our achievement of specified milestones and performance objectives, as well as Mr. Hoffman’s performance relative to one or more performance objectives established by Mr. Hoffman, our compensation committee and our board of directors, the achievement of which is evaluated by us. The Hoffman Employment Agreement provided for the grant of a time-based stock option to purchase up to 754,055 shares of our common stock under our 2006 Equity Incentive Plan. This option was granted with an exercise price equal to the fair value of our common stock on the date of grant and vests over four years as described in more detail in “—Outstanding Equity Awards at Fiscal Year-End Table” below. Mr. Hoffman’s employment is at will and may be terminated at any time, with or without cause. However, pursuant to the terms of the Hoffman Employment Agreement, Mr. Hoffman will be entitled to severance benefits upon a qualifying termination of employment as described in “—Potential Payments upon IPO, Termination or Change in Control” below.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Londei’s Employment Agreement</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Pursuant to an employment agreement effective as of October 20, 2014, or the Londei Employment Agreement, Dr. Londei serves as our Chief Development Officer. The Londei Employment Agreement sets forth the principal terms and conditions of his employment, including his initial annual base salary of $350,000 and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annual target cash bonus opportunity of 25% of his base salary, which bonus is earned based on our achievement of specified milestones and performance objectives, as well as Dr. Londei’s performance relative to one or more performance objectives established by Dr. Londei, our compensation committee and our board of directors, the achievement of which is evaluated by us. On August 14, 2015, our board of directors increased Mr. Londei’s annual base salary to $375,000, effective as of August 1, 2015. Likewise, the Londei Employment Agreement provides for additional discretionary performance-based bonuses. The Londei Employment Agreement provides for the grant of a time-based stock option to purchase 1,126,756 shares of our common stock under our 2006 Equity Incentive Plan. This option was granted with an exercise price equal to the fair value of our common stock on the date of grant and vests over four years as described in more detail in “—Outstanding Equity Awards at Fiscal Year-End Table” below. Dr. Londei’s employment is at will and may be terminated at any time, with or without cause. However, pursuant to the terms of the Londei Employment Agreement, Dr. Londei will be entitled to severance benefits upon a qualifying termination of employment as described in “—Potential Payments upon IPO, Termination or Change in Control”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21"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The following table presents, for each of the named executive officers, information regarding expected outstanding stock options held as of December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11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Underlying</w:t>
            </w:r>
          </w:p>
        </w:tc>
        <w:tc>
          <w:tcPr>
            <w:tcW w:w="840" w:type="dxa"/>
            <w:vAlign w:val="bottom"/>
            <w:gridSpan w:val="3"/>
            <w:vMerge w:val="continue"/>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540" w:type="dxa"/>
            <w:vAlign w:val="bottom"/>
            <w:vMerge w:val="restart"/>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Grant Date </w:t>
            </w:r>
            <w:r>
              <w:rPr>
                <w:rFonts w:ascii="Arial" w:cs="Arial" w:eastAsia="Arial" w:hAnsi="Arial"/>
                <w:sz w:val="12"/>
                <w:szCs w:val="12"/>
                <w:b w:val="1"/>
                <w:bCs w:val="1"/>
                <w:color w:val="auto"/>
                <w:w w:val="95"/>
              </w:rPr>
              <w:t>(1)</w:t>
            </w:r>
          </w:p>
        </w:tc>
        <w:tc>
          <w:tcPr>
            <w:tcW w:w="220" w:type="dxa"/>
            <w:vAlign w:val="bottom"/>
            <w:vMerge w:val="restart"/>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Options (#)</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Options (#)</w:t>
            </w:r>
          </w:p>
        </w:tc>
        <w:tc>
          <w:tcPr>
            <w:tcW w:w="100" w:type="dxa"/>
            <w:vAlign w:val="bottom"/>
          </w:tcPr>
          <w:p>
            <w:pPr>
              <w:spacing w:after="0"/>
              <w:rPr>
                <w:sz w:val="12"/>
                <w:szCs w:val="12"/>
                <w:color w:val="auto"/>
              </w:rPr>
            </w:pPr>
          </w:p>
        </w:tc>
        <w:tc>
          <w:tcPr>
            <w:tcW w:w="7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554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3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Unexercisable</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Hamza Suria </w:t>
            </w:r>
            <w:r>
              <w:rPr>
                <w:rFonts w:ascii="Arial" w:cs="Arial" w:eastAsia="Arial" w:hAnsi="Arial"/>
                <w:sz w:val="15"/>
                <w:szCs w:val="15"/>
                <w:color w:val="auto"/>
              </w:rPr>
              <w:t>(2)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 9, 2008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0.37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 8, 2018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Feb. 10, 2010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0.32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Feb. 9, 2020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Feb. 24, 2011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43,457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0.23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 23, 2021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 9, 2011</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986,642</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0.16</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Dec. 8, 2021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Feb. 1, 2012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684,056</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0.16</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31,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Feb. 1, 2012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513,042</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0.16</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Jan. 31, 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Dec. 17, 2012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135,978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0.13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 16,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 16, 2014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362,880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0.10</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Sep. 15, 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Aug. 14, 2015</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1,861,499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0.99</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 xml:space="preserve">Robert E. Hoffman </w:t>
            </w:r>
            <w:r>
              <w:rPr>
                <w:rFonts w:ascii="Arial" w:cs="Arial" w:eastAsia="Arial" w:hAnsi="Arial"/>
                <w:sz w:val="15"/>
                <w:szCs w:val="15"/>
                <w:color w:val="auto"/>
              </w:rPr>
              <w:t>(3)</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Aug. 14, 2015</w:t>
            </w: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432,032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0.99</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Aug. 14, 2015</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754,055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0.99</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 xml:space="preserve">Marco Londei, M.D. </w:t>
            </w:r>
            <w:r>
              <w:rPr>
                <w:rFonts w:ascii="Arial" w:cs="Arial" w:eastAsia="Arial" w:hAnsi="Arial"/>
                <w:sz w:val="15"/>
                <w:szCs w:val="15"/>
                <w:color w:val="auto"/>
              </w:rPr>
              <w:t>(4)</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Oct. 28, 2014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1,126,756</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0.10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Oct. 27, 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Aug. 14, 2015</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645,570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0.99</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160" w:hanging="452"/>
        <w:spacing w:after="0" w:line="253"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stock-option awards have been granted under our 2006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 See “—2006 Equity Incentive Plan” below for a description of the plan.</w:t>
      </w:r>
    </w:p>
    <w:p>
      <w:pPr>
        <w:spacing w:after="0" w:line="3" w:lineRule="exact"/>
        <w:rPr>
          <w:rFonts w:ascii="Arial" w:cs="Arial" w:eastAsia="Arial" w:hAnsi="Arial"/>
          <w:sz w:val="18"/>
          <w:szCs w:val="18"/>
          <w:color w:val="auto"/>
        </w:rPr>
      </w:pPr>
    </w:p>
    <w:p>
      <w:pPr>
        <w:ind w:left="460" w:right="20" w:hanging="452"/>
        <w:spacing w:after="0" w:line="285"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options granted on August 14, 2015. The options vest as to their underlying shares as follows: (i) the shares underlying the options granted on December 9, 2008, February 10, 2010, February 24, 2011, and December 9, 2011 have fully vested; (ii) of the 684,056 shares underlying an option granted on February 1, 2012, all vest only upon a Change in Control (as defined in the 2006 Equity Incentive Plan) or Qualified IPO (as defined in our restated certificate of incorporation) that is approved by our board of directors, subject to Mr. Suria’s employment on such date; (iii) of the 513,042 shares underlying the option granted on February 1, 2012, 1/4 vested on January 1, 2013, and thereafter, 1/48 vest on the first day of each succeeding calendar month, starting February 1, 2013, provided that if Mr. Suria is terminated without Cause or resigns for Good Reason (as each is defined in his employment agreement) in connection with a Change in Control (as defined in the 2006 Equity Incentive Plan), then all of the shares underlying the option shall vest at that time; (iv) of the 135,978 shares underlying the option granted on December 17, 2012, 1/4 vested on December 17, 2013, and thereafter, 1/48 vest on the seventeenth day of each succeeding calendar month, starting January 17, 2014; (v) of the 362,880 shares underlying the option granted on September 16, 2014, 1/4 vested on September 16, 2015, and thereafter 1/48 vest on the sixteenth day of each succeeding calendar month, starting October 16 2015; and (vi) of the 1,861,499 shares underlying the option granted on August 14, 2015, 1/4 vest on August 13, 2016, and 1/48 vest on the thirteenth day of each succeeding calendar month, starting September 13, 2016, provided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8" w:lineRule="auto"/>
        <w:rPr>
          <w:sz w:val="20"/>
          <w:szCs w:val="20"/>
          <w:color w:val="auto"/>
        </w:rPr>
      </w:pPr>
      <w:r>
        <w:rPr>
          <w:rFonts w:ascii="Arial" w:cs="Arial" w:eastAsia="Arial" w:hAnsi="Arial"/>
          <w:sz w:val="18"/>
          <w:szCs w:val="18"/>
          <w:color w:val="auto"/>
        </w:rPr>
        <w:t>that if Mr. Suria is terminated without Cause or resigns for Good Reason (as each is defined in his employment agreement) in connection with a Change in Control (as defined in the 2006 Equity Incentive Plan), then all of the shares underlying the option shall vest at that time.</w:t>
      </w:r>
    </w:p>
    <w:p>
      <w:pPr>
        <w:spacing w:after="0" w:line="1" w:lineRule="exact"/>
        <w:rPr>
          <w:sz w:val="20"/>
          <w:szCs w:val="20"/>
          <w:color w:val="auto"/>
        </w:rPr>
      </w:pPr>
    </w:p>
    <w:p>
      <w:pPr>
        <w:ind w:left="460" w:right="8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These options are not early-exercisable. The options vest as to their underlying shares as follows: (i) of the 432,032 shares underlying the option granted on August 14, 2015, 1/4 vest on August 13, 2016, and 1/48 vest on the thirteenth day of each succeeding calendar month, starting September 13, 2016; (ii) of the 754,055 shares underlying the option granted on August 14, 2015, 1/4 vest on July 13, 2016, and 1/48 vest on the thirteenth day of each succeeding calendar month, starting August 13, 2016, provided that if Mr. Hoffman is terminated without Cause or resigns for Good Reason (as each is defined in his employment agreement) in connection with a Change in Control (as defined in the 2006 Equity Incentive Plan), then all of the shares underlying the options shall vest at that time.</w:t>
      </w:r>
    </w:p>
    <w:p>
      <w:pPr>
        <w:spacing w:after="0" w:line="2" w:lineRule="exact"/>
        <w:rPr>
          <w:rFonts w:ascii="Arial" w:cs="Arial" w:eastAsia="Arial" w:hAnsi="Arial"/>
          <w:sz w:val="18"/>
          <w:szCs w:val="18"/>
          <w:color w:val="auto"/>
        </w:rPr>
      </w:pPr>
    </w:p>
    <w:p>
      <w:pPr>
        <w:ind w:left="460" w:right="60" w:hanging="452"/>
        <w:spacing w:after="0" w:line="287"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options granted on August 14, 2015. The options vest as to their underlying shares as follows: (i) of the 1,126,756 shares underlying the option granted on October 28, 2014, 1/4 of the shares vested on October 24, 2015, and thereafter, 1/48 vest on the 24th day of each succeeding calendar month, starting November 24, 2015, provided that if Dr. Londei is terminated without Cause or resigns for Good Reason (as each is defined in his employment agreement) in connection with a Change in Control (as defined in the 2006 Equity Incentive Plan), then all of the shares underlying the option shall vest at that time; and (ii) of the 645,570 shares underlying the option granted on August 14, 2015, 1/4 vest on August 13, 2016, and 1/48 vest on the thirteenth day of each succeeding calendar month, starting September 13, 2016, provided that if Mr. Londei is terminated without Cause or resigns for Good Reason (as each is defined in his employment agreement) in connection with a Change in Control (as defined in the 2006 Equity Incentive Plan), then all of the shares underlying the option shall vest at that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IPO, Termination or Change in Control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w:t>
      </w:r>
    </w:p>
    <w:p>
      <w:pPr>
        <w:spacing w:after="0" w:line="11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Pursuant to the Suria Employment Agreement, his option granted on February 1, 2012 will vest in full upon a Change in Control (as defined in the 2006 Equity Incentive Plan) or Qualified IPO (as defined in our restated certificate of incorporation) that is approved by our board of directors, subject to Mr. Suria’s employment on such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right="500" w:firstLine="456"/>
        <w:spacing w:after="0" w:line="288" w:lineRule="auto"/>
        <w:rPr>
          <w:sz w:val="20"/>
          <w:szCs w:val="20"/>
          <w:color w:val="auto"/>
        </w:rPr>
      </w:pPr>
      <w:r>
        <w:rPr>
          <w:rFonts w:ascii="Arial" w:cs="Arial" w:eastAsia="Arial" w:hAnsi="Arial"/>
          <w:sz w:val="16"/>
          <w:szCs w:val="16"/>
          <w:color w:val="auto"/>
        </w:rPr>
        <w:t>Pursuant to the Suria Employment Agreement, the Hoffman Employment Agreement and the Londei Employment Agreement, in the event that Mr. Suria, Mr. Hoffman or Dr. Londei is terminated without “Cause” or resigns for “Good Reason” (each as defined in the applicable employment agreement), provided that each delivers a signed settlement and general release in favor of us and satisfies all conditions to make such release effective,</w:t>
      </w:r>
    </w:p>
    <w:p>
      <w:pPr>
        <w:ind w:left="5580" w:right="4420" w:hanging="5572"/>
        <w:spacing w:after="0" w:line="433" w:lineRule="auto"/>
        <w:tabs>
          <w:tab w:leader="none" w:pos="2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will receive continued severance payments for 12 months, nine months and nine months, 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respectively and (ii) and if each elects continuation coverage under the Consolidated Omnibus Budget Reconciliation Act of 1985, or COBRA, we will pay directly to the insurance provider of our group health plans, the monthly premium for such continuation coverage, for 12 months, nine months and nine months, respectively, or such earlier date on which coverage with a new employer is obtained.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Pursuant to the Suria Employment Agreement and certain of his outstanding stock option agreements, if we experience a change in control and Mr. Suria is terminated without “cause” or resigns for “good reason” (each as defined in the employment agreement) upon the occurrence of, or within 13 months following, such change in control, and provided that Mr. Suria delivers a signed settlement and general release in favor of us and satisfies all conditions to make such release effective, (i) Mr. Suria will receive the continued severance payments and COBRA premiums described above for 12 months and (ii) certain of his currently outstanding stock options will vest in full as described in more detail in “—Outstanding Equity Awards at Fiscal Year-End Table” above.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Mr. Suria’s option granted on February 1, 2012, will vest in full upon a change in control, subject to Mr. Suria’s employment on such date.</w:t>
      </w:r>
    </w:p>
    <w:p>
      <w:pPr>
        <w:spacing w:after="0" w:line="24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Pursuant to the Hoffman Employment Agreement, if we experience a change in control and Mr. Hoffman is terminated without “cause” or resigns for “good reason” (each as defined in the employment agreement or applicable option agreement) upon the occurrence of, or within 13 months following, such change in control, and provided that Mr. Hoffman delivers a signed settlement and general release in favor of us and satisfies all conditions to make such release effective, (i) Mr. Hoffman will receive the severance payments and COBRA premiums described above for nine months and (ii) each of his currently outstanding stock options will vest in full.</w:t>
      </w:r>
    </w:p>
    <w:p>
      <w:pPr>
        <w:spacing w:after="0" w:line="188"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Pursuant to the Londei Employment Agreement, if we experience a change in control and Dr. Londei is terminated without “cause” or resigns for “good reason” (each as defined in the employment agreement or applicable option agreement) upon the occurrence of or within 13 months following such change in control, and provided that Dr. Londei delivers a signed settlement and general release in favor of us and satisfies all conditions to make such release effective,</w:t>
      </w:r>
    </w:p>
    <w:p>
      <w:pPr>
        <w:ind w:right="240" w:firstLine="8"/>
        <w:spacing w:after="0" w:line="261" w:lineRule="auto"/>
        <w:tabs>
          <w:tab w:leader="none" w:pos="2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Dr. Londei will receive the severance payments and COBRA premiums described above for nine months and (ii) each of his currently outstanding stock options will vest in full.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employment agreement contains a “better after-tax” provision, which provides that if any of the payments to Mr. Suria, Mr. Hoffman or</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Dr. Londei,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Equity Incentive Plan</w:t>
      </w:r>
    </w:p>
    <w:p>
      <w:pPr>
        <w:spacing w:after="0" w:line="117"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Our 2006 Equity Incentive Plan was adopted by our board of directors on April 24, 2006 and approved by our stockholders on May 26, 2006, which was later amended by our board of directors on July 11, 2014 and approved by our stockholders on April 29, 2015. Most recently, on April 22, 2016, our board of directors amended and restated our 2006 Equity Incentive Plan to extend the term of the plan by ten years, such that it now expires on April 21, 2026. We expect to receive stockholder approval regarding the extension in the next several months.</w:t>
      </w:r>
    </w:p>
    <w:p>
      <w:pPr>
        <w:spacing w:after="0" w:line="17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2006 Equity Incentive Plan provides for the grant of both incentive stock options, which qualify for favorable tax treatment to their recipients under Section 422 of the Code, and nonstatutory stock options, as well as for the issuance of shares of restricted stock and stock appreciation rights. We may grant incentive stock options only to our employees, including officers and directors who are also employees. We may grant nonstatutory stock options to our employees, officers, directors and consultants. We have only granted stock options under our 2006 Equity Incentive Plan.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2006 Equity Incentive Plan is administered by our board of directors. Our board of directors has the authority to construe and interpret our 2006 Equity Incentive Plan, grant awards, determine the terms of such awards and make all other determinations necessary or advisable for the administration of the plan. Subject to the terms of our 2006 equity incentive plan and the consent of any adversely affected participant, our board of directors also has the authority to reduce the exercise or strike price of any outstanding stock option or stock appreciation right, cancel any outstanding stock option or stock appreciation right in exchange for a new stock option or stock appreciation right, or take any other action that is treated as a repricing under generally accepted accounting principles.</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exercise price of each stock option must be at least equal to the fair market value of our common stock on the date of grant. The exercise price of incentive stock options granted to 10% stockholders must be at least equal to 110% of the fair market value of our common stock on the date of grant. The maximum permitted term of options granted under our 2006 Equity Incentive Plan is ten years, except that the maximum permitted term of incentive stock options granted to 10% stockholders is five years.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Options granted under our 2006 Equity Incentive Plan generally vest over a four-year period based on employment through certain vesting dates. Options granted under our 2006 Equity Incentive Plan may not be transferred in any manner other than by will or by the laws of descent and distribution or as determined by our board of directors. Unless otherwise permitted by our board of directors, stock options may be exercised during the lifetime of the optionee only by the optionee or the optionee’s guardian or legal representative. Options granted under our 2006 Equity Incentive Plan generally may be exercised for a period of three months after the termination of the optionee’s service to us for any reason other than due to death or disability, for a period of 12 months in the case of death, and 18 months in the case of disability, or such longer period as our board of directors may provide.</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of a corporate transaction (as defined in the 2006 Equity Incentive Plan), the 2006 Equity Incentive Plan provides that awards may be assumed, continued or substituted by the successor or acquiring entity. If any surviving or acquiring corporation fails to assume, continue or substitute such stock awards, stock awards held by participants whose continuous service has not terminated will accelerate vesting in full prior to the corporate transaction. All stock awards will terminate at or prior to the corporate transaction. In addition, our board may also provide, in its sole discretion, that the holder of a stock award that will terminate upon the occurrence of a corporate transaction will receive a payment, if any, equal to the excess of (1) the value of the property the participant would have received upon exercise of the stock award over (2) the exercise price otherwise payable in connection with the stock award.</w:t>
      </w:r>
    </w:p>
    <w:p>
      <w:pPr>
        <w:spacing w:after="0" w:line="16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of March 31, 2016, we had reserved 18,871,272 shares of our common stock for issuance under our 2006 Equity Incentive Plan. As of March 31, 2016, options to purchase 2,517,074 of these shares had been exercised, options to purchase 14,107,284 of these shares remained outstanding and 2,507,113 of these shares remained available for grant. The options outstanding as of March 31, 2016 had a weighted-average exercise price of $0.57 per share. We will cease issuing awards under our 2006 Equity Incentive Plan upon the effective date of our 2016 Equity Incentive Plan. Our 2016 Equity Incentive Plan will be effective on the date immediately prior to the date of this prospectus. As a result, we will not grant any additional options under the 2006 Equity Incentive Plan following that date, and the 2006 Equity Incentive Plan will be terminated at that time. However, any outstanding options granted under the 2006 Equity Incentive Plan will remain outstanding, subject to the terms of our 2006 Equity Incentive Plan and stock option agreements, until such outstanding options are exercised or until they terminate or expire by their terms.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adopted a 2016 Equity Incentive Plan that will become effective on the date immediately prior to the date of this prospectus and will serve as</w:t>
      </w:r>
    </w:p>
    <w:p>
      <w:pPr>
        <w:spacing w:after="0" w:line="46"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the successor to our 2006 Equity Incentive Plan. We reserved shares of our common stock to be issued under our 2016 Equity Incentive Plan. The number of shares reserved for issuance under our 2016 Equity Incentive Plan will increase automatically on January 1 of each 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2017 through 2026 by the number of shares equal to % of the aggregate number of outstanding shares of our common stock as of the immediately preceding December 31. However, our board of directors may reduce the amount of the increase in any particular year. In addition, the following shares will again be available for grant and issuance under our 2016 Equity Incentive Plan:</w:t>
      </w:r>
    </w:p>
    <w:p>
      <w:pPr>
        <w:spacing w:after="0" w:line="87" w:lineRule="exact"/>
        <w:rPr>
          <w:sz w:val="20"/>
          <w:szCs w:val="20"/>
          <w:color w:val="auto"/>
        </w:rPr>
      </w:pPr>
    </w:p>
    <w:p>
      <w:pPr>
        <w:ind w:left="900" w:right="12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shares subject to options or stock appreciation rights granted under our 2016 Equity Incentive Plan that cease to be subject to the option or stock appreciation right for any reason other than exercise of the option or stock appreciation right;</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shares subject to awards granted under our 2016 Equity Incentive Plan that are subsequently forfeited or repurchased by us at the original issue price;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shares subject to awards granted under our 2016 Equity Incentive Plan that otherwise terminate without shares being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shares surrendered, cancelled or exchanged for cash or a different award (or combination thereof);</w:t>
      </w:r>
    </w:p>
    <w:p>
      <w:pPr>
        <w:spacing w:after="0" w:line="130"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shares of common stock reserved but not issued or subject to outstanding grants under our 2006 Equity Incentive Plan on the date of this prospectus will be available for grant and issuance under our 2016 Equity Incentive Plan;</w:t>
      </w:r>
    </w:p>
    <w:p>
      <w:pPr>
        <w:spacing w:after="0" w:line="75"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options or subject to other awards under our 2006 Equity Incentive Plan prior to the date of this prospectus that cease to be subject to such options or other awards by forfeiture or otherwise after the date of this prospectus will be available for grant and issuance under our 2016 Equity Incentive Plan;</w:t>
      </w:r>
    </w:p>
    <w:p>
      <w:pPr>
        <w:spacing w:after="0" w:line="86"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shares of common stock issued under our 2006 Equity Incentive Plan that are forfeited or repurchased by us after the date of this prospectus will be available for grant and issuance under our 2016 Equity Incentive Plan; and</w:t>
      </w:r>
    </w:p>
    <w:p>
      <w:pPr>
        <w:spacing w:after="0" w:line="75"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shares of common stock subject to awards under our 2006 Equity Incentive Plan that are used to pay the exercise price of an option or withheld to satisfy the tax withholding obligations related to any award will be available for grant and issuance under our 2016 Equity Incentive Plan.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2016 Equity Incentive Plan authorizes the award of stock options, restricted stock awards, or RSAs, stock appreciation rights, or SARs, restricted</w:t>
      </w:r>
    </w:p>
    <w:p>
      <w:pPr>
        <w:spacing w:after="0" w:line="46"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stock units, or RSUs, performance awards and stock bonuses. No person will be eligible to receive more than shares in any calendar year under our 2016 Equity Incentive Plan other than a new employee of ours, who will be eligible to receive no more than shares under the plan in the calendar year in which the employee commences employment. No more than shares will be issued pursuant to the exercise of incentive stock options.</w:t>
      </w:r>
    </w:p>
    <w:p>
      <w:pPr>
        <w:spacing w:after="0" w:line="173"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Our 2016 Equity Incentive Plan will be administered by our compensation committee, all of the members of which are outside directors as defined under applicable federal tax laws, or by our board of directors acting in place of our compensation committee. The compensation committee will have the authority to construe and interpret our 2016 Equity Incentive Plan, grant awards, determine the terms of such awards and make all other determinations necessary or advisable for the administration of the plan, including, but not limited to, repricing options or SARs without prior stockholder approval.</w:t>
      </w:r>
    </w:p>
    <w:p>
      <w:pPr>
        <w:spacing w:after="0" w:line="15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2016 Equity Incentive Plan will provide for the grant of awards to our employees, directors, consultants, independent contractors and advisors, provided the consultants, independent contractors, directors and advisors are natural persons that render services not in connection with the offer and sale of</w:t>
      </w:r>
    </w:p>
    <w:p>
      <w:pPr>
        <w:spacing w:after="0"/>
        <w:tabs>
          <w:tab w:leader="none" w:pos="9540" w:val="left"/>
        </w:tabs>
        <w:rPr>
          <w:sz w:val="20"/>
          <w:szCs w:val="20"/>
          <w:color w:val="auto"/>
        </w:rPr>
      </w:pPr>
      <w:r>
        <w:rPr>
          <w:rFonts w:ascii="Arial" w:cs="Arial" w:eastAsia="Arial" w:hAnsi="Arial"/>
          <w:sz w:val="18"/>
          <w:szCs w:val="18"/>
          <w:color w:val="auto"/>
        </w:rPr>
        <w:t>securities in a capital-raising transaction. The aggregate number of shares granted to non-employee directors shall not exceed</w:t>
      </w:r>
      <w:r>
        <w:rPr>
          <w:sz w:val="20"/>
          <w:szCs w:val="20"/>
          <w:color w:val="auto"/>
        </w:rPr>
        <w:tab/>
      </w:r>
      <w:r>
        <w:rPr>
          <w:rFonts w:ascii="Arial" w:cs="Arial" w:eastAsia="Arial" w:hAnsi="Arial"/>
          <w:sz w:val="15"/>
          <w:szCs w:val="15"/>
          <w:color w:val="auto"/>
        </w:rPr>
        <w:t>shares in a calendar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of stock options must be at least equal to the fair market value of our common stock on the date of grant.</w:t>
      </w:r>
    </w:p>
    <w:p>
      <w:pPr>
        <w:spacing w:after="0" w:line="21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anticipate that in general, options will vest over a four-year period. Options may vest based on time or achievement of performance conditions. Our compensation committee may provide for options to be exercised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only as they vest or to be immediately exercisable with any shares issued on exercise being subject to our right of repurchase that lapses as the shares vest.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maximum term of options granted under our 2016 Equity Incentive Plan is ten years.</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 RSA is an offer by us to sell shares of our common stock subject to restrictions, which may vest based on time or achievement of performance conditions. The price (if any) of an RSA will be determined by the compensation committee. Unless otherwise determined by the compensation committee at the time of award, vesting will cease on the date the participant no longer provides services to us and unvested shares will be forfeited to or repurchased by us.</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SARs provide for a payment, or payments, in cash or shares of our common stock, to the holder based upon the difference between the fair market value of our common stock on the date of exercise and the stated exercise price up to a maximum amount of cash or number of shares. SARs may vest based on time or achievement of performance conditions.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RSUs represent the right to receive shares of our common stock at a specified date in the future, subject to forfeiture of that right because of termination of employment or failure to achieve certain performance conditions. If an RSU has not been forfeited, then on the date specified in the RSU agreement, we will deliver to the holder of the RSU whole shares of our common stock (which may be subject to additional restrictions), cash or a combination of our common stock and cash.</w:t>
      </w:r>
    </w:p>
    <w:p>
      <w:pPr>
        <w:spacing w:after="0" w:line="187"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color w:val="auto"/>
        </w:rPr>
        <w:t>Performance shares are performance awards that cover a number of shares of our common stock that may be settled upon achievement of the pre-established performance conditions in cash or by issuance of the underlying shares. These awards are subject to forfeiture prior to settlement because of</w:t>
      </w:r>
    </w:p>
    <w:p>
      <w:pPr>
        <w:ind w:right="400"/>
        <w:spacing w:after="0" w:line="261" w:lineRule="auto"/>
        <w:rPr>
          <w:sz w:val="20"/>
          <w:szCs w:val="20"/>
          <w:color w:val="auto"/>
        </w:rPr>
      </w:pPr>
      <w:r>
        <w:rPr>
          <w:rFonts w:ascii="Arial" w:cs="Arial" w:eastAsia="Arial" w:hAnsi="Arial"/>
          <w:sz w:val="18"/>
          <w:szCs w:val="18"/>
          <w:color w:val="auto"/>
        </w:rPr>
        <w:t>termination of employment or failure to achieve the performance conditions. No participant will be eligible to receive more than $ in performance awards in any calendar year.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 bonuses may be granted as additional compensation for service or performance and, therefore, will not be issued in exchange for cash.</w:t>
      </w:r>
    </w:p>
    <w:p>
      <w:pPr>
        <w:spacing w:after="0" w:line="23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In the event there is a specified type of change in our capital structure without our receipt of consideration, such as a stock split, appropriate adjustments will be made to the number of shares reserved under our 2016 Equity Incentive Plan, the maximum number of shares that can be granted in a calendar year and the number of shares and exercise price, if applicable, of all outstanding awards under our 2016 Equity Incentive Plan.</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Awards granted under our 2016 Equity Incentive Plan may not be transferred in any manner other than by will or by the laws of descent and distribution or as determined by our compensation committee. Unless otherwise permitted by our compensation committee, stock options may be exercised during the lifetime of the optionee only by the optionee or the optionee’s guardian or legal representative. Options granted under our 2016 Equity Incentive Plan generally may be exercised for a period of three months after the termination of the optionee’s service to us for any reason other than for cause or due to death or disability, for a period of 12 months in the case of death or disability, or such longer period as our compensation committee may provide. Options generally terminate immediately upon termination of employment for cause.</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of a merger or consolidation, any and all outstanding awards may be assumed or replaced by the successor corporation. In the alternative, the successor corporation may substitute equivalent awards or provide substantially similar consideration to participants as was provided to stockholders. If the outstanding awards are not assumed, substituted or cashed out, the awards will expire upon the closing of the merger or consolidation; and our compensation committee may accelerate the vesting and exercisability (as applicable) of the awards in connection with the transaction. In the event of a merger or consolidation, the vesting of all awards granted to non-employee directors shall accelerate and such awards shall become exercisable (as applicable) in full.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2016 Equity Incentive Plan will terminate ten years from the date our board of directors adopts the plan, unless it is terminated earlier by our board of directors. Our board of directors may amend or terminate our 2016 Equity Incentive Plan at any time. Our board of directors generally may amend our 2016 Equity Incentive Plan, without stockholder approval unless required by applicable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adopted a 2016 Employee Stock Purchase Plan that will become effective on the date of this prospectus and will enable eligible employees to purchase shares of our common stock at a discount beginning on a date determined by our board of directors. Purchases will be accomplished through</w:t>
      </w:r>
    </w:p>
    <w:p>
      <w:pPr>
        <w:spacing w:after="0" w:line="281" w:lineRule="auto"/>
        <w:rPr>
          <w:sz w:val="20"/>
          <w:szCs w:val="20"/>
          <w:color w:val="auto"/>
        </w:rPr>
      </w:pPr>
      <w:r>
        <w:rPr>
          <w:rFonts w:ascii="Arial" w:cs="Arial" w:eastAsia="Arial" w:hAnsi="Arial"/>
          <w:sz w:val="16"/>
          <w:szCs w:val="16"/>
          <w:color w:val="auto"/>
        </w:rPr>
        <w:t>participation in discrete offering periods. We initially reserved shares of our common stock for issuance under our 2016 Employee Stock Purchase Plan. The number of shares reserved for issuance under our 2016 Employee Stock Purchase Plan will increase automatically on January 1st of each of the first</w:t>
      </w:r>
    </w:p>
    <w:p>
      <w:pPr>
        <w:spacing w:after="0" w:line="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ten calendar years following the first offering date by the number of shares equal to the greater of % of the total outstanding shares of our common stock as of the immediately preceding December 31 (rounded to the nearest whole share) or the actual number of shares purchased under the 2016 Employee Stock Purchase Plan in the immediately preceding fiscal year. However, our board of directors or compensation committee may reduce the amount of the</w:t>
      </w:r>
    </w:p>
    <w:p>
      <w:pPr>
        <w:spacing w:after="0" w:line="2"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increase in any particular year. The aggregate number of shares issued over the term of our 2016 Employee Stock Purchase Plan will not exceed shares of our common stock. Our 2016 Employee Stock Purchase Plan is intended to qualify as an employee stock purchase plan under Section 423 of the Code.</w:t>
      </w:r>
    </w:p>
    <w:p>
      <w:pPr>
        <w:spacing w:after="0" w:line="139"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Our compensation committee will administer our 2016 Employee Stock Purchase Plan. While our employees generally are eligible to participate in our 2016 Employee Stock Purchase Plan, our compensation committee may in its discretion elect to exclude employees who work less than 20 hours per week or less than five months in a calendar year. In addition, employees who are 5% stockholders, or would become 5% stockholders as a result of their participation in our 2016 Employee Stock Purchase Plan, are ineligible to participate in our 2016 Employee Stock Purchase Plan. We may impose additional restrictions on eligibility. Under our 2016 Employee Stock Purchase Plan, eligible employees will be able to acquire shares of our common stock by accumulating funds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through payroll deductions. Our eligible employees will be able to select a rate of payroll deduction between % and % of their base cash compensation. The purchase price of the shares will be 85% of the lower of the fair market value of our common stock on the first day of an offering or on the date of purchase.</w:t>
      </w:r>
    </w:p>
    <w:p>
      <w:pPr>
        <w:spacing w:after="0" w:line="1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When an initial first purchase period commences, our employees who meet the eligibility requirements for participation in that purchase period will be eligible to enroll. For subsequent purchase periods, new participants will be required to enroll in a timely manner. Once an employee is enrolled, participation will be automatic in subsequent purchase periods. Each purchase period will be determined by our compensation committee. An employee’s participation automatically ends upon termination of employment for any reason.</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first purchase period will begin on a future date to be designated by our board of directors or compensation committee. Each subsequent purchase period will be for six months.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participant will have the right to purchase our shares in an amount, when aggregated with purchase rights under all our employee stock purchase</w:t>
      </w:r>
    </w:p>
    <w:p>
      <w:pPr>
        <w:spacing w:after="0" w:line="46"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plans that are also in effect in the same calendar years, that has a fair market value of more than $ , determined as of the first day of the applicable purchase period, for each calendar year in which that right is outstanding. In addition, no participant will be permitted to purchase more than shares</w:t>
      </w:r>
    </w:p>
    <w:p>
      <w:pPr>
        <w:ind w:right="200"/>
        <w:spacing w:after="0" w:line="277" w:lineRule="auto"/>
        <w:rPr>
          <w:sz w:val="20"/>
          <w:szCs w:val="20"/>
          <w:color w:val="auto"/>
        </w:rPr>
      </w:pPr>
      <w:r>
        <w:rPr>
          <w:rFonts w:ascii="Arial" w:cs="Arial" w:eastAsia="Arial" w:hAnsi="Arial"/>
          <w:sz w:val="17"/>
          <w:szCs w:val="17"/>
          <w:color w:val="auto"/>
        </w:rPr>
        <w:t>during any one purchase period or such lesser amount determined by our compensation committee. The purchase price for shares of our common stock purchased under our 2016 Employee Stock Purchase Plan will be % of the lesser of the fair market value of our common stock on (i) the first trading day of the applicable offering period or (ii) the last trading day of each purchase period in the applicable offering period.</w:t>
      </w:r>
    </w:p>
    <w:p>
      <w:pPr>
        <w:spacing w:after="0" w:line="17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If we experience a change in control transaction, each outstanding right to purchase shares under our 2016 Employee Stock Purchase Plan may be assumed or an equivalent option substituted by the successor 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event that the successor corporation refuses to assume or substitute the outstanding purchase rights, any offering period that commenced prior to the closing of the proposed change in control transaction will be shortened and terminated on a new purchase date. The new purchase date will occur prior to the closing of the proposed change in control transaction and our 2016 Employee Stock Purchase Plan will then terminate on the closing of the proposed change in control.</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will also have the right to amend or terminate our 2016 Employee Stock Purchase Plan at any time. Our 2016 Employee Stock Purchase Plan will terminate on the tenth anniversary of the last day of the first purchase period, unless it is terminated earlier by our board of directors.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We sponsor a retirement savings plan established January 1, 2007,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We have the ability to make discretionary contributions under the plan but have not done so to date.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restated certificate of incorporation that will become effective in connection with the closing of this offering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w:t>
      </w:r>
    </w:p>
    <w:p>
      <w:pPr>
        <w:spacing w:after="0" w:line="71"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restated certificate of incorporation and our restated bylaws that will become effective in connection with the closing of this offering require us to indemnify our directors and officers to the maximum extent not prohibited by the Delaware General Corporation Law and allow us to indemnify other employees and agents as set forth in the Delaware General Corporation Law.</w:t>
      </w:r>
    </w:p>
    <w:p>
      <w:pPr>
        <w:spacing w:after="0" w:line="18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have entered, and intend to continue to enter, into separate indemnification agreements with our directors,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20"/>
          </w:cols>
          <w:pgMar w:left="24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these indemnification provisions and agreements are necessary to attract and retain qualified directors, officers and key employees. We also maintain directors’ and officers’ liability insurance.</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40"/>
          </w:cols>
          <w:pgMar w:left="240" w:top="459" w:right="3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describe below transactions and series of similar transactions since January 1, 2012 to which we were a party or will be a party, in which:</w:t>
      </w:r>
    </w:p>
    <w:p>
      <w:pPr>
        <w:spacing w:after="0" w:line="142"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to which we have been or will be a party other than compensation arrangements, which are described where required under “Executive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C-1 Preferred Stock Financing</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April 2014, we issued an aggregate of 3,318,054 shares of our Series C-1 convertible preferred stock at a purchase price of $0.65 per share, in exchange for the cancellation of secured convertible promissory notes originally issued in July 2013, which as of April 2014 had an aggregate principal and unpaid interest of $2.2 million.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the Series C-1 convertible preferred stock issued to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Series C-1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4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668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Entities affiliated</w:t>
            </w: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with Frazier Healthcare </w:t>
            </w:r>
            <w:r>
              <w:rPr>
                <w:rFonts w:ascii="Arial" w:cs="Arial" w:eastAsia="Arial" w:hAnsi="Arial"/>
                <w:sz w:val="15"/>
                <w:szCs w:val="15"/>
                <w:color w:val="auto"/>
              </w:rPr>
              <w:t>(1)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1,370,261</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890,670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 xml:space="preserve">Novo A/S </w:t>
            </w:r>
            <w:r>
              <w:rPr>
                <w:rFonts w:ascii="Arial" w:cs="Arial" w:eastAsia="Arial" w:hAnsi="Arial"/>
                <w:sz w:val="15"/>
                <w:szCs w:val="15"/>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1,370,261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890,670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Alloy Ventures 2005, L.P.</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541,246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351,810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 xml:space="preserve">Hamza Suria </w:t>
            </w:r>
            <w:r>
              <w:rPr>
                <w:rFonts w:ascii="Arial" w:cs="Arial" w:eastAsia="Arial" w:hAnsi="Arial"/>
                <w:sz w:val="15"/>
                <w:szCs w:val="15"/>
                <w:color w:val="auto"/>
              </w:rPr>
              <w:t>(3)</w:t>
            </w:r>
          </w:p>
        </w:tc>
        <w:tc>
          <w:tcPr>
            <w:tcW w:w="780" w:type="dxa"/>
            <w:vAlign w:val="bottom"/>
          </w:tcPr>
          <w:p>
            <w:pPr>
              <w:jc w:val="right"/>
              <w:spacing w:after="0"/>
              <w:rPr>
                <w:sz w:val="20"/>
                <w:szCs w:val="20"/>
                <w:color w:val="auto"/>
              </w:rPr>
            </w:pPr>
            <w:r>
              <w:rPr>
                <w:rFonts w:ascii="Arial" w:cs="Arial" w:eastAsia="Arial" w:hAnsi="Arial"/>
                <w:sz w:val="18"/>
                <w:szCs w:val="18"/>
                <w:color w:val="auto"/>
              </w:rPr>
              <w:t>5,469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80" w:hanging="452"/>
        <w:spacing w:after="0" w:line="274"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Represents shares held by Frazier Healthcare V, L.P., an affiliate of Frazier Healthcare Ventures. Dr. Topper, a member of our Board of Directors, is a General Partner of Frazier Healthcare and may be deemed to have voting and investment power with respect to these shares.</w:t>
      </w:r>
    </w:p>
    <w:p>
      <w:pPr>
        <w:ind w:left="460" w:right="160" w:hanging="452"/>
        <w:spacing w:after="0" w:line="250"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Each share of our Series C-1 convertible preferred stock will convert automatically into one share of our common stock upon the closing of this offering. The purchasers of our Series C-1 convertible preferred stock are entitled to specified registration rights, as described below under “Description of Capital Stock—Registration Rights.”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July 2015, we sold an aggregate of 38,436,851 shares of our Series D convertible preferred stock at a purchase price of $1.06 per share, for an aggregate cash purchase price of $40.8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summarizes the Series D convertible preferred stock purchased by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Series 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9400" w:type="dxa"/>
            <w:vAlign w:val="bottom"/>
            <w:gridSpan w:val="2"/>
            <w:vMerge w:val="continue"/>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Entities affiliated</w:t>
            </w:r>
          </w:p>
        </w:tc>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Biotechnology Value Fund, L.P</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7,074,203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7,503,111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HBM Healthcare Investments (Cayman) Ltd</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6,599,851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6,999,999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Entities affiliated with Frazier Healthcare </w:t>
            </w:r>
            <w:r>
              <w:rPr>
                <w:rFonts w:ascii="Arial" w:cs="Arial" w:eastAsia="Arial" w:hAnsi="Arial"/>
                <w:sz w:val="15"/>
                <w:szCs w:val="15"/>
                <w:color w:val="auto"/>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6,599,850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6,999,999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 xml:space="preserve">Novo A/S </w:t>
            </w:r>
            <w:r>
              <w:rPr>
                <w:rFonts w:ascii="Arial" w:cs="Arial" w:eastAsia="Arial" w:hAnsi="Arial"/>
                <w:sz w:val="15"/>
                <w:szCs w:val="15"/>
                <w:color w:val="auto"/>
              </w:rPr>
              <w:t>(2)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4,714,179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Nicholas B. Lydon, Ph.D., FRS </w:t>
            </w:r>
            <w:r>
              <w:rPr>
                <w:rFonts w:ascii="Arial" w:cs="Arial" w:eastAsia="Arial" w:hAnsi="Arial"/>
                <w:sz w:val="15"/>
                <w:szCs w:val="15"/>
                <w:color w:val="auto"/>
              </w:rPr>
              <w:t>(3)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471,417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 xml:space="preserve">Carol G. Gallagher, Pharm.D. </w:t>
            </w:r>
            <w:r>
              <w:rPr>
                <w:rFonts w:ascii="Arial" w:cs="Arial" w:eastAsia="Arial" w:hAnsi="Arial"/>
                <w:sz w:val="15"/>
                <w:szCs w:val="15"/>
                <w:color w:val="auto"/>
              </w:rPr>
              <w:t>(4)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150,075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159,174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Robert E. Hoffman </w:t>
            </w:r>
            <w:r>
              <w:rPr>
                <w:rFonts w:ascii="Arial" w:cs="Arial" w:eastAsia="Arial" w:hAnsi="Arial"/>
                <w:sz w:val="15"/>
                <w:szCs w:val="15"/>
                <w:color w:val="auto"/>
              </w:rPr>
              <w:t>(5)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 xml:space="preserve">Hamza Suria </w:t>
            </w:r>
            <w:r>
              <w:rPr>
                <w:rFonts w:ascii="Arial" w:cs="Arial" w:eastAsia="Arial" w:hAnsi="Arial"/>
                <w:sz w:val="15"/>
                <w:szCs w:val="15"/>
                <w:color w:val="auto"/>
              </w:rPr>
              <w:t>(6)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14,142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Marco Londei, M.D. </w:t>
            </w:r>
            <w:r>
              <w:rPr>
                <w:rFonts w:ascii="Arial" w:cs="Arial" w:eastAsia="Arial" w:hAnsi="Arial"/>
                <w:sz w:val="15"/>
                <w:szCs w:val="15"/>
                <w:color w:val="auto"/>
              </w:rPr>
              <w:t>(7)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56"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Consists of shares held by Frazier Healthcare VII, L.P. and Frazier Healthcare VII-A, L.P., both affiliates of Frazier Healthcare. Dr. Topper, a member of our Board of Directors, is a General Partner of Frazier Healthcare and may be deemed to have voting and investment power with respect to these shares.</w:t>
      </w:r>
    </w:p>
    <w:p>
      <w:pPr>
        <w:ind w:left="460" w:right="200" w:hanging="452"/>
        <w:spacing w:after="0" w:line="250"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Dr. Lydon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Dr. Gallagher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Mr. Hoffman is our Chief Financial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Dr. Londei is our Chief Development Officer.</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Each share of our Series D convertible preferred stock will convert automatically into one share of our common stock upon the closing of this offering. The purchasers of our Series D convertible preferred stock are entitled to specified registration rights, as described below under “Description of Capital Stock —Registration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following our initial public offering under the Securities Act. For a description of these registration rights, see “Description of Capital Stock—Registration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“Executive Compensation—Limitations on Liability and Indemnification Matters.”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intend to adopt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March 31, 2016, and as adjusted to reflect the sale of common stock in this offering, for:</w:t>
      </w:r>
    </w:p>
    <w:p>
      <w:pPr>
        <w:spacing w:after="0" w:line="76"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Applicable percentage ownership is based on 99,092,287 shares of common stock outstanding as of March 31, 2016 and assumes (i) the automatic conversion of all outstanding shares of our convertible preferred stock into 80,645,051 shares of common stock as of immediately prior to the closing of this</w:t>
      </w:r>
    </w:p>
    <w:p>
      <w:pPr>
        <w:spacing w:after="0" w:line="252" w:lineRule="auto"/>
        <w:rPr>
          <w:sz w:val="20"/>
          <w:szCs w:val="20"/>
          <w:color w:val="auto"/>
        </w:rPr>
      </w:pPr>
      <w:r>
        <w:rPr>
          <w:rFonts w:ascii="Arial" w:cs="Arial" w:eastAsia="Arial" w:hAnsi="Arial"/>
          <w:sz w:val="18"/>
          <w:szCs w:val="18"/>
          <w:color w:val="auto"/>
        </w:rPr>
        <w:t>offering. For purposes of the table below, we have assumed that shares of common stock will be issued by us in our initial public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March 31, 2016. We did not deem these shares outstanding, however, for the purpose of computing the percentage ownership of any other person. Unless otherwise indicated, the address of each beneficial owner listed in the table below is c/o AnaptysBio, Inc., 10421 Pacific Center Court, Suite 200, San Diego, California 92121.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Beneficial Ownership</w:t>
            </w: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Beneficial Ownership</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50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Name of Beneficial Owner</w:t>
            </w:r>
          </w:p>
        </w:tc>
        <w:tc>
          <w:tcPr>
            <w:tcW w:w="1540" w:type="dxa"/>
            <w:vAlign w:val="bottom"/>
          </w:tcPr>
          <w:p>
            <w:pPr>
              <w:spacing w:after="0"/>
              <w:rPr>
                <w:sz w:val="14"/>
                <w:szCs w:val="14"/>
                <w:color w:val="auto"/>
              </w:rPr>
            </w:pPr>
          </w:p>
        </w:tc>
        <w:tc>
          <w:tcPr>
            <w:tcW w:w="24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Prior to this Offering</w:t>
            </w: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After this Offering</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5040" w:type="dxa"/>
            <w:vAlign w:val="bottom"/>
            <w:gridSpan w:val="4"/>
            <w:vMerge w:val="continue"/>
          </w:tcPr>
          <w:p>
            <w:pPr>
              <w:spacing w:after="0"/>
              <w:rPr>
                <w:sz w:val="12"/>
                <w:szCs w:val="12"/>
                <w:color w:val="auto"/>
              </w:rPr>
            </w:pPr>
          </w:p>
        </w:tc>
        <w:tc>
          <w:tcPr>
            <w:tcW w:w="1540" w:type="dxa"/>
            <w:vAlign w:val="bottom"/>
          </w:tcPr>
          <w:p>
            <w:pPr>
              <w:spacing w:after="0"/>
              <w:rPr>
                <w:sz w:val="12"/>
                <w:szCs w:val="12"/>
                <w:color w:val="auto"/>
              </w:rPr>
            </w:pPr>
          </w:p>
        </w:tc>
        <w:tc>
          <w:tcPr>
            <w:tcW w:w="140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80" w:type="dxa"/>
            <w:vAlign w:val="bottom"/>
          </w:tcPr>
          <w:p>
            <w:pPr>
              <w:spacing w:after="0"/>
              <w:rPr>
                <w:sz w:val="12"/>
                <w:szCs w:val="12"/>
                <w:color w:val="auto"/>
              </w:rPr>
            </w:pPr>
          </w:p>
        </w:tc>
        <w:tc>
          <w:tcPr>
            <w:tcW w:w="10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 xml:space="preserve">5% Stockholders </w:t>
            </w:r>
            <w:r>
              <w:rPr>
                <w:rFonts w:ascii="Arial" w:cs="Arial" w:eastAsia="Arial" w:hAnsi="Arial"/>
                <w:sz w:val="18"/>
                <w:szCs w:val="18"/>
                <w:i w:val="1"/>
                <w:iCs w:val="1"/>
                <w:color w:val="auto"/>
              </w:rPr>
              <w:t>:</w:t>
            </w:r>
          </w:p>
        </w:tc>
        <w:tc>
          <w:tcPr>
            <w:tcW w:w="32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Entities affiliated with Frazier Healthcare </w:t>
            </w:r>
            <w:r>
              <w:rPr>
                <w:rFonts w:ascii="Arial" w:cs="Arial" w:eastAsia="Arial" w:hAnsi="Arial"/>
                <w:sz w:val="15"/>
                <w:szCs w:val="15"/>
                <w:color w:val="auto"/>
              </w:rPr>
              <w:t>(1)</w:t>
            </w:r>
          </w:p>
        </w:tc>
        <w:tc>
          <w:tcPr>
            <w:tcW w:w="2940" w:type="dxa"/>
            <w:vAlign w:val="bottom"/>
            <w:gridSpan w:val="3"/>
          </w:tcPr>
          <w:p>
            <w:pPr>
              <w:jc w:val="right"/>
              <w:ind w:right="520"/>
              <w:spacing w:after="0"/>
              <w:rPr>
                <w:sz w:val="20"/>
                <w:szCs w:val="20"/>
                <w:color w:val="auto"/>
              </w:rPr>
            </w:pPr>
            <w:r>
              <w:rPr>
                <w:rFonts w:ascii="Arial" w:cs="Arial" w:eastAsia="Arial" w:hAnsi="Arial"/>
                <w:sz w:val="18"/>
                <w:szCs w:val="18"/>
                <w:color w:val="auto"/>
              </w:rPr>
              <w:t>23,019,148</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23.0%</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Novo A/S </w:t>
            </w:r>
            <w:r>
              <w:rPr>
                <w:rFonts w:ascii="Arial" w:cs="Arial" w:eastAsia="Arial" w:hAnsi="Arial"/>
                <w:sz w:val="15"/>
                <w:szCs w:val="15"/>
                <w:color w:val="auto"/>
              </w:rPr>
              <w:t>(2)</w:t>
            </w:r>
          </w:p>
        </w:tc>
        <w:tc>
          <w:tcPr>
            <w:tcW w:w="2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21,133,477</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21.2</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Avalon Ventures VII, L.P. </w:t>
            </w:r>
            <w:r>
              <w:rPr>
                <w:rFonts w:ascii="Arial" w:cs="Arial" w:eastAsia="Arial" w:hAnsi="Arial"/>
                <w:sz w:val="15"/>
                <w:szCs w:val="15"/>
                <w:color w:val="auto"/>
              </w:rPr>
              <w:t>(3)</w:t>
            </w:r>
          </w:p>
        </w:tc>
        <w:tc>
          <w:tcPr>
            <w:tcW w:w="2940" w:type="dxa"/>
            <w:vAlign w:val="bottom"/>
            <w:gridSpan w:val="3"/>
          </w:tcPr>
          <w:p>
            <w:pPr>
              <w:jc w:val="right"/>
              <w:ind w:right="520"/>
              <w:spacing w:after="0"/>
              <w:rPr>
                <w:sz w:val="20"/>
                <w:szCs w:val="20"/>
                <w:color w:val="auto"/>
              </w:rPr>
            </w:pPr>
            <w:r>
              <w:rPr>
                <w:rFonts w:ascii="Arial" w:cs="Arial" w:eastAsia="Arial" w:hAnsi="Arial"/>
                <w:sz w:val="18"/>
                <w:szCs w:val="18"/>
                <w:color w:val="auto"/>
              </w:rPr>
              <w:t>15,080,916</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15.1</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Alloy Ventures 2005, L.P. </w:t>
            </w:r>
            <w:r>
              <w:rPr>
                <w:rFonts w:ascii="Arial" w:cs="Arial" w:eastAsia="Arial" w:hAnsi="Arial"/>
                <w:sz w:val="15"/>
                <w:szCs w:val="15"/>
                <w:color w:val="auto"/>
              </w:rPr>
              <w:t>(4)</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8,977,414</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Entities affiliated with Biotechnology Value Fund, L.P. </w:t>
            </w:r>
            <w:r>
              <w:rPr>
                <w:rFonts w:ascii="Arial" w:cs="Arial" w:eastAsia="Arial" w:hAnsi="Arial"/>
                <w:sz w:val="15"/>
                <w:szCs w:val="15"/>
                <w:color w:val="auto"/>
              </w:rPr>
              <w:t>(5)</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7,074,203</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HBM Healthcare Investments (Cayman) Ltd. </w:t>
            </w:r>
            <w:r>
              <w:rPr>
                <w:rFonts w:ascii="Arial" w:cs="Arial" w:eastAsia="Arial" w:hAnsi="Arial"/>
                <w:sz w:val="15"/>
                <w:szCs w:val="15"/>
                <w:color w:val="auto"/>
              </w:rPr>
              <w:t>(6)</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6,599,851</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Directors and Named Executive Officers </w:t>
            </w:r>
            <w:r>
              <w:rPr>
                <w:rFonts w:ascii="Arial" w:cs="Arial" w:eastAsia="Arial" w:hAnsi="Arial"/>
                <w:sz w:val="18"/>
                <w:szCs w:val="18"/>
                <w:i w:val="1"/>
                <w:iCs w:val="1"/>
                <w:color w:val="auto"/>
              </w:rPr>
              <w:t>:</w:t>
            </w: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Hamza Suria </w:t>
            </w:r>
            <w:r>
              <w:rPr>
                <w:rFonts w:ascii="Arial" w:cs="Arial" w:eastAsia="Arial" w:hAnsi="Arial"/>
                <w:sz w:val="15"/>
                <w:szCs w:val="15"/>
                <w:color w:val="auto"/>
              </w:rPr>
              <w:t>(7)</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2,928,051</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Marco Londei, M.D. </w:t>
            </w:r>
            <w:r>
              <w:rPr>
                <w:rFonts w:ascii="Arial" w:cs="Arial" w:eastAsia="Arial" w:hAnsi="Arial"/>
                <w:sz w:val="15"/>
                <w:szCs w:val="15"/>
                <w:color w:val="auto"/>
              </w:rPr>
              <w:t>(8)</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1,140,898</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Robert E. Hoffman </w:t>
            </w:r>
            <w:r>
              <w:rPr>
                <w:rFonts w:ascii="Arial" w:cs="Arial" w:eastAsia="Arial" w:hAnsi="Arial"/>
                <w:sz w:val="15"/>
                <w:szCs w:val="15"/>
                <w:color w:val="auto"/>
              </w:rPr>
              <w:t>(9)</w:t>
            </w:r>
          </w:p>
        </w:tc>
        <w:tc>
          <w:tcPr>
            <w:tcW w:w="2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47,141</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Tiba Aynechi, Ph.D.</w:t>
            </w:r>
          </w:p>
        </w:tc>
        <w:tc>
          <w:tcPr>
            <w:tcW w:w="1540" w:type="dxa"/>
            <w:vAlign w:val="bottom"/>
          </w:tcPr>
          <w:p>
            <w:pPr>
              <w:spacing w:after="0"/>
              <w:rPr>
                <w:sz w:val="18"/>
                <w:szCs w:val="18"/>
                <w:color w:val="auto"/>
              </w:rPr>
            </w:pP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Carol G. Gallagher, Pharm.D. </w:t>
            </w:r>
            <w:r>
              <w:rPr>
                <w:rFonts w:ascii="Arial" w:cs="Arial" w:eastAsia="Arial" w:hAnsi="Arial"/>
                <w:sz w:val="15"/>
                <w:szCs w:val="15"/>
                <w:color w:val="auto"/>
              </w:rPr>
              <w:t>(10)</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1,134,132</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Nicholas B. Lydon, Ph.D., FRS </w:t>
            </w:r>
            <w:r>
              <w:rPr>
                <w:rFonts w:ascii="Arial" w:cs="Arial" w:eastAsia="Arial" w:hAnsi="Arial"/>
                <w:sz w:val="15"/>
                <w:szCs w:val="15"/>
                <w:color w:val="auto"/>
              </w:rPr>
              <w:t>(11)</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2,229,189</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Hollings Renton </w:t>
            </w:r>
            <w:r>
              <w:rPr>
                <w:rFonts w:ascii="Arial" w:cs="Arial" w:eastAsia="Arial" w:hAnsi="Arial"/>
                <w:sz w:val="15"/>
                <w:szCs w:val="15"/>
                <w:color w:val="auto"/>
              </w:rPr>
              <w:t>(12)</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358,098</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John Schmid </w:t>
            </w:r>
            <w:r>
              <w:rPr>
                <w:rFonts w:ascii="Arial" w:cs="Arial" w:eastAsia="Arial" w:hAnsi="Arial"/>
                <w:sz w:val="15"/>
                <w:szCs w:val="15"/>
                <w:color w:val="auto"/>
              </w:rPr>
              <w:t>(13)</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296,370</w:t>
            </w:r>
          </w:p>
        </w:tc>
        <w:tc>
          <w:tcPr>
            <w:tcW w:w="5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James A. Schoeneck </w:t>
            </w:r>
            <w:r>
              <w:rPr>
                <w:rFonts w:ascii="Arial" w:cs="Arial" w:eastAsia="Arial" w:hAnsi="Arial"/>
                <w:sz w:val="15"/>
                <w:szCs w:val="15"/>
                <w:color w:val="auto"/>
              </w:rPr>
              <w:t>(14)</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296,365</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James N. Topper, M.D., Ph.D. </w:t>
            </w:r>
            <w:r>
              <w:rPr>
                <w:rFonts w:ascii="Arial" w:cs="Arial" w:eastAsia="Arial" w:hAnsi="Arial"/>
                <w:sz w:val="15"/>
                <w:szCs w:val="15"/>
                <w:color w:val="auto"/>
              </w:rPr>
              <w:t>(1)</w:t>
            </w:r>
          </w:p>
        </w:tc>
        <w:tc>
          <w:tcPr>
            <w:tcW w:w="2940" w:type="dxa"/>
            <w:vAlign w:val="bottom"/>
            <w:gridSpan w:val="3"/>
          </w:tcPr>
          <w:p>
            <w:pPr>
              <w:jc w:val="right"/>
              <w:ind w:right="520"/>
              <w:spacing w:after="0"/>
              <w:rPr>
                <w:sz w:val="20"/>
                <w:szCs w:val="20"/>
                <w:color w:val="auto"/>
              </w:rPr>
            </w:pPr>
            <w:r>
              <w:rPr>
                <w:rFonts w:ascii="Arial" w:cs="Arial" w:eastAsia="Arial" w:hAnsi="Arial"/>
                <w:sz w:val="18"/>
                <w:szCs w:val="18"/>
                <w:color w:val="auto"/>
              </w:rPr>
              <w:t>23,019,148</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23.0</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 xml:space="preserve">All executive officers and directors as a group (ten persons) </w:t>
            </w:r>
            <w:r>
              <w:rPr>
                <w:rFonts w:ascii="Arial" w:cs="Arial" w:eastAsia="Arial" w:hAnsi="Arial"/>
                <w:sz w:val="15"/>
                <w:szCs w:val="15"/>
                <w:color w:val="auto"/>
                <w:w w:val="95"/>
              </w:rPr>
              <w:t>(15)</w:t>
            </w:r>
          </w:p>
        </w:tc>
        <w:tc>
          <w:tcPr>
            <w:tcW w:w="2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31,449,392</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29.7</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spacing w:after="0"/>
              <w:rPr>
                <w:sz w:val="11"/>
                <w:szCs w:val="11"/>
                <w:color w:val="auto"/>
              </w:rPr>
            </w:pPr>
          </w:p>
        </w:tc>
        <w:tc>
          <w:tcPr>
            <w:tcW w:w="4160" w:type="dxa"/>
            <w:vAlign w:val="bottom"/>
            <w:gridSpan w:val="2"/>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040" w:type="dxa"/>
            <w:vAlign w:val="bottom"/>
            <w:gridSpan w:val="4"/>
          </w:tcPr>
          <w:p>
            <w:pPr>
              <w:ind w:left="180"/>
              <w:spacing w:after="0"/>
              <w:rPr>
                <w:sz w:val="20"/>
                <w:szCs w:val="20"/>
                <w:color w:val="auto"/>
              </w:rPr>
            </w:pPr>
            <w:r>
              <w:rPr>
                <w:rFonts w:ascii="Arial" w:cs="Arial" w:eastAsia="Arial" w:hAnsi="Arial"/>
                <w:sz w:val="18"/>
                <w:szCs w:val="18"/>
                <w:color w:val="auto"/>
              </w:rPr>
              <w:t>Represents beneficial ownership of less than one percent.</w:t>
            </w:r>
          </w:p>
        </w:tc>
        <w:tc>
          <w:tcPr>
            <w:tcW w:w="1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540" w:type="dxa"/>
            <w:vAlign w:val="bottom"/>
          </w:tcPr>
          <w:p>
            <w:pPr>
              <w:jc w:val="right"/>
              <w:ind w:right="930"/>
              <w:spacing w:after="0"/>
              <w:rPr>
                <w:sz w:val="20"/>
                <w:szCs w:val="20"/>
                <w:color w:val="auto"/>
              </w:rPr>
            </w:pPr>
            <w:r>
              <w:rPr>
                <w:rFonts w:ascii="Arial" w:cs="Arial" w:eastAsia="Arial" w:hAnsi="Arial"/>
                <w:sz w:val="18"/>
                <w:szCs w:val="18"/>
                <w:color w:val="auto"/>
              </w:rPr>
              <w:t>137</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(a) 15,598,651 shares of common stock following conversion of convertible preferred stock held directly by Frazier Healthcare V, L.P.,</w:t>
      </w:r>
    </w:p>
    <w:p>
      <w:pPr>
        <w:spacing w:after="0" w:line="34" w:lineRule="exact"/>
        <w:rPr>
          <w:rFonts w:ascii="Arial" w:cs="Arial" w:eastAsia="Arial" w:hAnsi="Arial"/>
          <w:sz w:val="17"/>
          <w:szCs w:val="17"/>
          <w:color w:val="auto"/>
        </w:rPr>
      </w:pPr>
    </w:p>
    <w:p>
      <w:pPr>
        <w:ind w:left="460" w:right="140" w:hanging="6"/>
        <w:spacing w:after="0" w:line="281" w:lineRule="auto"/>
        <w:tabs>
          <w:tab w:leader="none" w:pos="71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5,136,185 shares of common stock following conversion of convertible preferred stock held directly by Frazier Healthcare VII, L.P., (c) 1,463,665 shares of common stock following conversion of convertible preferred stock held directly by Frazier Healthcare VII-A, L.P. and (d) 820,647 shares of common stock issuable upon the exercise of a warrant held directly by Frazier Healthcare V, L.P.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is a member of FHM V, LLC and FHM VII, LLC and may be deemed to have voting and investment power with respect to the shares held by FHM V, LLC and FHM VII, LLC.</w:t>
      </w:r>
    </w:p>
    <w:p>
      <w:pPr>
        <w:spacing w:after="0" w:line="4" w:lineRule="exact"/>
        <w:rPr>
          <w:rFonts w:ascii="Arial" w:cs="Arial" w:eastAsia="Arial" w:hAnsi="Arial"/>
          <w:sz w:val="16"/>
          <w:szCs w:val="16"/>
          <w:color w:val="auto"/>
        </w:rPr>
      </w:pPr>
    </w:p>
    <w:p>
      <w:pPr>
        <w:ind w:left="460" w:right="120" w:hanging="452"/>
        <w:spacing w:after="0" w:line="265" w:lineRule="auto"/>
        <w:tabs>
          <w:tab w:leader="none" w:pos="4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(a) 20,312,830 shares of common stock following conversion of convertible preferred stock held directly by Novo A/S and (b) 820,647 shares of common stock issuable upon the exercise of a warrants held directly by Novo A/S. The board of directors of Novo A/S, which is currently comprised of Sten Scheibye, Göran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Dr. Aynechi, a member of our board of directors, is employed as a Partner at Novo Ventures (US) Inc., which provides certain consultancy services to Novo A/S, and Dr. Aynechi has no beneficial ownership of or pecuniary interest in these shares. The address of Novo A/S is Tuborg Havnevej 19, 2900 Hellerup, Denmark.</w:t>
      </w:r>
    </w:p>
    <w:p>
      <w:pPr>
        <w:spacing w:after="0" w:line="1" w:lineRule="exact"/>
        <w:rPr>
          <w:rFonts w:ascii="Arial" w:cs="Arial" w:eastAsia="Arial" w:hAnsi="Arial"/>
          <w:sz w:val="17"/>
          <w:szCs w:val="17"/>
          <w:color w:val="auto"/>
        </w:rPr>
      </w:pPr>
    </w:p>
    <w:p>
      <w:pPr>
        <w:ind w:left="460" w:right="180" w:hanging="452"/>
        <w:spacing w:after="0" w:line="250"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(a) 14,258,530 shares of common stock held directly by Avalon Ventures VII, L.P. and (b) 822,386 shares of common stock issuable upon the exercise of a warrant held directly by Avalon Ventures VII, L.P. The general partner of Avalon Ventures II, L.P. is Avalon Ventures VII GP, LLC. The managing members of Avalon Ventures VII GP, LLC are Kevin J. Kinsella and Stephen L. Tomlin.</w:t>
      </w:r>
    </w:p>
    <w:p>
      <w:pPr>
        <w:spacing w:after="0" w:line="1" w:lineRule="exact"/>
        <w:rPr>
          <w:rFonts w:ascii="Arial" w:cs="Arial" w:eastAsia="Arial" w:hAnsi="Arial"/>
          <w:sz w:val="18"/>
          <w:szCs w:val="18"/>
          <w:color w:val="auto"/>
        </w:rPr>
      </w:pPr>
    </w:p>
    <w:p>
      <w:pPr>
        <w:jc w:val="both"/>
        <w:ind w:left="460" w:right="400" w:hanging="452"/>
        <w:spacing w:after="0" w:line="250"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8,977,414 shares of common stock following conversion of convertible preferred stock held directly by Alloy Ventures 2005, L.P. The general partner of Alloy Ventures 2005, L.P. is Alloy Ventures 2005, LLC. The managing members of Alloy Ventures 2005, LLC are Craig Taylor, Doug Kelly John Shoch, Dan Rubin and Tony Di Bona.</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(a) 3,449,203 shares of common stock following conversion of convertible preferred stock held directly by Biotechnology Value Fund, L.P.,</w:t>
      </w:r>
    </w:p>
    <w:p>
      <w:pPr>
        <w:spacing w:after="0" w:line="32" w:lineRule="exact"/>
        <w:rPr>
          <w:rFonts w:ascii="Arial" w:cs="Arial" w:eastAsia="Arial" w:hAnsi="Arial"/>
          <w:sz w:val="16"/>
          <w:szCs w:val="16"/>
          <w:color w:val="auto"/>
        </w:rPr>
      </w:pPr>
    </w:p>
    <w:p>
      <w:pPr>
        <w:ind w:left="700" w:hanging="246"/>
        <w:spacing w:after="0"/>
        <w:tabs>
          <w:tab w:leader="none" w:pos="70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1,974,000 shares of common stock following conversion of convertible preferred stock held directly by Biotechnology Value Fund II, L.P.,</w:t>
      </w:r>
    </w:p>
    <w:p>
      <w:pPr>
        <w:spacing w:after="0" w:line="20" w:lineRule="exact"/>
        <w:rPr>
          <w:rFonts w:ascii="Arial" w:cs="Arial" w:eastAsia="Arial" w:hAnsi="Arial"/>
          <w:sz w:val="17"/>
          <w:szCs w:val="17"/>
          <w:color w:val="auto"/>
        </w:rPr>
      </w:pPr>
    </w:p>
    <w:p>
      <w:pPr>
        <w:ind w:left="460" w:right="460" w:hanging="6"/>
        <w:spacing w:after="0" w:line="250" w:lineRule="auto"/>
        <w:tabs>
          <w:tab w:leader="none" w:pos="70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637,000 shares of common stock following conversion of convertible preferred stock held directly by Investment 10, L.L.C. and (d) 1,014,000 shares of common stock following conversion of convertible preferred stock held directly by MSI BVF SPV, L.L.C.</w:t>
      </w:r>
    </w:p>
    <w:p>
      <w:pPr>
        <w:ind w:left="460" w:right="40" w:hanging="452"/>
        <w:spacing w:after="0" w:line="265" w:lineRule="auto"/>
        <w:tabs>
          <w:tab w:leader="none" w:pos="4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Represents 6,599,851 shares of common stock following conversion of convertible preferred stock held directly by HBM Healthcare Investments (Cayman) Ltd. The board of directors of HBM Healthcare Investments (Cayman) Ltd. has sole vesting and investment power with respect to the shares. The board of directors of HBM Healthcare Investments (Cayman) Ltd. is comprised of Jean-Mar Lesieur, Richard Coles, Sophia Harris, Dr. Andrea Wicki, Paul Woodhouse and John Urquhart, none of whom has individual voting or investment power with respect to the shares.</w:t>
      </w:r>
    </w:p>
    <w:p>
      <w:pPr>
        <w:ind w:left="460" w:right="100" w:hanging="452"/>
        <w:spacing w:after="0" w:line="250"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(a) 34,996 shares of common stock following conversion of convertible preferred stock held directly by Mr. Suria and (b) 2,893,055 shares of common stock issuable to Mr. Suria upon the exercise of stock options that are exercisable within 60 days of March 31, 2016, of which 915,566 shares were unvested but were early exercisable, as of 60 days after March 31, 2016.</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(a) 14,142 shares of common stock following conversion of convertible preferred stock held directly by Dr. Londei and (b) 1,126,756 shares of common stock issuable to Dr. Londei upon the exercise of stock options that are exercisable within 60 days of March 31, 2016, of which 680,748 shares were unvested but were early exercisable, as of 60 days after March 31, 2016.</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47,141 shares of common stock following conversion of convertible preferred stock held directly by Mr. Hoffman.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(a) 450,075 shares of common stock following conversion of convertible preferred stock held directly by Dr. Gallagher and</w:t>
      </w:r>
    </w:p>
    <w:p>
      <w:pPr>
        <w:spacing w:after="0" w:line="23" w:lineRule="exact"/>
        <w:rPr>
          <w:rFonts w:ascii="Arial" w:cs="Arial" w:eastAsia="Arial" w:hAnsi="Arial"/>
          <w:sz w:val="18"/>
          <w:szCs w:val="18"/>
          <w:color w:val="auto"/>
        </w:rPr>
      </w:pPr>
    </w:p>
    <w:p>
      <w:pPr>
        <w:ind w:left="700" w:hanging="246"/>
        <w:spacing w:after="0"/>
        <w:tabs>
          <w:tab w:leader="none" w:pos="7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684,057 shares of common stock issuable to Dr. Gallagher upon the exercise of stock options that are exercisable within 60 days of March 31, 2016.</w:t>
      </w:r>
    </w:p>
    <w:p>
      <w:pPr>
        <w:spacing w:after="0" w:line="32"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(a) 471,332 shares of common stock held directly by Dr. Lydon, (b) 1,425,385 shares of common stock following conversion of convertible preferred stock held directly by Dr. Lydon, (c) 115,384 shares of common stock issuable upon the exercise of a warrant held directly by Dr. Lydon and</w:t>
      </w:r>
    </w:p>
    <w:p>
      <w:pPr>
        <w:spacing w:after="0" w:line="1" w:lineRule="exact"/>
        <w:rPr>
          <w:rFonts w:ascii="Arial" w:cs="Arial" w:eastAsia="Arial" w:hAnsi="Arial"/>
          <w:sz w:val="16"/>
          <w:szCs w:val="16"/>
          <w:color w:val="auto"/>
        </w:rPr>
      </w:pPr>
    </w:p>
    <w:p>
      <w:pPr>
        <w:ind w:left="460" w:right="40" w:hanging="6"/>
        <w:spacing w:after="0" w:line="250" w:lineRule="auto"/>
        <w:tabs>
          <w:tab w:leader="none" w:pos="71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217,088 shares of common stock issuable to Dr. Lydon upon the exercise of stock options that are exercisable within 60 days of March 31, 2016, of which 99,583 shares were unvested but were early exercisable, as of 60 days after March 31, 2016.</w:t>
      </w:r>
    </w:p>
    <w:p>
      <w:pPr>
        <w:ind w:left="460" w:right="20" w:hanging="452"/>
        <w:spacing w:after="0" w:line="250"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Represents 358,098 shares of common stock issuable to Mr. Renton upon the exercise of stock options that are exercisable within 60 days of March 31, 2016, of which 250,669 shares were unvested but were early exercisable, as of 60 days after March 31, 2016.</w:t>
      </w:r>
    </w:p>
    <w:p>
      <w:pPr>
        <w:ind w:left="460" w:hanging="452"/>
        <w:spacing w:after="0" w:line="250"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Represents 296,370 shares of common stock issuable to Mr. Schmid upon the exercise of stock options that are exercisable within 60 days of March 31, 2016, of which 225,885 shares were unvested but were early exercisable, as of 60 days after March 31, 2016.</w:t>
      </w:r>
    </w:p>
    <w:p>
      <w:pPr>
        <w:ind w:left="460" w:right="540" w:hanging="452"/>
        <w:spacing w:after="0" w:line="265"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Represents 296,365 shares of common stock issuable to Mr. Schoeneck upon the exercise of stock options that are exercisable within 60 days of March 31, 2016, of which 246,971 shares were unvested but were early exercisable, as of 60 days after March 31, 2016.</w:t>
      </w: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Includes shares beneficially owned by our current executive officers and directors. Consists of (a) 471,332 shares of common stock,</w:t>
      </w:r>
    </w:p>
    <w:p>
      <w:pPr>
        <w:spacing w:after="0" w:line="9" w:lineRule="exact"/>
        <w:rPr>
          <w:rFonts w:ascii="Arial" w:cs="Arial" w:eastAsia="Arial" w:hAnsi="Arial"/>
          <w:sz w:val="18"/>
          <w:szCs w:val="18"/>
          <w:color w:val="auto"/>
        </w:rPr>
      </w:pPr>
    </w:p>
    <w:p>
      <w:pPr>
        <w:ind w:left="460" w:right="20" w:hanging="6"/>
        <w:spacing w:after="0" w:line="254" w:lineRule="auto"/>
        <w:tabs>
          <w:tab w:leader="none" w:pos="71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24,170,240 shares of common stock following conversion of convertible preferred stock, (c) 936,031 shares of common stock issuable upon the exercise of warrants and (d) 5,871,789 shares of common stock issuable upon the exercise of stock options that are exercisable within 60 days of March 31, 2016, of which 2,419,422 shares were unvested but early exercisable, as of 60 days after March 31, 2016. Dr. Moyle will commence serving as our Chief Scientific Officer in May 2016 and is not included in the table.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Upon the closing of this offering, our authorized capital stock will consist of 500,000,000 shares of common stock, $0.001 par value per share, and 10,000,000 shares of undesignated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provisions of our certificate of incorporation all of the outstanding convertible preferred stock will automatically convert into common stock in connection with the closing of this offering. Assuming the effectiveness of this conversion as of March 31, 2016, there were 99,092,287 shares of our common stock issued, held by approximately 75 stockholders of record, and no shares of our preferred stock outstanding. Our board of directors is authorized, without stockholder approval, to issue additional shares of our capital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that will be in effect upon the closing of this offering, holders of a majority of the shares of our common stock will be able to elect all of our directors.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provisions of our certificate of incorporation, all of our outstanding convertible preferred stock will automatically convert into common stock, with such conversion to be effective in connection with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closing of this offering. As a result, each currently outstanding share of convertible preferred stock will be converted into common stock. All series of convertible preferred stock will convert at a ratio of one share of common stock for each share of convertible preferred stock.</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2016, we had outstanding the following warrants to purchase shares of our capital stock:</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460" w:type="dxa"/>
            <w:vAlign w:val="bottom"/>
          </w:tcPr>
          <w:p>
            <w:pPr>
              <w:spacing w:after="0"/>
              <w:rPr>
                <w:sz w:val="14"/>
                <w:szCs w:val="14"/>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6"/>
              </w:rPr>
              <w:t>Exercise</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Capital Stock</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Per</w:t>
            </w: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Expiration Dates</w:t>
            </w:r>
          </w:p>
        </w:tc>
        <w:tc>
          <w:tcPr>
            <w:tcW w:w="0" w:type="dxa"/>
            <w:vAlign w:val="bottom"/>
          </w:tcPr>
          <w:p>
            <w:pPr>
              <w:spacing w:after="0"/>
              <w:rPr>
                <w:sz w:val="1"/>
                <w:szCs w:val="1"/>
                <w:color w:val="auto"/>
              </w:rPr>
            </w:pPr>
          </w:p>
        </w:tc>
      </w:tr>
      <w:tr>
        <w:trPr>
          <w:trHeight w:val="171"/>
        </w:trPr>
        <w:tc>
          <w:tcPr>
            <w:tcW w:w="594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460" w:type="dxa"/>
            <w:vAlign w:val="bottom"/>
          </w:tcPr>
          <w:p>
            <w:pPr>
              <w:spacing w:after="0"/>
              <w:rPr>
                <w:sz w:val="14"/>
                <w:szCs w:val="14"/>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4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822,386</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November 2018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880" w:type="dxa"/>
            <w:vAlign w:val="bottom"/>
          </w:tcPr>
          <w:p>
            <w:pPr>
              <w:jc w:val="right"/>
              <w:spacing w:after="0"/>
              <w:rPr>
                <w:sz w:val="20"/>
                <w:szCs w:val="20"/>
                <w:color w:val="auto"/>
              </w:rPr>
            </w:pPr>
            <w:r>
              <w:rPr>
                <w:rFonts w:ascii="Arial" w:cs="Arial" w:eastAsia="Arial" w:hAnsi="Arial"/>
                <w:sz w:val="18"/>
                <w:szCs w:val="18"/>
                <w:color w:val="auto"/>
              </w:rPr>
              <w:t>1,775,022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0.65</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6"/>
              </w:rPr>
              <w:t>November 2018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288,462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0.65</w:t>
            </w: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December 2024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As of March 31, 2016, we had outstanding options to purchase an aggregate 14,107,284 shares of our common stock, with a weighted-average exercise price of $0.57. Additional options to purchase 214,000 shares of our common stock, with an exercise price of $0.85 were granted after March 31,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the terms of our Amended and Restated Investor Rights Agreement, immediately following this offering, the holders of 83,530,921 shares of our common stock will be entitled to rights with respect to the registration of these shares under the Securities Act, as described below. We refer to these shares collectively as registrable securities.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Beginning 180 days after the closing of this offering, the holders of at least a majority of the then-outstanding registrable securities may make a written request to us for the registration of any of the registrable securities under the Securities Act. Within 30 days of such request, we are obligated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60"/>
          </w:cols>
          <w:pgMar w:left="240" w:top="459" w:right="2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holder of then-outstanding registrable securities can request that we register all or part of their shares on Form 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connection with this offering, holders of registrable securities were entitled to, and the necessary percentage of holders waived, their rights to notice of this offering and to include their registrable securities in this offering. If we register any of our securities for public sale in another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 of Registration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generally will pay all expenses, other than underwriting discounts and commissions.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earlier of the fifth anniversary of the closing of this offering, a merger, consolidation, sale or disposition of our company or a sale by a holder of equity securities representing at least a majority of the voting power of our company, or when that holder can sell all of its registrable securities in a three-month period without restriction under Rule 144 of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provisions of Delaware law, our restated certificate of incorporation and our restated bylaws, as we expect they will be in effect upon the closing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87" w:lineRule="exact"/>
        <w:rPr>
          <w:sz w:val="20"/>
          <w:szCs w:val="20"/>
          <w:color w:val="auto"/>
        </w:rPr>
      </w:pPr>
    </w:p>
    <w:p>
      <w:pPr>
        <w:ind w:left="900" w:right="26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right="300" w:hanging="446"/>
        <w:spacing w:after="0" w:line="291"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w:t>
      </w:r>
    </w:p>
    <w:p>
      <w:pPr>
        <w:ind w:left="900"/>
        <w:spacing w:after="0" w:line="323" w:lineRule="auto"/>
        <w:rPr>
          <w:rFonts w:ascii="Arial" w:cs="Arial" w:eastAsia="Arial" w:hAnsi="Arial"/>
          <w:sz w:val="16"/>
          <w:szCs w:val="16"/>
          <w:color w:val="auto"/>
        </w:rPr>
      </w:pPr>
      <w:r>
        <w:rPr>
          <w:rFonts w:ascii="Arial" w:cs="Arial" w:eastAsia="Arial" w:hAnsi="Arial"/>
          <w:sz w:val="16"/>
          <w:szCs w:val="16"/>
          <w:color w:val="auto"/>
        </w:rPr>
        <w:t>(1)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44" w:lineRule="exact"/>
        <w:rPr>
          <w:rFonts w:ascii="Arial" w:cs="Arial" w:eastAsia="Arial" w:hAnsi="Arial"/>
          <w:sz w:val="16"/>
          <w:szCs w:val="16"/>
          <w:color w:val="auto"/>
        </w:rPr>
      </w:pPr>
    </w:p>
    <w:p>
      <w:pPr>
        <w:jc w:val="both"/>
        <w:ind w:left="900" w:right="140" w:hanging="446"/>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11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Our restated certificate of incorporation and our restated bylaws, as we expect they will be in effect upon the closing of this offering, include a number of provisions that could deter hostile takeovers or delay or prevent changes in control of our company, including the following:</w:t>
      </w:r>
    </w:p>
    <w:p>
      <w:pPr>
        <w:spacing w:after="0" w:line="52" w:lineRule="exact"/>
        <w:rPr>
          <w:sz w:val="20"/>
          <w:szCs w:val="20"/>
          <w:color w:val="auto"/>
        </w:rPr>
      </w:pPr>
    </w:p>
    <w:p>
      <w:pPr>
        <w:ind w:left="900" w:hanging="446"/>
        <w:spacing w:after="0" w:line="276"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will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7" w:lineRule="exact"/>
        <w:rPr>
          <w:rFonts w:ascii="Arial" w:cs="Arial" w:eastAsia="Arial" w:hAnsi="Arial"/>
          <w:sz w:val="17"/>
          <w:szCs w:val="17"/>
          <w:color w:val="auto"/>
        </w:rPr>
      </w:pPr>
    </w:p>
    <w:p>
      <w:pPr>
        <w:ind w:left="900" w:right="200" w:hanging="446"/>
        <w:spacing w:after="0" w:line="259"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restated certificate of incorporation and restated bylaws will provide that our board is classified into three classes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“Management—Board Composition.”</w:t>
      </w:r>
    </w:p>
    <w:p>
      <w:pPr>
        <w:spacing w:after="0" w:line="92" w:lineRule="exact"/>
        <w:rPr>
          <w:rFonts w:ascii="Arial" w:cs="Arial" w:eastAsia="Arial" w:hAnsi="Arial"/>
          <w:sz w:val="18"/>
          <w:szCs w:val="18"/>
          <w:color w:val="auto"/>
        </w:rPr>
      </w:pPr>
    </w:p>
    <w:p>
      <w:pPr>
        <w:ind w:left="900" w:right="100" w:hanging="446"/>
        <w:spacing w:after="0" w:line="286"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Action; Special Meetings of Stockholders. </w:t>
      </w:r>
      <w:r>
        <w:rPr>
          <w:rFonts w:ascii="Arial" w:cs="Arial" w:eastAsia="Arial" w:hAnsi="Arial"/>
          <w:sz w:val="17"/>
          <w:szCs w:val="17"/>
          <w:color w:val="auto"/>
        </w:rPr>
        <w:t>Our restated certificate of incorporation will provide that our stockholders may not take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by written consent, but may only take action at annual or special meetings of our stockholders. As a result, a holder controlling a majority of our capital stock would not be able to amend our restated bylaws or remove directors without holding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302" w:lineRule="auto"/>
        <w:rPr>
          <w:sz w:val="20"/>
          <w:szCs w:val="20"/>
          <w:color w:val="auto"/>
        </w:rPr>
      </w:pPr>
      <w:r>
        <w:rPr>
          <w:rFonts w:ascii="Arial" w:cs="Arial" w:eastAsia="Arial" w:hAnsi="Arial"/>
          <w:sz w:val="16"/>
          <w:szCs w:val="16"/>
          <w:color w:val="auto"/>
        </w:rPr>
        <w:t>meeting of our stockholders called in accordance with our restated bylaws. Further, our restated bylaws will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60" w:lineRule="exact"/>
        <w:rPr>
          <w:sz w:val="20"/>
          <w:szCs w:val="20"/>
          <w:color w:val="auto"/>
        </w:rPr>
      </w:pPr>
    </w:p>
    <w:p>
      <w:pPr>
        <w:ind w:left="900" w:right="60" w:hanging="446"/>
        <w:spacing w:after="0" w:line="255"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will provide advance notice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94" w:lineRule="exact"/>
        <w:rPr>
          <w:rFonts w:ascii="Arial" w:cs="Arial" w:eastAsia="Arial" w:hAnsi="Arial"/>
          <w:sz w:val="18"/>
          <w:szCs w:val="18"/>
          <w:color w:val="auto"/>
        </w:rPr>
      </w:pPr>
    </w:p>
    <w:p>
      <w:pPr>
        <w:jc w:val="both"/>
        <w:ind w:left="900" w:right="200" w:hanging="446"/>
        <w:spacing w:after="0" w:line="264"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restated certificate of incorporation and restated bylaws will not provide for cumulative voting.</w:t>
      </w:r>
    </w:p>
    <w:p>
      <w:pPr>
        <w:spacing w:after="0" w:line="86"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will provide that stockholders may remove directors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and only by the affirmative vote of the holders of at least two-thirds of our outstanding common stock.</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expected provisions in our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two-thirds of our outstanding common stock.</w:t>
      </w:r>
    </w:p>
    <w:p>
      <w:pPr>
        <w:spacing w:after="0" w:line="75" w:lineRule="exact"/>
        <w:rPr>
          <w:rFonts w:ascii="Arial" w:cs="Arial" w:eastAsia="Arial" w:hAnsi="Arial"/>
          <w:sz w:val="18"/>
          <w:szCs w:val="18"/>
          <w:color w:val="auto"/>
        </w:rPr>
      </w:pPr>
    </w:p>
    <w:p>
      <w:pPr>
        <w:ind w:left="900" w:right="20" w:hanging="446"/>
        <w:spacing w:after="0" w:line="279"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i w:val="1"/>
          <w:iCs w:val="1"/>
          <w:color w:val="auto"/>
        </w:rPr>
        <w:t xml:space="preserve"> </w:t>
      </w:r>
      <w:r>
        <w:rPr>
          <w:rFonts w:ascii="Arial" w:cs="Arial" w:eastAsia="Arial" w:hAnsi="Arial"/>
          <w:sz w:val="17"/>
          <w:szCs w:val="17"/>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76" w:lineRule="exact"/>
        <w:rPr>
          <w:rFonts w:ascii="Arial" w:cs="Arial" w:eastAsia="Arial" w:hAnsi="Arial"/>
          <w:sz w:val="17"/>
          <w:szCs w:val="17"/>
          <w:color w:val="auto"/>
        </w:rPr>
      </w:pPr>
    </w:p>
    <w:p>
      <w:pPr>
        <w:ind w:left="900" w:right="80" w:hanging="446"/>
        <w:spacing w:after="0" w:line="259"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will provide that the Court of Chancery of the State of Delaware will be the exclusive</w:t>
      </w:r>
      <w:r>
        <w:rPr>
          <w:rFonts w:ascii="Arial" w:cs="Arial" w:eastAsia="Arial" w:hAnsi="Arial"/>
          <w:sz w:val="18"/>
          <w:szCs w:val="18"/>
          <w:i w:val="1"/>
          <w:iCs w:val="1"/>
          <w:color w:val="auto"/>
        </w:rPr>
        <w:t xml:space="preserve"> </w:t>
      </w:r>
      <w:r>
        <w:rPr>
          <w:rFonts w:ascii="Arial" w:cs="Arial" w:eastAsia="Arial" w:hAnsi="Arial"/>
          <w:sz w:val="18"/>
          <w:szCs w:val="18"/>
          <w:color w:val="auto"/>
        </w:rPr>
        <w:t>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Upon the closing of this offering, the transfer agent and registrar for our common stock will be American Stock Transfer and Trust Company, LLC. The transfer agent’s address is 6201 15th Avenue, Brooklyn, New York 11219, and its telephone number is (800) 937-5449.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“ANAB.”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and warrants, in the public market following this offering could adversely affect market prices prevailing from time to time and could impair our ability to raise capital through the sale of our equity securities.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the closing of this offering, we will have a total of shares of our common stock outstanding, based on the 99,092,287 shares of our capital stock outstanding as of March 31, 2016, assuming the automatic conversion of all outstanding shares of our convertible preferred stock into 80,645,051 shares</w:t>
      </w:r>
    </w:p>
    <w:p>
      <w:pPr>
        <w:ind w:right="80"/>
        <w:spacing w:after="0" w:line="255" w:lineRule="auto"/>
        <w:rPr>
          <w:sz w:val="20"/>
          <w:szCs w:val="20"/>
          <w:color w:val="auto"/>
        </w:rPr>
      </w:pPr>
      <w:r>
        <w:rPr>
          <w:rFonts w:ascii="Arial" w:cs="Arial" w:eastAsia="Arial" w:hAnsi="Arial"/>
          <w:sz w:val="18"/>
          <w:szCs w:val="18"/>
          <w:color w:val="auto"/>
        </w:rPr>
        <w:t>of common stock as of immediately prior to the closing of this offering. Of these outstanding shares, all of the shares of common stock sold in this offering will be freely tradable, except that any shares purchased in this offering by our affiliates, as that term is defined in Rule 144 under the Securities Act, could only be sold in compliance with Rule 144.</w:t>
      </w:r>
    </w:p>
    <w:p>
      <w:pPr>
        <w:spacing w:after="0" w:line="19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entered into market standoff agreements with us or lock-up agreements with the underwriters under which they have agreed, subject to specific exceptions, not to sell any of our stock for at least 180 days following the date of this prospectus, as described below. As a result of these agreements and the provisions of our amended and restated investors’ rights agreement described above under “Description of Capital Stock—Registration Rights,” subject to the provisions of Rule 144 or Rule</w:t>
      </w:r>
    </w:p>
    <w:p>
      <w:pPr>
        <w:spacing w:after="0" w:line="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8"/>
          <w:szCs w:val="18"/>
          <w:color w:val="auto"/>
        </w:rPr>
        <w:t>shares will be available for sale in the public market as follows:</w:t>
      </w:r>
    </w:p>
    <w:p>
      <w:pPr>
        <w:spacing w:after="0" w:line="238"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Beginning on the date of this prospectus, all of the shares sold in this offering will be immediately available for sale in the public market; and</w:t>
      </w:r>
    </w:p>
    <w:p>
      <w:pPr>
        <w:sectPr>
          <w:pgSz w:w="11900" w:h="16838" w:orient="portrait"/>
          <w:cols w:equalWidth="0" w:num="1">
            <w:col w:w="11420"/>
          </w:cols>
          <w:pgMar w:left="240" w:top="459" w:right="239" w:bottom="1440" w:gutter="0" w:footer="0" w:header="0"/>
        </w:sect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1160"/>
        <w:spacing w:after="0" w:line="308" w:lineRule="auto"/>
        <w:rPr>
          <w:sz w:val="20"/>
          <w:szCs w:val="20"/>
          <w:color w:val="auto"/>
        </w:rPr>
      </w:pPr>
      <w:r>
        <w:rPr>
          <w:rFonts w:ascii="Arial" w:cs="Arial" w:eastAsia="Arial" w:hAnsi="Arial"/>
          <w:sz w:val="17"/>
          <w:szCs w:val="17"/>
          <w:color w:val="auto"/>
        </w:rPr>
        <w:t>Beginning 181 days after the date of this prospectus, additional shares will become eligible for sale in the public market, of which shares will be held by affiliates and subject to the volume and other restrictions of Rule 144, as described below.</w:t>
      </w:r>
    </w:p>
    <w:p>
      <w:pPr>
        <w:spacing w:after="0" w:line="200" w:lineRule="exact"/>
        <w:rPr>
          <w:sz w:val="20"/>
          <w:szCs w:val="20"/>
          <w:color w:val="auto"/>
        </w:rPr>
      </w:pPr>
    </w:p>
    <w:p>
      <w:pPr>
        <w:sectPr>
          <w:pgSz w:w="11900" w:h="16838" w:orient="portrait"/>
          <w:cols w:equalWidth="0" w:num="2">
            <w:col w:w="520" w:space="380"/>
            <w:col w:w="10520"/>
          </w:cols>
          <w:pgMar w:left="240" w:top="459" w:right="23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Lock-Up/Market Standoff Agreements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All of our directors and officers and substantially all of our security holders are subject to lock-up agreements or market standoff provisions that prohibit them from offering for sale, selling, contracting to sell, granting any option for the sale of, transferring or otherwise disposing of any shares of our common stock, options or warrants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Credit Suisse Securities (USA) LLC and Stifel, Nicolaus &amp; Company, Incorporated. See “Underwriting.”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ectPr>
          <w:pgSz w:w="11900" w:h="16838" w:orient="portrait"/>
          <w:cols w:equalWidth="0" w:num="1">
            <w:col w:w="11400"/>
          </w:cols>
          <w:pgMar w:left="240" w:top="459" w:right="259" w:bottom="1440" w:gutter="0" w:footer="0" w:header="0"/>
        </w:sectPr>
      </w:pPr>
    </w:p>
    <w:p>
      <w:pPr>
        <w:spacing w:after="0" w:line="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shares or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immediately after this offering;</w:t>
      </w:r>
    </w:p>
    <w:p>
      <w:pPr>
        <w:spacing w:after="0" w:line="369" w:lineRule="exact"/>
        <w:rPr>
          <w:sz w:val="20"/>
          <w:szCs w:val="20"/>
          <w:color w:val="auto"/>
        </w:rPr>
      </w:pPr>
    </w:p>
    <w:p>
      <w:pPr>
        <w:sectPr>
          <w:pgSz w:w="11900" w:h="16838" w:orient="portrait"/>
          <w:cols w:equalWidth="0" w:num="3">
            <w:col w:w="520" w:space="380"/>
            <w:col w:w="7680" w:space="540"/>
            <w:col w:w="2280"/>
          </w:cols>
          <w:pgMar w:left="240" w:top="459" w:right="259" w:bottom="1440" w:gutter="0" w:footer="0" w:header="0"/>
          <w:type w:val="continuous"/>
        </w:sectPr>
      </w:pPr>
    </w:p>
    <w:p>
      <w:pPr>
        <w:ind w:left="900" w:right="52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soon as practicable after the closing of this offering, we intend to file one or more registration statements on Form S-8 under the Securities Act covering all of the shares of our common stock subject to outstanding options and the shares of our common stock reserved for issuance under our stock plans.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 Of the 14,107,284 shares of our common stock that were subject to stock options outstanding as of March 31, 2016, options to purchase 5,636,412 shares of common stock were vested as of March 31, 2016. Shares of our common stock underlying outstanding options will not be eligible for sale until expiration of the 180 day lock-up and market standoff agreements to which they are subject. See the section titled “Executive Compensation—Employee Benefit and Stock Plans” for a description of our equity incentive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“Description of Capital Stock— Registration Rights.”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section summarizes the material U.S. federal income tax considerations relating to the acquisition, ownership and disposition of our common stock by “non-U.S. holders” (as defined below) pursuant to this offering.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87"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partnerships or entities or arrangements treated as partnerships or other pass-through entities for U.S. federal tax purposes (or investors in such entities);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tax-exempt organizations or tax-qualified retirement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900" w:right="80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summary, a “non-U.S. holder” is any holder of our common stock, other than a partnership, that is not:</w:t>
      </w:r>
    </w:p>
    <w:p>
      <w:pPr>
        <w:spacing w:after="0" w:line="131"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w:t>
      </w:r>
    </w:p>
    <w:p>
      <w:pPr>
        <w:spacing w:after="0" w:line="75"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estate whose income is subject to U.S. income tax regardless of source.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corporate non-U.S. holders that are effectively connected with a U.S. trade or business of the corporate non-U.S. holder may also be subject to a branch profits tax at a rate of 30% or such lower rate as may be specified by an applicable tax treaty.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discussions below regarding Backup Withholding and Information Reporting and the Foreign Account Tax Compliance Act,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will generally not be subject to U.S. federal income tax on any gains realized on the sale, exchange or other disposition of our common stock unless:</w:t>
      </w:r>
    </w:p>
    <w:p>
      <w:pPr>
        <w:spacing w:after="0" w:line="139" w:lineRule="exact"/>
        <w:rPr>
          <w:sz w:val="20"/>
          <w:szCs w:val="20"/>
          <w:color w:val="auto"/>
        </w:rPr>
      </w:pPr>
    </w:p>
    <w:p>
      <w:pPr>
        <w:ind w:left="900" w:right="480" w:hanging="446"/>
        <w:spacing w:after="0" w:line="286" w:lineRule="auto"/>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70" w:lineRule="exact"/>
        <w:rPr>
          <w:rFonts w:ascii="Arial" w:cs="Arial" w:eastAsia="Arial" w:hAnsi="Arial"/>
          <w:sz w:val="17"/>
          <w:szCs w:val="17"/>
          <w:color w:val="auto"/>
        </w:rPr>
      </w:pPr>
    </w:p>
    <w:p>
      <w:pPr>
        <w:ind w:left="900" w:right="280" w:hanging="446"/>
        <w:spacing w:after="0" w:line="259"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rules of the Foreign Investment in Real Property Tax Act, or FIRPTA, treat the gain as effectively connected with a U.S. trade or business.</w:t>
      </w:r>
    </w:p>
    <w:p>
      <w:pPr>
        <w:spacing w:after="0" w:line="24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as long as our common stock is regularly traded on an established securities market, such common stock will be treated as U.S. real property interests only if beneficially owned by a non-U.S. holder that actually or constructively owned more than 5% of our outstanding common stock at some time within the five-year period preceding the disposition.</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 tax treaty between the United States and the non-U.S. holder’s country of residence might provide for a lower rate.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28%. The backup withholding rules do not apply to payments to corporations, whether domestic or foreign, provided they establish such exemption.</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95"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U.S. person (including a foreign branch or office of such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from certain periods is effectively connected with a U.S. trade or business; or</w:t>
      </w:r>
    </w:p>
    <w:p>
      <w:pPr>
        <w:spacing w:after="0" w:line="130" w:lineRule="exact"/>
        <w:rPr>
          <w:rFonts w:ascii="Arial" w:cs="Arial" w:eastAsia="Arial" w:hAnsi="Arial"/>
          <w:sz w:val="18"/>
          <w:szCs w:val="18"/>
          <w:color w:val="auto"/>
        </w:rPr>
      </w:pPr>
    </w:p>
    <w:p>
      <w:pPr>
        <w:ind w:left="900" w:right="100" w:hanging="446"/>
        <w:spacing w:after="0" w:line="308"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w:t>
      </w:r>
    </w:p>
    <w:p>
      <w:pPr>
        <w:spacing w:after="0" w:line="183"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withholding provisions described above generally apply to proceeds from a sale or other disposition of common stock if such sale or other disposition occurs on or after January 1, 2017 and to payments of dividends on our common stock.</w:t>
      </w:r>
    </w:p>
    <w:p>
      <w:pPr>
        <w:spacing w:after="0" w:line="17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PRECEDING DISCUSSION OF U.S. FEDERAL TAX CONSIDERATIONS IS FOR GENERAL INFORMATION ONLY. IT IS NOT TAX ADVICE. 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7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92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3700" w:type="dxa"/>
            <w:vAlign w:val="bottom"/>
          </w:tcPr>
          <w:p>
            <w:pPr>
              <w:spacing w:after="0"/>
              <w:rPr>
                <w:sz w:val="24"/>
                <w:szCs w:val="24"/>
                <w:color w:val="auto"/>
              </w:rPr>
            </w:pPr>
          </w:p>
        </w:tc>
      </w:tr>
      <w:tr>
        <w:trPr>
          <w:trHeight w:val="432"/>
        </w:trPr>
        <w:tc>
          <w:tcPr>
            <w:tcW w:w="7280" w:type="dxa"/>
            <w:vAlign w:val="bottom"/>
            <w:gridSpan w:val="2"/>
          </w:tcPr>
          <w:p>
            <w:pPr>
              <w:ind w:left="460"/>
              <w:spacing w:after="0"/>
              <w:rPr>
                <w:sz w:val="20"/>
                <w:szCs w:val="20"/>
                <w:color w:val="auto"/>
              </w:rPr>
            </w:pPr>
            <w:r>
              <w:rPr>
                <w:rFonts w:ascii="Arial" w:cs="Arial" w:eastAsia="Arial" w:hAnsi="Arial"/>
                <w:sz w:val="18"/>
                <w:szCs w:val="18"/>
                <w:color w:val="auto"/>
                <w:w w:val="93"/>
              </w:rPr>
              <w:t>We and the underwriters named below have entered into an underwriting agreement, dated</w:t>
            </w:r>
          </w:p>
        </w:tc>
        <w:tc>
          <w:tcPr>
            <w:tcW w:w="3700" w:type="dxa"/>
            <w:vAlign w:val="bottom"/>
          </w:tcPr>
          <w:p>
            <w:pPr>
              <w:ind w:left="280"/>
              <w:spacing w:after="0"/>
              <w:rPr>
                <w:sz w:val="20"/>
                <w:szCs w:val="20"/>
                <w:color w:val="auto"/>
              </w:rPr>
            </w:pPr>
            <w:r>
              <w:rPr>
                <w:rFonts w:ascii="Arial" w:cs="Arial" w:eastAsia="Arial" w:hAnsi="Arial"/>
                <w:sz w:val="18"/>
                <w:szCs w:val="18"/>
                <w:color w:val="auto"/>
                <w:w w:val="89"/>
              </w:rPr>
              <w:t>, 2016, with respect to the shares being offered.</w:t>
            </w:r>
          </w:p>
        </w:tc>
      </w:tr>
    </w:tbl>
    <w:p>
      <w:pPr>
        <w:ind w:right="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certain conditions, each underwriter has severally agreed to purchase the number of shares indicated in the following table. Credit Suisse Securities (USA) LLC and Stifel, Nicolaus &amp; Company, Incorporated, are the representatives of the underwriters.</w:t>
      </w:r>
    </w:p>
    <w:p>
      <w:pPr>
        <w:spacing w:after="0" w:line="202"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Underwriters</w:t>
            </w:r>
          </w:p>
        </w:tc>
        <w:tc>
          <w:tcPr>
            <w:tcW w:w="2920" w:type="dxa"/>
            <w:vAlign w:val="bottom"/>
            <w:gridSpan w:val="2"/>
          </w:tcPr>
          <w:p>
            <w:pPr>
              <w:ind w:left="1800"/>
              <w:spacing w:after="0"/>
              <w:rPr>
                <w:sz w:val="20"/>
                <w:szCs w:val="20"/>
                <w:color w:val="auto"/>
              </w:rPr>
            </w:pPr>
            <w:r>
              <w:rPr>
                <w:rFonts w:ascii="Arial" w:cs="Arial" w:eastAsia="Arial" w:hAnsi="Arial"/>
                <w:sz w:val="14"/>
                <w:szCs w:val="14"/>
                <w:b w:val="1"/>
                <w:bCs w:val="1"/>
                <w:color w:val="auto"/>
                <w:w w:val="91"/>
              </w:rPr>
              <w:t>Number of Shares</w:t>
            </w: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Credit Suisse Securities (USA) LLC</w:t>
            </w:r>
          </w:p>
        </w:tc>
        <w:tc>
          <w:tcPr>
            <w:tcW w:w="18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18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that option is exercised. If an underwriter fails or refuses to purchase any of its committed shares, the purchase commitments of the non-defaulting underwriters may be increased or the offering may be terminated.</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this option for 30 days. If any shares are purchased pursuant to this option, the underwriters will severally purchase shares in approximately the same proportion as set forth in the table above, and the underwriters will offer the additional shares on the same terms as those on which the shares are being offered.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of our common stock directly to the public at the initial public offering price set forth on the cover of this</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prospectus and to certain dealers at such offering price less a concession not in excess of $ per share. After the initial public offering of the shares, the offering price and the selling concession may be changed by the underwriters.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by us to the underwriters assuming both no exercise and full exercise of the underwriters’ option to purchase additional shares.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3420" w:type="dxa"/>
            <w:vAlign w:val="bottom"/>
            <w:gridSpan w:val="2"/>
          </w:tcPr>
          <w:p>
            <w:pPr>
              <w:jc w:val="right"/>
              <w:spacing w:after="0"/>
              <w:rPr>
                <w:sz w:val="20"/>
                <w:szCs w:val="20"/>
                <w:color w:val="auto"/>
              </w:rPr>
            </w:pPr>
            <w:r>
              <w:rPr>
                <w:rFonts w:ascii="Arial" w:cs="Arial" w:eastAsia="Arial" w:hAnsi="Arial"/>
                <w:sz w:val="14"/>
                <w:szCs w:val="14"/>
                <w:b w:val="1"/>
                <w:bCs w:val="1"/>
                <w:color w:val="auto"/>
              </w:rPr>
              <w:t>No Exercise</w:t>
            </w:r>
          </w:p>
        </w:tc>
        <w:tc>
          <w:tcPr>
            <w:tcW w:w="1860" w:type="dxa"/>
            <w:vAlign w:val="bottom"/>
            <w:gridSpan w:val="3"/>
          </w:tcPr>
          <w:p>
            <w:pPr>
              <w:ind w:left="940"/>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7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w:t>
      </w:r>
    </w:p>
    <w:p>
      <w:pPr>
        <w:spacing w:after="0" w:line="46"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excluding underwriting discounts and commissions, will be approximately $ , all of which will be paid by us. We have agreed to reimburse the underwriters for certain of their expenses incurred in connection with the clearance of this offering with the Financial Industry Regulatory Authority, Inc., in an amount up to $35,000. If after the initial closing of this offering, but before the underwriters have exercised their option to purchase additional shares, we terminate the underwriting agreement, or if we are unable to perform on our obligations under the underwriting agreement and the underwriters terminate the agreement, we have agreed to reimburse the underwriters for certain expenses incurred in connection with this offering in an amount up to $50,000.</w:t>
      </w:r>
    </w:p>
    <w:p>
      <w:pPr>
        <w:spacing w:after="0" w:line="16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and our officers and directors and the holders of substantially all of our capital stock and options have agreed with the underwriters that, for a period of 180 days after the date of this prospectus, subject to certain exceptions, we and they will not (1) offer, sell, pledge, contract to sell, sell any option or contract to purchase,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46"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 exchangeable for our common stock or warrants or other rights to acquire shares of our common stock of which such officer, director or holder is now, or may in the future become, the beneficial owner (within the meaning of Rule 13d-3 under the Exchange Act), or (2) enter into any 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Credit Suisse Securities (USA) LLC and Stifel, Nicolaus &amp; Company, Incorporated; provided that Credit Suisse Securities (USA) LLC and Stifel, Nicolaus &amp; Company, Incorporated, on behalf of the underwriters, have agreed to notify us at least three business days before the effective date of any release or waiver granted to one of our officers or directors, and we have agreed to announce the impending release or waiver by issuing a press release through a major news service at least two business days before the effective date of the release or waiver.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above do not apply to the following, subject to certain limitations set forth in the lock-up agreements:</w:t>
      </w:r>
    </w:p>
    <w:p>
      <w:pPr>
        <w:spacing w:after="0" w:line="131"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of securities as a bona fide gift;</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or dispositions of securities to any trust for the direct or indirect benefit of the lock-up signatory or any member of the immediate family of the lock-up signatory;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of securities to affiliates;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of securities by will, other testamentary document or intestate succession to the legal representative, heir, beneficiary or a member of the immediate family of the lock-up signatory;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entry into any trading plan established pursuant to Rule 10b5-1 under the Exchange Act;</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exercise of options, warrants or other rights to acquire shares of common stock in accordance with their terms pursuant to an employee benefit plan, option, warrant or other right;</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pursuant to a court order or settlement agreement related to the distribution of assets in connection with the dissolution of a marriage or civil union;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by certain stockholders of shares purchased in this offering;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conversion of outstanding shares of preferred stock into shares of common stock; or</w:t>
      </w:r>
    </w:p>
    <w:p>
      <w:pPr>
        <w:spacing w:after="0" w:line="130" w:lineRule="exact"/>
        <w:rPr>
          <w:rFonts w:ascii="Arial" w:cs="Arial" w:eastAsia="Arial" w:hAnsi="Arial"/>
          <w:sz w:val="18"/>
          <w:szCs w:val="18"/>
          <w:color w:val="auto"/>
        </w:rPr>
      </w:pPr>
    </w:p>
    <w:p>
      <w:pPr>
        <w:ind w:left="900" w:right="420" w:hanging="446"/>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“Shares Eligible for Future Sale” for a discussion of certain transfer restrictions.</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Prior to the offering, there has been no public market for our common stock. The initial public offering price will be negotiated among us and the representatives. Among the factors to be considered in determining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Our common stock has been approved for listing on the Nasdaq Global Select Market under the symbol “ANAB.” 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88"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 counter market or otherwise.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this offering, the underwriters may engage in passive market making transactions in the common stock on the Nasdaq Global Select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and to contribute to payments that the underwriters may be required to make for these liabilities.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60"/>
          </w:cols>
          <w:pgMar w:left="240" w:top="459" w:right="2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our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 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the securities offered by this prospectus may be made to the public in that Relevant Member State other than:</w:t>
      </w:r>
    </w:p>
    <w:p>
      <w:pPr>
        <w:spacing w:after="0" w:line="76"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86"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us or the representatives to publish a prospectus pursuant to Article 3 of the Prospectus Directive or supplement a prospectus pursuant to Article 16 of the Prospectus Directive.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40"/>
          </w:cols>
          <w:pgMar w:left="240" w:top="460" w:right="3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Each person in a Relevant Member State who initially acquires any of the securities or to whom any offer is made will be deemed to have represented, acknowledged and agreed that it is a “qualified investor” within the meaning of the law in that Relevant Member State implementing Article 2(1)(e) of the Prospectus Directive. In the case of any of the securities being offered to a financial intermediary as that term is used in Article 3(2) of the Prospectus Directive,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representatives has been obtained to each such proposed offer or resale.</w:t>
      </w:r>
    </w:p>
    <w:p>
      <w:pPr>
        <w:spacing w:after="0" w:line="178"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We and the representatives and their affiliates will rely upon the truth and accuracy of the foregoing representations, acknowledgements and agreements.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has been prepared on the basis that any offer of securities in any Relevant Member State will be made pursuant to an exemption under the Prospectus Directive from the requirement to publish a prospectus for offers of securities. Accordingly, any person making or intending to make an offer in that Relevant Member State of securities which are the subject of the offering contemplated in this prospectus may only do so in circumstances in which no obligation arises for us or any of the underwriters to publish a prospectus pursuant to Article 3 of the Prospectus Directive in relation to such offer. Neither we nor the underwriters have authorized, nor do they authorize, the making of any offer of securities in circumstances in which an obligation arises for us or the underwriters to publish a prospectus for such offer.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w:t>
      </w:r>
    </w:p>
    <w:p>
      <w:pPr>
        <w:spacing w:after="0" w:line="76" w:lineRule="exact"/>
        <w:rPr>
          <w:sz w:val="20"/>
          <w:szCs w:val="20"/>
          <w:color w:val="auto"/>
        </w:rPr>
      </w:pPr>
    </w:p>
    <w:p>
      <w:pPr>
        <w:ind w:left="900" w:right="10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who have professional experience in matters relating to investments falling within Article 19 (5) of the Financial Services and Markets Act 2000 (Financial Promotion) Order 2005, as amended, or the Order; and/or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The common stock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xml:space="preserve">. Any resale of the common stock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w:t>
      </w:r>
      <w:r>
        <w:rPr>
          <w:rFonts w:ascii="Arial" w:cs="Arial" w:eastAsia="Arial" w:hAnsi="Arial"/>
          <w:sz w:val="17"/>
          <w:szCs w:val="17"/>
          <w:i w:val="1"/>
          <w:iCs w:val="1"/>
          <w:color w:val="auto"/>
        </w:rPr>
        <w:t xml:space="preserve">Underwriting Conflicts </w:t>
      </w:r>
      <w:r>
        <w:rPr>
          <w:rFonts w:ascii="Arial" w:cs="Arial" w:eastAsia="Arial" w:hAnsi="Arial"/>
          <w:sz w:val="17"/>
          <w:szCs w:val="17"/>
          <w:color w:val="auto"/>
        </w:rPr>
        <w:t>(NI 33-105), the underwriters are not required to comply with the disclosure requirements of NI 33-105 regarding underwriter</w:t>
      </w:r>
      <w:r>
        <w:rPr>
          <w:rFonts w:ascii="Arial" w:cs="Arial" w:eastAsia="Arial" w:hAnsi="Arial"/>
          <w:sz w:val="17"/>
          <w:szCs w:val="17"/>
          <w:i w:val="1"/>
          <w:iCs w:val="1"/>
          <w:color w:val="auto"/>
        </w:rPr>
        <w:t xml:space="preserve"> </w:t>
      </w:r>
      <w:r>
        <w:rPr>
          <w:rFonts w:ascii="Arial" w:cs="Arial" w:eastAsia="Arial" w:hAnsi="Arial"/>
          <w:sz w:val="17"/>
          <w:szCs w:val="17"/>
          <w:color w:val="auto"/>
        </w:rPr>
        <w:t>conflicts of interest in connection with this offering.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securities offered by this prospectus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or the Corporations Act;</w:t>
      </w:r>
    </w:p>
    <w:p>
      <w:pPr>
        <w:spacing w:after="0" w:line="130"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 and</w:t>
      </w:r>
    </w:p>
    <w:p>
      <w:pPr>
        <w:spacing w:after="0" w:line="86"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securities offered by this prospectus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any offer of securities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will not be registered under the Financial Instruments and Exchange Act. Accordingly,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securities offered by this prospectus have not been offered or sold and will not be offered or sold in Hong Kong, by means of any document, other than (a) to “professional investors” as defined in the Securities and Futures Ordinance (Cap. 571) of Hong Kong and any rules made under that Ordinance; or</w:t>
      </w:r>
    </w:p>
    <w:p>
      <w:pPr>
        <w:ind w:right="40" w:firstLine="8"/>
        <w:spacing w:after="0" w:line="270" w:lineRule="auto"/>
        <w:tabs>
          <w:tab w:leader="none" w:pos="25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Warning</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the SFA;</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Wherethe securities are subscribed or purchased under Section 275 of the SFA by a relevant person which is:</w:t>
      </w:r>
    </w:p>
    <w:p>
      <w:pPr>
        <w:spacing w:after="0" w:line="131" w:lineRule="exact"/>
        <w:rPr>
          <w:sz w:val="20"/>
          <w:szCs w:val="20"/>
          <w:color w:val="auto"/>
        </w:rPr>
      </w:pPr>
    </w:p>
    <w:p>
      <w:pPr>
        <w:ind w:left="90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2"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680" w:hanging="567"/>
        <w:spacing w:after="0" w:line="277" w:lineRule="auto"/>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securities offered by this prospectus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8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w:t>
      </w:r>
    </w:p>
    <w:p>
      <w:pPr>
        <w:spacing w:after="0" w:line="2" w:lineRule="exact"/>
        <w:rPr>
          <w:sz w:val="20"/>
          <w:szCs w:val="20"/>
          <w:color w:val="auto"/>
        </w:rPr>
      </w:pPr>
    </w:p>
    <w:p>
      <w:pPr>
        <w:ind w:right="360" w:firstLine="8"/>
        <w:spacing w:after="0" w:line="261" w:lineRule="auto"/>
        <w:tabs>
          <w:tab w:leader="none" w:pos="2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who has signed a declaration that he, whether individually or jointly with his spouse, has net worth in excess of US$1,000,000 and that he consents to being treated as a professional investor.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This prospectus does not constitute a public offer of the securities offered by this prospectus, whether by sale or subscription, in the People’s Republic of China, or the PRC. The securities are not being offered or sold directly or indirectly in the PRC to or for the benefit of, legal or natural persons of the PRC.</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Securities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w:t>
      </w:r>
    </w:p>
    <w:p>
      <w:pPr>
        <w:spacing w:after="0" w:line="3" w:lineRule="exact"/>
        <w:rPr>
          <w:sz w:val="20"/>
          <w:szCs w:val="20"/>
          <w:color w:val="auto"/>
        </w:rPr>
      </w:pPr>
    </w:p>
    <w:p>
      <w:pPr>
        <w:jc w:val="both"/>
        <w:ind w:right="20" w:firstLine="8"/>
        <w:spacing w:after="0" w:line="253" w:lineRule="auto"/>
        <w:tabs>
          <w:tab w:leader="none" w:pos="3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other person as may be specified by the Commission; provided that, in the each of the preceding categories (i) to (xi), the distribution of the securities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17"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Due to restrictions under the securities laws of South Africa, the securities are not offered, and the Offer shall not be transferred, sold, renounced or delivered, in South Africa or to a person with an address in South Africa, unless one or other of the following exemptions applies:</w:t>
      </w:r>
    </w:p>
    <w:p>
      <w:pPr>
        <w:spacing w:after="0" w:line="52" w:lineRule="exact"/>
        <w:rPr>
          <w:sz w:val="20"/>
          <w:szCs w:val="20"/>
          <w:color w:val="auto"/>
        </w:rPr>
      </w:pPr>
    </w:p>
    <w:p>
      <w:pPr>
        <w:ind w:left="900" w:right="280" w:hanging="446"/>
        <w:spacing w:after="0" w:line="25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 owned subsidiary of a bank, mutual bank, authorised services provider or financial institution, acting as agent in the capacity of an authorised portfolio manager for a pension fund (duly registered in South Africa), or as manager for a collective investment scheme (registered in South Africa); or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contemplated acquisition cost of the securities, for any single addressee acting as principal is equal to or greater than R1,000,000.</w:t>
      </w:r>
    </w:p>
    <w:p>
      <w:pPr>
        <w:spacing w:after="0" w:line="23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document does not, nor is it intended to, constitute an “offer to the public” (as that term is defined in the South African Companies Act, 2008, or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 South African resident person or company or any non-South African company which is a subsidiary of a South African company is not permitted to acquire the securities unless such person has obtained exchange control approval to do so.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common stock offered by this prospectus will be passed upon for us by Fenwick &amp; West LLP,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relating to the offering will be passed upon for the underwriters by Cooley LLP, San Diego, California.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financial statements of AnaptysBio, Inc. as of December 31, 2014 and 2015, and for each of the years in the two-year period ended December 31, 2015, have been included herein and in the registration statement in reliance upon the report of KPMG LLP, an independent registered public accounting firm, appearing elsewhere herein, and upon the authority of said firm as experts in accounting and auditing.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the closing of our initial public offering, we will be required to file periodic reports, proxy statements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2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AnaptysBio, Inc. 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2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920" w:type="dxa"/>
            <w:vAlign w:val="bottom"/>
            <w:gridSpan w:val="11"/>
          </w:tcPr>
          <w:p>
            <w:pPr>
              <w:spacing w:after="0" w:line="190" w:lineRule="exact"/>
              <w:rPr>
                <w:rFonts w:ascii="Arial" w:cs="Arial" w:eastAsia="Arial" w:hAnsi="Arial"/>
                <w:sz w:val="18"/>
                <w:szCs w:val="18"/>
                <w:color w:val="0000EE"/>
              </w:rPr>
            </w:pPr>
            <w:hyperlink w:anchor="page169">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70">
              <w:r>
                <w:rPr>
                  <w:rFonts w:ascii="Arial" w:cs="Arial" w:eastAsia="Arial" w:hAnsi="Arial"/>
                  <w:sz w:val="18"/>
                  <w:szCs w:val="18"/>
                  <w:color w:val="0000EE"/>
                  <w:w w:val="88"/>
                </w:rPr>
                <w:t>Consolidated Balance Sheets as of December 31, 2014 and 2015</w:t>
              </w:r>
            </w:hyperlink>
          </w:p>
        </w:tc>
        <w:tc>
          <w:tcPr>
            <w:tcW w:w="62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71">
              <w:r>
                <w:rPr>
                  <w:rFonts w:ascii="Arial" w:cs="Arial" w:eastAsia="Arial" w:hAnsi="Arial"/>
                  <w:sz w:val="18"/>
                  <w:szCs w:val="18"/>
                  <w:color w:val="0000EE"/>
                  <w:w w:val="89"/>
                </w:rPr>
                <w:t>Consolidated Statements of Operations for the Years ended December 31, 2014 and 2015</w:t>
              </w:r>
            </w:hyperlink>
          </w:p>
        </w:tc>
        <w:tc>
          <w:tcPr>
            <w:tcW w:w="44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Consolidated Statements of Convertible Preferred Stock and Stockholders’ Deficit for the Years ended December 31, 2014 and 2015</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6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73">
              <w:r>
                <w:rPr>
                  <w:rFonts w:ascii="Arial" w:cs="Arial" w:eastAsia="Arial" w:hAnsi="Arial"/>
                  <w:sz w:val="18"/>
                  <w:szCs w:val="18"/>
                  <w:color w:val="0000EE"/>
                  <w:w w:val="89"/>
                </w:rPr>
                <w:t>Consolidated Statements of Cash Flows for the Years ended December 31, 2014 and 2015</w:t>
              </w:r>
            </w:hyperlink>
          </w:p>
        </w:tc>
        <w:tc>
          <w:tcPr>
            <w:tcW w:w="3000" w:type="dxa"/>
            <w:vAlign w:val="bottom"/>
            <w:tcBorders>
              <w:top w:val="single" w:sz="8" w:color="0000EE"/>
            </w:tcBorders>
            <w:gridSpan w:val="3"/>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74">
              <w:r>
                <w:rPr>
                  <w:rFonts w:ascii="Arial" w:cs="Arial" w:eastAsia="Arial" w:hAnsi="Arial"/>
                  <w:sz w:val="18"/>
                  <w:szCs w:val="18"/>
                  <w:color w:val="0000EE"/>
                  <w:w w:val="89"/>
                </w:rPr>
                <w:t>Notes to Consolidated Financial Statements</w:t>
              </w:r>
            </w:hyperlink>
          </w:p>
        </w:tc>
        <w:tc>
          <w:tcPr>
            <w:tcW w:w="776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5"/>
        </w:trPr>
        <w:tc>
          <w:tcPr>
            <w:tcW w:w="1092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AnaptysBio, Inc. Unaudited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2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920" w:type="dxa"/>
            <w:vAlign w:val="bottom"/>
            <w:gridSpan w:val="11"/>
          </w:tcPr>
          <w:p>
            <w:pPr>
              <w:spacing w:after="0" w:line="190" w:lineRule="exact"/>
              <w:rPr>
                <w:rFonts w:ascii="Arial" w:cs="Arial" w:eastAsia="Arial" w:hAnsi="Arial"/>
                <w:sz w:val="18"/>
                <w:szCs w:val="18"/>
                <w:color w:val="0000EE"/>
              </w:rPr>
            </w:pPr>
            <w:hyperlink w:anchor="page193">
              <w:r>
                <w:rPr>
                  <w:rFonts w:ascii="Arial" w:cs="Arial" w:eastAsia="Arial" w:hAnsi="Arial"/>
                  <w:sz w:val="18"/>
                  <w:szCs w:val="18"/>
                  <w:color w:val="0000EE"/>
                </w:rPr>
                <w:t>Consolidated Balance Sheets as of December 31, 2015 and March 31, 2016 (unaudited)</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3960" w:type="dxa"/>
            <w:vAlign w:val="bottom"/>
            <w:gridSpan w:val="2"/>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Unaudited Consolidated Statements of Operations for the Three Months Ended March 31, 2015 and 2016</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20"/>
        </w:trPr>
        <w:tc>
          <w:tcPr>
            <w:tcW w:w="3960" w:type="dxa"/>
            <w:vAlign w:val="bottom"/>
            <w:gridSpan w:val="2"/>
            <w:shd w:val="clear" w:color="auto" w:fill="0000EE"/>
          </w:tcPr>
          <w:p>
            <w:pPr>
              <w:spacing w:after="0" w:line="20" w:lineRule="exact"/>
              <w:rPr>
                <w:sz w:val="1"/>
                <w:szCs w:val="1"/>
                <w:color w:val="auto"/>
              </w:rPr>
            </w:pPr>
          </w:p>
        </w:tc>
        <w:tc>
          <w:tcPr>
            <w:tcW w:w="364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95">
              <w:r>
                <w:rPr>
                  <w:rFonts w:ascii="Arial" w:cs="Arial" w:eastAsia="Arial" w:hAnsi="Arial"/>
                  <w:sz w:val="18"/>
                  <w:szCs w:val="18"/>
                  <w:color w:val="0000EE"/>
                  <w:w w:val="90"/>
                </w:rPr>
                <w:t>Unaudited Consolidated Statements of Cash Flows for the Three Months Ended March 31, 2015 and 2016</w:t>
              </w:r>
            </w:hyperlink>
          </w:p>
        </w:tc>
        <w:tc>
          <w:tcPr>
            <w:tcW w:w="32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Notes to Unaudited Consolidated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385"/>
        </w:trPr>
        <w:tc>
          <w:tcPr>
            <w:tcW w:w="31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60" w:type="dxa"/>
            <w:vAlign w:val="bottom"/>
            <w:gridSpan w:val="7"/>
          </w:tcPr>
          <w:p>
            <w:pPr>
              <w:ind w:left="9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AnaptysBio, Inc. and subsidiary as of December 31, 2014 and 2015, and the related consolidated statements of operations, convertible preferred stock and stockholders’ deficit, and cash flows for each of the years in the two-year period ended December 31, 2015.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AnaptysBio, Inc. and subsidiary as of December 31, 2014 and 2015, and the results of their operations and their cash flows for each of the years in the two-year period ended December 31, 2015, in conformity with U.S. generally accepted accounting principles.</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60" w:right="2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9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4"/>
              </w:rPr>
              <w:t>ASSETS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51,684</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Receivable from collaborative partner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53,464</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18"/>
                <w:szCs w:val="18"/>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56,280</w:t>
            </w:r>
          </w:p>
        </w:tc>
        <w:tc>
          <w:tcPr>
            <w:tcW w:w="10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95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b w:val="1"/>
                <w:bCs w:val="1"/>
                <w:color w:val="auto"/>
              </w:rPr>
              <w:t>LIABILITIES, CONVERTIBLE PREFERRED STOCK AND</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8"/>
        </w:trPr>
        <w:tc>
          <w:tcPr>
            <w:tcW w:w="9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STOCKHOLDERS’ DEFICIT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7,376</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current portion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9560" w:type="dxa"/>
            <w:vAlign w:val="bottom"/>
          </w:tcPr>
          <w:p>
            <w:pPr>
              <w:spacing w:after="0" w:line="201" w:lineRule="exact"/>
              <w:rPr>
                <w:sz w:val="20"/>
                <w:szCs w:val="20"/>
                <w:color w:val="auto"/>
              </w:rPr>
            </w:pPr>
            <w:r>
              <w:rPr>
                <w:rFonts w:ascii="Arial" w:cs="Arial" w:eastAsia="Arial" w:hAnsi="Arial"/>
                <w:sz w:val="18"/>
                <w:szCs w:val="18"/>
                <w:color w:val="auto"/>
                <w:w w:val="90"/>
              </w:rPr>
              <w:t>Series B convertible preferred stock, $0.001 par value, 27,743 shares authorized, issued and outstanding at December 31, 2014 and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560" w:type="dxa"/>
            <w:vAlign w:val="bottom"/>
          </w:tcPr>
          <w:p>
            <w:pPr>
              <w:ind w:left="180"/>
              <w:spacing w:after="0"/>
              <w:rPr>
                <w:sz w:val="20"/>
                <w:szCs w:val="20"/>
                <w:color w:val="auto"/>
              </w:rPr>
            </w:pPr>
            <w:r>
              <w:rPr>
                <w:rFonts w:ascii="Arial" w:cs="Arial" w:eastAsia="Arial" w:hAnsi="Arial"/>
                <w:sz w:val="18"/>
                <w:szCs w:val="18"/>
                <w:color w:val="auto"/>
              </w:rPr>
              <w:t>2015; aggregate liquidation preference at December 31, 2015 of $24,991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28,220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28,220</w:t>
            </w:r>
          </w:p>
        </w:tc>
      </w:tr>
      <w:tr>
        <w:trPr>
          <w:trHeight w:val="202"/>
        </w:trPr>
        <w:tc>
          <w:tcPr>
            <w:tcW w:w="9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C convertible preferred stock, $0.001 par value, 13,211 shares authorized, 11,147 shares issued and outstanding at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2014 and 2015; aggregate liquidation preference at December 31, 2015 of $7,246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100" w:type="dxa"/>
            <w:vAlign w:val="bottom"/>
            <w:shd w:val="clear" w:color="auto" w:fill="CCEEFF"/>
          </w:tcPr>
          <w:p>
            <w:pPr>
              <w:spacing w:after="0"/>
              <w:rPr>
                <w:sz w:val="20"/>
                <w:szCs w:val="20"/>
                <w:color w:val="auto"/>
              </w:rPr>
            </w:pPr>
          </w:p>
        </w:tc>
      </w:tr>
      <w:tr>
        <w:trPr>
          <w:trHeight w:val="202"/>
        </w:trPr>
        <w:tc>
          <w:tcPr>
            <w:tcW w:w="9560" w:type="dxa"/>
            <w:vAlign w:val="bottom"/>
          </w:tcPr>
          <w:p>
            <w:pPr>
              <w:spacing w:after="0" w:line="201" w:lineRule="exact"/>
              <w:rPr>
                <w:sz w:val="20"/>
                <w:szCs w:val="20"/>
                <w:color w:val="auto"/>
              </w:rPr>
            </w:pPr>
            <w:r>
              <w:rPr>
                <w:rFonts w:ascii="Arial" w:cs="Arial" w:eastAsia="Arial" w:hAnsi="Arial"/>
                <w:sz w:val="18"/>
                <w:szCs w:val="18"/>
                <w:color w:val="auto"/>
                <w:w w:val="92"/>
              </w:rPr>
              <w:t>Series C-1 convertible preferred stock, $0.001 par value, 3,318 shares authorized, issued and outstanding at December 31, 2014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560" w:type="dxa"/>
            <w:vAlign w:val="bottom"/>
          </w:tcPr>
          <w:p>
            <w:pPr>
              <w:ind w:left="180"/>
              <w:spacing w:after="0"/>
              <w:rPr>
                <w:sz w:val="20"/>
                <w:szCs w:val="20"/>
                <w:color w:val="auto"/>
              </w:rPr>
            </w:pPr>
            <w:r>
              <w:rPr>
                <w:rFonts w:ascii="Arial" w:cs="Arial" w:eastAsia="Arial" w:hAnsi="Arial"/>
                <w:sz w:val="18"/>
                <w:szCs w:val="18"/>
                <w:color w:val="auto"/>
              </w:rPr>
              <w:t>and 2015, respectively; aggregate liquidation preference at December 31, 2015 of $6,470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0"/>
                <w:szCs w:val="20"/>
                <w:color w:val="auto"/>
              </w:rPr>
            </w:pPr>
          </w:p>
        </w:tc>
      </w:tr>
      <w:tr>
        <w:trPr>
          <w:trHeight w:val="202"/>
        </w:trPr>
        <w:tc>
          <w:tcPr>
            <w:tcW w:w="9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D convertible preferred stock, $0.001 par value, 38,437 shares authorized, no shares and 38,437 shares issued and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outstanding at December 31, 2014 and 2015, respectively; aggregate liquidation preference at December 31, 2015 of $40,767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40,688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$0.001 par value, 120,500 shares authorized, 17,368 shares and 18,407 shares issued and outstanding at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2014 and 2015, respectively</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14,407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15,467</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(45,259)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(50,664)</w:t>
            </w:r>
          </w:p>
        </w:tc>
      </w:tr>
      <w:tr>
        <w:trPr>
          <w:trHeight w:val="230"/>
        </w:trPr>
        <w:tc>
          <w:tcPr>
            <w:tcW w:w="956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(30,835)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(35,179)</w:t>
            </w:r>
          </w:p>
        </w:tc>
        <w:tc>
          <w:tcPr>
            <w:tcW w:w="100" w:type="dxa"/>
            <w:vAlign w:val="bottom"/>
          </w:tcPr>
          <w:p>
            <w:pPr>
              <w:spacing w:after="0"/>
              <w:rPr>
                <w:sz w:val="20"/>
                <w:szCs w:val="20"/>
                <w:color w:val="auto"/>
              </w:rPr>
            </w:pPr>
          </w:p>
        </w:tc>
      </w:tr>
      <w:tr>
        <w:trPr>
          <w:trHeight w:val="216"/>
        </w:trPr>
        <w:tc>
          <w:tcPr>
            <w:tcW w:w="9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56,280</w:t>
            </w:r>
          </w:p>
        </w:tc>
      </w:tr>
      <w:tr>
        <w:trPr>
          <w:trHeight w:val="20"/>
        </w:trPr>
        <w:tc>
          <w:tcPr>
            <w:tcW w:w="9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Year Ended</w:t>
      </w:r>
    </w:p>
    <w:p>
      <w:pPr>
        <w:jc w:val="center"/>
        <w:ind w:left="97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15,838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2,354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10,968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20,893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1060"/>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related parties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(1,270)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(3,300)</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Arial" w:cs="Arial" w:eastAsia="Arial" w:hAnsi="Arial"/>
                <w:sz w:val="18"/>
                <w:szCs w:val="18"/>
                <w:color w:val="auto"/>
              </w:rPr>
              <w:t>Net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Arial" w:cs="Arial" w:eastAsia="Arial" w:hAnsi="Arial"/>
                <w:sz w:val="18"/>
                <w:szCs w:val="18"/>
                <w:color w:val="auto"/>
              </w:rPr>
              <w:t>Weighted-average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17,368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Arial" w:cs="Arial" w:eastAsia="Arial" w:hAnsi="Arial"/>
                <w:sz w:val="18"/>
                <w:szCs w:val="18"/>
                <w:color w:val="auto"/>
              </w:rPr>
              <w:t>Pro forma net loss per common share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Arial" w:cs="Arial" w:eastAsia="Arial" w:hAnsi="Arial"/>
                <w:sz w:val="18"/>
                <w:szCs w:val="18"/>
                <w:color w:val="auto"/>
              </w:rPr>
              <w:t>Pro forma weighted-average number of shares outstanding (unaudited):</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77,926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gridSpan w:val="5"/>
          </w:tcPr>
          <w:p>
            <w:pPr>
              <w:ind w:left="300"/>
              <w:spacing w:after="0"/>
              <w:rPr>
                <w:sz w:val="20"/>
                <w:szCs w:val="20"/>
                <w:color w:val="auto"/>
              </w:rPr>
            </w:pPr>
            <w:r>
              <w:rPr>
                <w:rFonts w:ascii="Arial" w:cs="Arial" w:eastAsia="Arial" w:hAnsi="Arial"/>
                <w:sz w:val="14"/>
                <w:szCs w:val="14"/>
                <w:b w:val="1"/>
                <w:bCs w:val="1"/>
                <w:color w:val="auto"/>
              </w:rPr>
              <w:t>Series B</w:t>
            </w:r>
          </w:p>
        </w:tc>
        <w:tc>
          <w:tcPr>
            <w:tcW w:w="12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Series C</w:t>
            </w:r>
          </w:p>
        </w:tc>
        <w:tc>
          <w:tcPr>
            <w:tcW w:w="12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Series C-1</w:t>
            </w:r>
          </w:p>
        </w:tc>
        <w:tc>
          <w:tcPr>
            <w:tcW w:w="1240" w:type="dxa"/>
            <w:vAlign w:val="bottom"/>
            <w:gridSpan w:val="6"/>
          </w:tcPr>
          <w:p>
            <w:pPr>
              <w:ind w:left="300"/>
              <w:spacing w:after="0"/>
              <w:rPr>
                <w:sz w:val="20"/>
                <w:szCs w:val="20"/>
                <w:color w:val="auto"/>
              </w:rPr>
            </w:pPr>
            <w:r>
              <w:rPr>
                <w:rFonts w:ascii="Arial" w:cs="Arial" w:eastAsia="Arial" w:hAnsi="Arial"/>
                <w:sz w:val="14"/>
                <w:szCs w:val="14"/>
                <w:b w:val="1"/>
                <w:bCs w:val="1"/>
                <w:color w:val="auto"/>
              </w:rPr>
              <w:t>Series D</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Additional</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6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Convertible</w:t>
            </w:r>
          </w:p>
        </w:tc>
        <w:tc>
          <w:tcPr>
            <w:tcW w:w="12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4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240" w:type="dxa"/>
            <w:vAlign w:val="bottom"/>
            <w:gridSpan w:val="6"/>
          </w:tcPr>
          <w:p>
            <w:pPr>
              <w:ind w:left="180"/>
              <w:spacing w:after="0" w:line="149" w:lineRule="exact"/>
              <w:rPr>
                <w:sz w:val="20"/>
                <w:szCs w:val="20"/>
                <w:color w:val="auto"/>
              </w:rPr>
            </w:pPr>
            <w:r>
              <w:rPr>
                <w:rFonts w:ascii="Arial" w:cs="Arial" w:eastAsia="Arial" w:hAnsi="Arial"/>
                <w:sz w:val="14"/>
                <w:szCs w:val="14"/>
                <w:b w:val="1"/>
                <w:bCs w:val="1"/>
                <w:color w:val="auto"/>
              </w:rPr>
              <w:t>Convertible</w:t>
            </w:r>
          </w:p>
        </w:tc>
        <w:tc>
          <w:tcPr>
            <w:tcW w:w="1120" w:type="dxa"/>
            <w:vAlign w:val="bottom"/>
            <w:gridSpan w:val="5"/>
            <w:vMerge w:val="restart"/>
          </w:tcPr>
          <w:p>
            <w:pPr>
              <w:jc w:val="right"/>
              <w:ind w:right="8"/>
              <w:spacing w:after="0"/>
              <w:rPr>
                <w:sz w:val="20"/>
                <w:szCs w:val="20"/>
                <w:color w:val="auto"/>
              </w:rPr>
            </w:pPr>
            <w:r>
              <w:rPr>
                <w:rFonts w:ascii="Arial" w:cs="Arial" w:eastAsia="Arial" w:hAnsi="Arial"/>
                <w:sz w:val="14"/>
                <w:szCs w:val="14"/>
                <w:b w:val="1"/>
                <w:bCs w:val="1"/>
                <w:color w:val="auto"/>
                <w:w w:val="99"/>
              </w:rPr>
              <w:t>Common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gridSpan w:val="5"/>
          </w:tcPr>
          <w:p>
            <w:pPr>
              <w:ind w:left="80"/>
              <w:spacing w:after="0"/>
              <w:rPr>
                <w:sz w:val="20"/>
                <w:szCs w:val="20"/>
                <w:color w:val="auto"/>
              </w:rPr>
            </w:pPr>
            <w:r>
              <w:rPr>
                <w:rFonts w:ascii="Arial" w:cs="Arial" w:eastAsia="Arial" w:hAnsi="Arial"/>
                <w:sz w:val="14"/>
                <w:szCs w:val="14"/>
                <w:b w:val="1"/>
                <w:bCs w:val="1"/>
                <w:color w:val="auto"/>
              </w:rPr>
              <w:t>Preferred Stock</w:t>
            </w:r>
          </w:p>
        </w:tc>
        <w:tc>
          <w:tcPr>
            <w:tcW w:w="1240" w:type="dxa"/>
            <w:vAlign w:val="bottom"/>
            <w:gridSpan w:val="5"/>
          </w:tcPr>
          <w:p>
            <w:pPr>
              <w:ind w:left="60"/>
              <w:spacing w:after="0"/>
              <w:rPr>
                <w:sz w:val="20"/>
                <w:szCs w:val="20"/>
                <w:color w:val="auto"/>
              </w:rPr>
            </w:pPr>
            <w:r>
              <w:rPr>
                <w:rFonts w:ascii="Arial" w:cs="Arial" w:eastAsia="Arial" w:hAnsi="Arial"/>
                <w:sz w:val="14"/>
                <w:szCs w:val="14"/>
                <w:b w:val="1"/>
                <w:bCs w:val="1"/>
                <w:color w:val="auto"/>
              </w:rPr>
              <w:t>Preferred Stock</w:t>
            </w:r>
          </w:p>
        </w:tc>
        <w:tc>
          <w:tcPr>
            <w:tcW w:w="12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2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7"/>
              </w:rPr>
              <w:t>Preferred Stock</w:t>
            </w:r>
          </w:p>
        </w:tc>
        <w:tc>
          <w:tcPr>
            <w:tcW w:w="11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1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rPr>
              <w:t>Shares  Amount</w:t>
            </w:r>
          </w:p>
        </w:tc>
        <w:tc>
          <w:tcPr>
            <w:tcW w:w="140" w:type="dxa"/>
            <w:vAlign w:val="bottom"/>
          </w:tcPr>
          <w:p>
            <w:pPr>
              <w:spacing w:after="0"/>
              <w:rPr>
                <w:sz w:val="12"/>
                <w:szCs w:val="12"/>
                <w:color w:val="auto"/>
              </w:rPr>
            </w:pPr>
          </w:p>
        </w:tc>
        <w:tc>
          <w:tcPr>
            <w:tcW w:w="108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rPr>
              <w:t>Shares  Amount</w:t>
            </w:r>
          </w:p>
        </w:tc>
        <w:tc>
          <w:tcPr>
            <w:tcW w:w="160" w:type="dxa"/>
            <w:vAlign w:val="bottom"/>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2014</w:t>
            </w:r>
          </w:p>
        </w:tc>
        <w:tc>
          <w:tcPr>
            <w:tcW w:w="46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w w:val="88"/>
              </w:rPr>
              <w:t>27,743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$ 28,220</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88"/>
              </w:rPr>
              <w:t>11,147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6,452</w:t>
            </w: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17,368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14,247</w:t>
            </w:r>
          </w:p>
        </w:tc>
        <w:tc>
          <w:tcPr>
            <w:tcW w:w="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(48,791)</w:t>
            </w:r>
          </w:p>
        </w:tc>
        <w:tc>
          <w:tcPr>
            <w:tcW w:w="200" w:type="dxa"/>
            <w:vAlign w:val="bottom"/>
            <w:tcBorders>
              <w:top w:val="single" w:sz="8" w:color="CCEEFF"/>
            </w:tcBorders>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(34,527)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line="130" w:lineRule="exact"/>
              <w:rPr>
                <w:sz w:val="20"/>
                <w:szCs w:val="20"/>
                <w:color w:val="auto"/>
              </w:rPr>
            </w:pPr>
            <w:r>
              <w:rPr>
                <w:rFonts w:ascii="Arial" w:cs="Arial" w:eastAsia="Arial" w:hAnsi="Arial"/>
                <w:sz w:val="14"/>
                <w:szCs w:val="14"/>
                <w:color w:val="auto"/>
                <w:w w:val="96"/>
              </w:rPr>
              <w:t>Conversion of promissory notes payable</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140"/>
              <w:spacing w:after="0" w:line="149" w:lineRule="exact"/>
              <w:rPr>
                <w:sz w:val="20"/>
                <w:szCs w:val="20"/>
                <w:color w:val="auto"/>
              </w:rPr>
            </w:pPr>
            <w:r>
              <w:rPr>
                <w:rFonts w:ascii="Arial" w:cs="Arial" w:eastAsia="Arial" w:hAnsi="Arial"/>
                <w:sz w:val="14"/>
                <w:szCs w:val="14"/>
                <w:color w:val="auto"/>
                <w:w w:val="96"/>
              </w:rPr>
              <w:t>to related parties into shares of Series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C-1 Preferred Stock</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1"/>
              </w:rPr>
              <w:t>3,318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2,156</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160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4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420" w:type="dxa"/>
            <w:vAlign w:val="bottom"/>
            <w:tcBorders>
              <w:bottom w:val="single" w:sz="8" w:color="auto"/>
            </w:tcBorders>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4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6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3,532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2014</w:t>
            </w:r>
          </w:p>
        </w:tc>
        <w:tc>
          <w:tcPr>
            <w:tcW w:w="5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27,743</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28,220</w:t>
            </w: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11,147</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6,452</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3,318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2,156</w:t>
            </w:r>
          </w:p>
        </w:tc>
        <w:tc>
          <w:tcPr>
            <w:tcW w:w="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17,368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14,407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(45,259)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(30,835)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Issuance of Series D Preferred Stock</w:t>
            </w:r>
          </w:p>
        </w:tc>
        <w:tc>
          <w:tcPr>
            <w:tcW w:w="5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38,437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40,688</w:t>
            </w:r>
          </w:p>
        </w:tc>
        <w:tc>
          <w:tcPr>
            <w:tcW w:w="5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of warrants</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297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line="130" w:lineRule="exact"/>
              <w:rPr>
                <w:sz w:val="20"/>
                <w:szCs w:val="20"/>
                <w:color w:val="auto"/>
              </w:rPr>
            </w:pPr>
            <w:r>
              <w:rPr>
                <w:rFonts w:ascii="Arial" w:cs="Arial" w:eastAsia="Arial" w:hAnsi="Arial"/>
                <w:sz w:val="14"/>
                <w:szCs w:val="14"/>
                <w:color w:val="auto"/>
              </w:rPr>
              <w:t>Shares issued under employee stock</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plans</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1,039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159</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604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420" w:type="dxa"/>
            <w:vAlign w:val="bottom"/>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(5,405)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2015</w:t>
            </w:r>
          </w:p>
        </w:tc>
        <w:tc>
          <w:tcPr>
            <w:tcW w:w="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8"/>
              </w:rPr>
              <w:t>27,743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$ 28,220</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8"/>
              </w:rPr>
              <w:t>11,147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6,452</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3,318</w:t>
            </w: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2,156</w:t>
            </w:r>
          </w:p>
        </w:tc>
        <w:tc>
          <w:tcPr>
            <w:tcW w:w="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38,437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40,688</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18,407</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15,467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(50,664)</w:t>
            </w:r>
          </w:p>
        </w:tc>
        <w:tc>
          <w:tcPr>
            <w:tcW w:w="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3,532</w:t>
            </w:r>
          </w:p>
        </w:tc>
        <w:tc>
          <w:tcPr>
            <w:tcW w:w="3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Receivable from collaborative partners</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(1,455)</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other liabilities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10,730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106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14,603</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notes payable, net of costs to issue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stock, net of costs to issue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Payments for deferred financing costs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increase (decrease) in cash</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19,378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22,188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51,684</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9"/>
              </w:rPr>
              <w:t>Conversion of convertible promissory notes payable to related parties into shares of Series C-1 Preferred Stock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Reclassification of warrants to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Amounts accrued for property and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Amounts accrued for deferred financing costs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(“SHM-XEL”),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We currently generate revenue from our collaborative research and development arrangements.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Company and its wholly-owned Australian subsidiary, which was established in March 2015. All intercompany accounts and transactions have been eliminated in consolidation.</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our inception, we have devoted our primary effort to raising capital and research and development activities, and have, aside from the year ended December 31, 2014, incurred losses and negative cash flows from operations through the year ended December 31, 2015 and have an accumulated deficit at December 31, 2015 of $50.7 million. Through 2015, all of our financial support has been provided primarily from the sale of our common and preferred stock and proceeds from the issuance of convertible debt.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consolidated financial statements do not include any adjustments that might be necessary if we are unable to continue as a going concern.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The preparation of consolidated financial statements in conformity with GAAP requires management to make judgments, assumptions and estimates that affect the amounts reported in our consolidated financial statements and accompanying notes. Significant estimates in the consolidated financial statements have been made for preferred stock warrant liabilities and stock-based compensation. Actual results could differ materially from those estimates.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At December 31, 2014 and 2015, we held restricted cash of $85,000 and $60,000, respectively, used to secure a letter of credit provided as security for our operating leases for our facility.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Property and equipment is carried at cost.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 line method over the shorter of the lease term or the estimated useful life of the asset. Upon sale or retirement of property and equipment, the related cost and accumulated depreciation are removed from the accounts and any gain or loss is reflected in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2014 or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During the year ended December 31, 2015, we incurred an aggregate of $2.2 million in direct costs related to our anticipated public offering of common stock. These costs were deferred and recorded as a long-term asset at December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 and Operating Lease Incentives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When an operating lease includes lease incentives, such as a rent abatements or leasehold improvement allowances, or requires fixed escalations of the minimum lease payments, the aggregate rental expense, including such incentives or increases, is recognized on a straight-line basis over the term of the lease. The cumulative difference between the actual rental payments and rent charged to expense is recorded as deferred rent in the accompanying balance sheets. For leasehold improvement allowances, the costs are capitalized as leasehold improvement assets and amortized to expense over the appropriate recognition period for such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Debt issuance costs incurred to obtain debt financing are deferred and are amortized over the term of the debt using the effective interest method. The costs are recorded as a reduction to the carrying value of the debt and the amortization expense is included in interest expense in the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900" w:right="80" w:hanging="325"/>
        <w:spacing w:after="0" w:line="258"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License arrangements</w:t>
      </w:r>
      <w:r>
        <w:rPr>
          <w:rFonts w:ascii="Arial" w:cs="Arial" w:eastAsia="Arial" w:hAnsi="Arial"/>
          <w:sz w:val="18"/>
          <w:szCs w:val="18"/>
          <w:color w:val="auto"/>
        </w:rPr>
        <w:t>. The deliverables under our collaboration and license agreements generally include exclusive or nonexclusive licenses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89" w:lineRule="exact"/>
        <w:rPr>
          <w:rFonts w:ascii="Arial" w:cs="Arial" w:eastAsia="Arial" w:hAnsi="Arial"/>
          <w:sz w:val="18"/>
          <w:szCs w:val="18"/>
          <w:color w:val="auto"/>
        </w:rPr>
      </w:pPr>
    </w:p>
    <w:p>
      <w:pPr>
        <w:ind w:left="900" w:right="220" w:hanging="325"/>
        <w:spacing w:after="0" w:line="298"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Services. </w:t>
      </w:r>
      <w:r>
        <w:rPr>
          <w:rFonts w:ascii="Arial" w:cs="Arial" w:eastAsia="Arial" w:hAnsi="Arial"/>
          <w:sz w:val="16"/>
          <w:szCs w:val="16"/>
          <w:color w:val="auto"/>
        </w:rPr>
        <w:t>The deliverables under our collaboration and license arrangements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Costs associated with research and development activities are expensed as incurred. Research and development costs primarily include salaries and personnel-related costs, supplies and materials, contract manufacturing, in-licensing fees, outside services, and an allocation of information technology, fringe benefits, and facility overhead costs.</w:t>
      </w:r>
    </w:p>
    <w:p>
      <w:pPr>
        <w:spacing w:after="0" w:line="18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Upfront and milestone payments incurred under our in-licensing agreements are expensed as acquired in-process research and development in the period in which they are incurred, provided that the technology or method has no alternative future use. Royalties incurred on fees received under our sublicensing arrangements are expensed in the period in which we recognize the related collaborative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Our policy is to place our cash and cash equivalents with high quality financial institutions in order to limit our credit risk exposure, and, at times, balances may exceed federally insured limits. To date, we have not experienced any credit losses associated with these financial instruments.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Australian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($0.2) million during the year ended December 31,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 and Pro Forma Net Income Per Common Share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income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Basic net income (loss) per common share is computed by dividing net income (loss) attributed to common stockholders by the weighted-average number of common shares outstanding during the period. All participating securities are excluded from basic weighted-average common shares outstanding. In computing diluted net income (loss) attributed to common stockholders, undistributed earnings (if any)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6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2015 or the original issuance date, if later.</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Income</w:t>
            </w: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2"/>
                <w:szCs w:val="12"/>
                <w:color w:val="auto"/>
              </w:rPr>
            </w:pPr>
          </w:p>
        </w:tc>
        <w:tc>
          <w:tcPr>
            <w:tcW w:w="12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9"/>
              </w:rPr>
              <w:t>(Loss)</w:t>
            </w: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6140" w:type="dxa"/>
            <w:vAlign w:val="bottom"/>
            <w:vMerge w:val="continue"/>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(Numerator)</w:t>
            </w: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(Denominator)</w:t>
            </w:r>
          </w:p>
        </w:tc>
        <w:tc>
          <w:tcPr>
            <w:tcW w:w="2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3,532</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Net income attributed to participating securities</w:t>
            </w: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(3,300)</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 and diluted net income attributed to common stockholders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232</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17,368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common share: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720"/>
              <w:spacing w:after="0"/>
              <w:rPr>
                <w:sz w:val="20"/>
                <w:szCs w:val="20"/>
                <w:color w:val="auto"/>
              </w:rPr>
            </w:pPr>
            <w:r>
              <w:rPr>
                <w:rFonts w:ascii="Arial" w:cs="Arial" w:eastAsia="Arial" w:hAnsi="Arial"/>
                <w:sz w:val="18"/>
                <w:szCs w:val="18"/>
                <w:color w:val="auto"/>
              </w:rPr>
              <w:t>Basic and diluted net loss attributed to common stockholders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(5,405)</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17,857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(0.30)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for the Year Ended December 31, 2015 (unaudited)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Basic net loss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(5,405)</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360"/>
              <w:spacing w:after="0" w:line="201" w:lineRule="exact"/>
              <w:rPr>
                <w:sz w:val="20"/>
                <w:szCs w:val="20"/>
                <w:color w:val="auto"/>
              </w:rPr>
            </w:pPr>
            <w:r>
              <w:rPr>
                <w:rFonts w:ascii="Arial" w:cs="Arial" w:eastAsia="Arial" w:hAnsi="Arial"/>
                <w:sz w:val="18"/>
                <w:szCs w:val="18"/>
                <w:color w:val="auto"/>
              </w:rPr>
              <w:t>Pro forma adjustment to reflect the assumed conversion of convertible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540"/>
              <w:spacing w:after="0"/>
              <w:rPr>
                <w:sz w:val="20"/>
                <w:szCs w:val="20"/>
                <w:color w:val="auto"/>
              </w:rPr>
            </w:pPr>
            <w:r>
              <w:rPr>
                <w:rFonts w:ascii="Arial" w:cs="Arial" w:eastAsia="Arial" w:hAnsi="Arial"/>
                <w:sz w:val="18"/>
                <w:szCs w:val="18"/>
                <w:color w:val="auto"/>
              </w:rPr>
              <w:t>preferred shares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60,069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 forma basic and diluted net loss per common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(5,405)</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77,926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(0.07)</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4620"/>
              <w:spacing w:after="0"/>
              <w:rPr>
                <w:sz w:val="20"/>
                <w:szCs w:val="20"/>
                <w:color w:val="auto"/>
              </w:rPr>
            </w:pPr>
            <w:r>
              <w:rPr>
                <w:rFonts w:ascii="Arial" w:cs="Arial" w:eastAsia="Arial" w:hAnsi="Arial"/>
                <w:sz w:val="18"/>
                <w:szCs w:val="18"/>
                <w:color w:val="auto"/>
              </w:rPr>
              <w:t>F-11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40" w:type="dxa"/>
            <w:vAlign w:val="bottom"/>
            <w:gridSpan w:val="2"/>
            <w:vMerge w:val="continue"/>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0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Convertible</w:t>
            </w:r>
          </w:p>
        </w:tc>
        <w:tc>
          <w:tcPr>
            <w:tcW w:w="5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6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Options to purchase common stock</w:t>
            </w:r>
          </w:p>
        </w:tc>
        <w:tc>
          <w:tcPr>
            <w:tcW w:w="660" w:type="dxa"/>
            <w:vAlign w:val="bottom"/>
          </w:tcPr>
          <w:p>
            <w:pPr>
              <w:jc w:val="right"/>
              <w:spacing w:after="0"/>
              <w:rPr>
                <w:sz w:val="20"/>
                <w:szCs w:val="20"/>
                <w:color w:val="auto"/>
              </w:rPr>
            </w:pPr>
            <w:r>
              <w:rPr>
                <w:rFonts w:ascii="Arial" w:cs="Arial" w:eastAsia="Arial" w:hAnsi="Arial"/>
                <w:sz w:val="18"/>
                <w:szCs w:val="18"/>
                <w:color w:val="auto"/>
              </w:rPr>
              <w:t>7,556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to purchase preferred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Warrants to purchase common stock</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3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outlines a single comprehensive model for entities to use in accounting for revenue from contracts with customers and supersedes 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intends to enhance the reporting model for financial instruments by providing users of financial instruments with more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for nonpublic entities. We are currently assessing the impact that this standard will have on our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Accounts and Supplemental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vMerge w:val="continue"/>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accumulated depreciation and amortization</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(3,355)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(3,583)</w:t>
            </w:r>
          </w:p>
        </w:tc>
        <w:tc>
          <w:tcPr>
            <w:tcW w:w="0" w:type="dxa"/>
            <w:vAlign w:val="bottom"/>
          </w:tcPr>
          <w:p>
            <w:pPr>
              <w:spacing w:after="0"/>
              <w:rPr>
                <w:sz w:val="1"/>
                <w:szCs w:val="1"/>
                <w:color w:val="auto"/>
              </w:rPr>
            </w:pPr>
          </w:p>
        </w:tc>
      </w:tr>
      <w:tr>
        <w:trPr>
          <w:trHeight w:val="223"/>
        </w:trPr>
        <w:tc>
          <w:tcPr>
            <w:tcW w:w="384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3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3180" w:type="dxa"/>
            <w:vAlign w:val="bottom"/>
            <w:gridSpan w:val="2"/>
          </w:tcPr>
          <w:p>
            <w:pPr>
              <w:jc w:val="right"/>
              <w:ind w:right="2445"/>
              <w:spacing w:after="0"/>
              <w:rPr>
                <w:sz w:val="20"/>
                <w:szCs w:val="20"/>
                <w:color w:val="auto"/>
              </w:rPr>
            </w:pPr>
            <w:r>
              <w:rPr>
                <w:rFonts w:ascii="Arial" w:cs="Arial" w:eastAsia="Arial" w:hAnsi="Arial"/>
                <w:sz w:val="18"/>
                <w:szCs w:val="18"/>
                <w:color w:val="auto"/>
              </w:rPr>
              <w:t>F-12</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CCEEFF"/>
            </w:tcBorders>
            <w:vMerge w:val="continue"/>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2014</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Collaborative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Collaboration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November 2014, we and TESARO entered into an Amendment No. 1 to the Agreement to add an antibody discovery program against a fourth target for an upfront license fee of $2.0 million.</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will be recognized has been extended through December 31, 2016.</w:t>
      </w:r>
    </w:p>
    <w:p>
      <w:pPr>
        <w:spacing w:after="0" w:line="16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We recognized revenue of $1.7 million during the year ended December 31, 2015, for the achievement of two $1.0 million milestones upon initiation of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toxicology studies, under the principles of good laboratory practice, using the AnaptysBio-generated anti-PD-1 antagonist antibody (TSR-042)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AnaptysBio-generated anti-TIM-3 antagonist antibody (TSR-022), each being advanced by TESARO. The remaining unrecognized milestone payments of $0.3 million at December 31, 2015 will be recognized ratably through December 2016. Revenue from future contingent milestone payments will be recognized if and when such payments become due, subject to satisfaction of all of the criteria necessary to recognize revenue at that time.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Revenue recognized under this agreement aggregated $11.5 million during the year ended December 31, 2014, which includes $7.0 million for the amortization of the upfront fee and $4.5 million in funding for research and development services. Revenue recognized under this agreement aggregated $17.6 million during the year ended December 31, 2015, which includes $9.4 million for the amortization of the upfront fee, $6.5 million in funding for research and development services, and $1.7 million for milestones earned, of which $1.2 million was receivable at December 31, 2015. Deferred revenue for this agreement was $2.9 million at December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Antibody Generation Agreement</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December 2011, we entered into an Antibody Generation Agreement with Celgene Corporation (“Celgene”), under which we agreed to develop human therapeutic agents against multiple targets. We successfully delivered three antibodies against three targets under this agreement. The final deliverable under this agreement was completed in 2014. Under the terms of the agreement, Celgene agreed to pay an initial fee of $6.0 million, followed by a success fee of $0.5 million upon successful delivery of therapeutic antibodies against each of the targets involved.</w:t>
      </w:r>
    </w:p>
    <w:p>
      <w:pPr>
        <w:spacing w:after="0" w:line="17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or nine months, beginning January 2014 when the project commenced. Revenue recognized under this agreement aggregated $0.6 million during the year ended December 31, 2014, which includes $0.5 million in success fees and $92,000 in funding for research and development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Momenta Antibody Generation Agreement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December 2013, we entered into an Antibody Generation Agreement, with Momenta Pharmaceuticals, Inc. (“Momenta”) under which we agreed to generate certain antibodies with enhanced affinity specific for a particular target for use in the development of human therapeutic agents by Momenta. Under the terms of the agreement, Momenta agreed to pay an upfront fee of $1.1 million, followed by a $2.0 million success fee in the event of a successful outcome, which occurred in 2014. This agreement expired in accordance with its terms in 2014.</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or nine months, beginning January 2014 when the project commenced. Revenue recognized under this agreement aggregated $3.1 million during the year ended December 31, 2014, which includes $2.0 million in success fees and $1.1 million for the amortization of the upfront fee.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year ended December 31, 2014, we recognized revenue from other collaborative partners aggregating $0.6 million for the development of antibodies for specified targets. Revenue from these agreements consisted primarily of the amortization of upfront payments and funding for research and development services that were recognized as the related services were provided. Our obligations under these collaborative agreements were completed by the end of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 and Convertible Promissory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24, 2014, we entered into a Loan and Security Agreement (the “LSA Agreement”) with a bank and a financial institution whereby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borrow up to $15.0 million in three separate draws of $5.0 million each. The Term A Loans, for an aggregate of $5.0 million, were drawn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24, 2014. The Term B Loans for an aggregate of $5.0 million were available for draw through December 31, 2015, contingent upon our first multi-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dose PK/toxicology studies on at least two development programs and the Term C Loans for an aggregate of $5.0 million are available for draw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contingent upon receiving FDA approval on IND submission on at least two development programs. The Term A Loans each bear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fixed rate of interest of 6.97%.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In January 2016, the LSA Agreement was amended (the “LSA Amendment”) to combine Term B Loans and Term C Loans for a total of $10.0 million available for draw and delay the beginning of our Term A Loans’ principal repayments from February 1, 2016 until February 1, 2017. The Term B Loans and Term C Loans are available for draw upon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and (ii) July 1, 2016. The draw period will end upon the earlier of (i) an event of default as defined in the LSA Agreement and</w:t>
      </w:r>
    </w:p>
    <w:p>
      <w:pPr>
        <w:spacing w:after="0" w:line="2" w:lineRule="exact"/>
        <w:rPr>
          <w:sz w:val="20"/>
          <w:szCs w:val="20"/>
          <w:color w:val="auto"/>
        </w:rPr>
      </w:pPr>
    </w:p>
    <w:p>
      <w:pPr>
        <w:ind w:right="80" w:firstLine="8"/>
        <w:spacing w:after="0" w:line="302" w:lineRule="auto"/>
        <w:tabs>
          <w:tab w:leader="none" w:pos="26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December 31, 2016. If the Term B Loans and Term C Loans are issued, they will bear interest at the greater of 6.95% or the 3-month LIBOR plus 6.72%, with principal payments beginning February 1, 2017 and with final maturity in January 2019. At December 31, 2015, the Term A Loans are due in 13 monthly interest-only payments through January 2017, followed by 24 equal monthly principal and interest payments, with final maturity in January 2019.</w:t>
      </w:r>
    </w:p>
    <w:p>
      <w:pPr>
        <w:spacing w:after="0" w:line="15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December 31, 2015, the carrying amount of the Term A Loans was $4.9 million, which is net of discounts of $97,000. The Term A Loans were classified as noncurrent in the Consolidated Balance Sheets at December 31, 2015 as a result of the LSA Amendment in January 2016. The effective interest rate on the Term A Loans at December 31, 2015 was 9.25%. As of December 31, 2015, future principal maturities of the Term A Loans were $2.2 million, $2.6 million and $0.2 million in 2017, 2018 and 2019, respectively.</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Term A Loans are secured by a first priority interest in most of our assets, excluding intellectual property. At December 31, 2015, we were in compliance with the covenants contained in the Loan and Security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 Payable to Related Parties</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August 2013, pursuant to a Purchase Agreement, we issued convertible promissory notes to existing investors aggregating $2.0 million. The notes, which bear interest at 10% per annum, were unsecured and subordinated to all current and future indebtedness and were convertible at any time at the option of the holders into shares of Series C-1 Preferred Stock at a conversion price of $0.65 per share.</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Authoritative accounting guidance requires that a portion of the note proceeds be allocated to additional paid-in capital for the intrinsic value, if any, of the conversion option (the “beneficial conversion feature”) based upon the difference between the fair value of the underlying preferred stock at the date of issuance of the notes and the effective conversion price embedded in the notes. The resulting discount on the notes is amortized over the term of the related notes to the stated date of redemption. At August 30, 2013, the date of issuance of the notes, the intrinsic value of the conversion option exceeded the net proceeds of the notes, and therefore the resulting discount attributed to the notes was limited to $2.0 million.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April 2014, the principal and accrued interest on the notes, which aggregated $2.2 million, were converted into 3,333,333 shares of Series C-1 Preferred Stock. The unamortized discount of $0.4 million at the date of conversion was recognized as interest expense. Total interest expense resulting from the amortization and write-off of the discount totaled $1.2 million during the year ended December 31,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134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Prices for</w:t>
            </w: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1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900" w:type="dxa"/>
            <w:vAlign w:val="bottom"/>
            <w:gridSpan w:val="3"/>
            <w:vMerge w:val="continue"/>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At December 31, 2014</w:t>
            </w:r>
          </w:p>
        </w:tc>
        <w:tc>
          <w:tcPr>
            <w:tcW w:w="220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Money market funds (1)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14,736</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14,736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(1)</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7,227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U.S. treasury security (2)</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At December 31, 2015</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Mutual funds (1)</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44,077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44,077</w:t>
            </w:r>
          </w:p>
        </w:tc>
        <w:tc>
          <w:tcPr>
            <w:tcW w:w="10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security (2)</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Preferred stock warrant liabilities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1,549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Included in cash and cash equivalents in the Consolidated Balance Sheets.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Included in cash and cash equivalents, and restricted cash in the Consolidated Balance Sheets.</w:t>
      </w:r>
    </w:p>
    <w:p>
      <w:pPr>
        <w:spacing w:after="0" w:line="21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20"/>
          </w:cols>
          <w:pgMar w:left="240" w:top="460" w:right="3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 Scholes option-pricing model:</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524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2014</w:t>
            </w:r>
          </w:p>
        </w:tc>
        <w:tc>
          <w:tcPr>
            <w:tcW w:w="4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preferred stock</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Exercise price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0.65</w:t>
            </w:r>
          </w:p>
        </w:tc>
        <w:tc>
          <w:tcPr>
            <w:tcW w:w="4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0.65</w:t>
            </w:r>
          </w:p>
        </w:tc>
        <w:tc>
          <w:tcPr>
            <w:tcW w:w="1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Volatility</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measurement date fair value per share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2014 and 2015 would result in increases in the estimated fair values of the preferred stock warrant liabilities of $89,000 and $0.2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in liabilities measured at fair value on a recurring basis using significant unobservable inputs (Level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5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1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Preferred Stock Warrant Liabilities: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Beginning balance</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$(386)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Issuances</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Unrealized net losses included in other income (expense), net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(1,277)</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warrant liabilities to equity</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July 2015, the Company reclassified 288,462 Series C Preferred Stock warrants from Preferred stock warrant liabilities to Additional paid in capital on the Consolidated Balance Sheets, at fair value on the date of transfer. The reclassification occurred upon the expiration of a feature within the warrant contract that had previously precluded equity classification. As a result, these warrants are no longer remeasured at fair value on a recurring basis at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financial instruments estimated as of December 31, 2014 and 2015 are presented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82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2014</w:t>
            </w:r>
          </w:p>
        </w:tc>
        <w:tc>
          <w:tcPr>
            <w:tcW w:w="240" w:type="dxa"/>
            <w:vAlign w:val="bottom"/>
          </w:tcPr>
          <w:p>
            <w:pPr>
              <w:spacing w:after="0"/>
              <w:rPr>
                <w:sz w:val="14"/>
                <w:szCs w:val="14"/>
                <w:color w:val="auto"/>
              </w:rPr>
            </w:pPr>
          </w:p>
        </w:tc>
        <w:tc>
          <w:tcPr>
            <w:tcW w:w="166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31, 2015</w:t>
            </w:r>
          </w:p>
        </w:tc>
      </w:tr>
      <w:tr>
        <w:trPr>
          <w:trHeight w:val="119"/>
        </w:trPr>
        <w:tc>
          <w:tcPr>
            <w:tcW w:w="678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678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$ 4,793</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$4,793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$ 4,903</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$4,686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340" w:firstLine="456"/>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accounts payable, and accrued expenses approximate fair value due to their short-term nature.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00"/>
          </w:cols>
          <w:pgMar w:left="240" w:top="459" w:right="3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the Company’s financial instruments for which it is practicable to estimate that value:</w:t>
      </w:r>
    </w:p>
    <w:p>
      <w:pPr>
        <w:spacing w:after="0" w:line="6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i w:val="1"/>
          <w:iCs w:val="1"/>
          <w:color w:val="auto"/>
        </w:rPr>
        <w:t xml:space="preserve">Notes Payable </w:t>
      </w:r>
      <w:r>
        <w:rPr>
          <w:rFonts w:ascii="Arial" w:cs="Arial" w:eastAsia="Arial" w:hAnsi="Arial"/>
          <w:sz w:val="17"/>
          <w:szCs w:val="17"/>
          <w:color w:val="auto"/>
        </w:rPr>
        <w:t>—We use the income approach to value the aforementioned debt instrument. We use a present value calculation to discount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and interest payments and the final maturity payment on these liabilities using a discounted cash flow model based on observable inputs. The Company discounts these debt instruments based on what the current market rates would offer the Company as of the reporting date. Based on the assumptions used to value these liabilities at fair value, these debt instruments are categorized as Level 2 in the fair value hierarchy.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D Convertible Preferred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13, 2015, we issued and sold 38,436,851 shares of Series D Convertible Preferred Stock at $1.06 per share for net proceeds of $40.7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Certificate of Incorporation and 2006 Equity Incentive Plan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July 13, 2015, we amended our amended and restated certificate of incorporation to increase the total number of shares authorized for issuance from 141,506,903 shares to 203,208,537 shares. Of these shares, 120,500,000 shares are designated as common stock and 82,708,537 shares are designated as preferred stock, which are designated as follows: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Series B</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25,524,510</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1,996,153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Series B-2</w:t>
            </w:r>
          </w:p>
        </w:tc>
        <w:tc>
          <w:tcPr>
            <w:tcW w:w="860" w:type="dxa"/>
            <w:vAlign w:val="bottom"/>
          </w:tcPr>
          <w:p>
            <w:pPr>
              <w:jc w:val="right"/>
              <w:spacing w:after="0"/>
              <w:rPr>
                <w:sz w:val="20"/>
                <w:szCs w:val="20"/>
                <w:color w:val="auto"/>
              </w:rPr>
            </w:pPr>
            <w:r>
              <w:rPr>
                <w:rFonts w:ascii="Arial" w:cs="Arial" w:eastAsia="Arial" w:hAnsi="Arial"/>
                <w:sz w:val="18"/>
                <w:szCs w:val="18"/>
                <w:color w:val="auto"/>
              </w:rPr>
              <w:t>222,216</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13,210,753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Series C-1</w:t>
            </w:r>
          </w:p>
        </w:tc>
        <w:tc>
          <w:tcPr>
            <w:tcW w:w="860" w:type="dxa"/>
            <w:vAlign w:val="bottom"/>
          </w:tcPr>
          <w:p>
            <w:pPr>
              <w:jc w:val="right"/>
              <w:spacing w:after="0"/>
              <w:rPr>
                <w:sz w:val="20"/>
                <w:szCs w:val="20"/>
                <w:color w:val="auto"/>
              </w:rPr>
            </w:pPr>
            <w:r>
              <w:rPr>
                <w:rFonts w:ascii="Arial" w:cs="Arial" w:eastAsia="Arial" w:hAnsi="Arial"/>
                <w:sz w:val="18"/>
                <w:szCs w:val="18"/>
                <w:color w:val="auto"/>
              </w:rPr>
              <w:t>3,318,054</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38,436,851</w:t>
            </w:r>
          </w:p>
        </w:tc>
        <w:tc>
          <w:tcPr>
            <w:tcW w:w="100" w:type="dxa"/>
            <w:vAlign w:val="bottom"/>
            <w:shd w:val="clear" w:color="auto" w:fill="CCEEFF"/>
          </w:tcPr>
          <w:p>
            <w:pPr>
              <w:spacing w:after="0"/>
              <w:rPr>
                <w:sz w:val="18"/>
                <w:szCs w:val="18"/>
                <w:color w:val="auto"/>
              </w:rPr>
            </w:pP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Total designated Preferred Stock</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82,708,537</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Additionally, the amended and restated certificate of incorporation provided for the split of Series B and Series B-1 Preferred Stock into ten shares for every nine shares outstanding. The consolidated financial statements and accompanying footnotes have been retroactively restated to reflect the Series B and Series B-1 Preferred Stock splits.</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Series B, B-1, and B-2 Preferred Stock (collectively, the “Series B Preferred Stock”) generally have consistent rights and preferences discussed below, except that the conversion price of the Series B-2 Preferred Stock shall not be subject to adjustment in the event that we issue additional equity securities at a purchase price less than the Series B-2 conversion price.</w:t>
      </w:r>
    </w:p>
    <w:p>
      <w:pPr>
        <w:spacing w:after="0" w:line="181" w:lineRule="exact"/>
        <w:rPr>
          <w:sz w:val="20"/>
          <w:szCs w:val="20"/>
          <w:color w:val="auto"/>
        </w:rPr>
      </w:pPr>
    </w:p>
    <w:p>
      <w:pPr>
        <w:jc w:val="both"/>
        <w:ind w:right="180" w:firstLine="456"/>
        <w:spacing w:after="0" w:line="297" w:lineRule="auto"/>
        <w:rPr>
          <w:sz w:val="20"/>
          <w:szCs w:val="20"/>
          <w:color w:val="auto"/>
        </w:rPr>
      </w:pPr>
      <w:r>
        <w:rPr>
          <w:rFonts w:ascii="Arial" w:cs="Arial" w:eastAsia="Arial" w:hAnsi="Arial"/>
          <w:sz w:val="16"/>
          <w:szCs w:val="16"/>
          <w:color w:val="auto"/>
        </w:rPr>
        <w:t>The convertible preferred stock has been classified as temporary equity in the accompanying balance sheets as the shares include provisions allowing the holder to cause redemption of the shares upon certain change in control events that are outside of our control. We have elected not to adjust the carrying values of the convertible preferred stock to the respective liquidation preferences of such shares as we are uncertain whether or when an event would occur that would obligate us to pay the liquidation preference to the holders of such shares, as discussed below. Adjustments to increase the carrying values to the respective liquidation preferences will be made if and when it becomes probable that an event would occur obligating us to pay such amounts.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260" w:firstLine="456"/>
        <w:spacing w:after="0" w:line="258" w:lineRule="auto"/>
        <w:rPr>
          <w:sz w:val="20"/>
          <w:szCs w:val="20"/>
          <w:color w:val="auto"/>
        </w:rPr>
      </w:pPr>
      <w:r>
        <w:rPr>
          <w:rFonts w:ascii="Arial" w:cs="Arial" w:eastAsia="Arial" w:hAnsi="Arial"/>
          <w:sz w:val="18"/>
          <w:szCs w:val="18"/>
          <w:b w:val="1"/>
          <w:bCs w:val="1"/>
          <w:color w:val="auto"/>
        </w:rPr>
        <w:t xml:space="preserve">Dividend Rights. </w:t>
      </w:r>
      <w:r>
        <w:rPr>
          <w:rFonts w:ascii="Arial" w:cs="Arial" w:eastAsia="Arial" w:hAnsi="Arial"/>
          <w:sz w:val="18"/>
          <w:szCs w:val="18"/>
          <w:color w:val="auto"/>
        </w:rPr>
        <w:t>The holders of the Series Preferred Stock are entitled to receive noncumulative dividends at a rate of 8% of the respective Series</w:t>
      </w:r>
      <w:r>
        <w:rPr>
          <w:rFonts w:ascii="Arial" w:cs="Arial" w:eastAsia="Arial" w:hAnsi="Arial"/>
          <w:sz w:val="18"/>
          <w:szCs w:val="18"/>
          <w:b w:val="1"/>
          <w:bCs w:val="1"/>
          <w:color w:val="auto"/>
        </w:rPr>
        <w:t xml:space="preserve"> </w:t>
      </w:r>
      <w:r>
        <w:rPr>
          <w:rFonts w:ascii="Arial" w:cs="Arial" w:eastAsia="Arial" w:hAnsi="Arial"/>
          <w:sz w:val="18"/>
          <w:szCs w:val="18"/>
          <w:color w:val="auto"/>
        </w:rPr>
        <w:t>issue price per annum. The Series D Preferred Stock dividends are payable in preference and in priority to any Series C-1 Preferred Stock. The Series C-1 Preferred Stock dividends are payable in preference and in priority to any Series C Preferred Stock. The Series C Preferred Stock dividends are payable in preference and in priority to any Series B Preferred Stock. The Series B and Series A Preferred Stock dividends are payable in preference and in priority to any dividends on common stock.</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preferred stock dividends are payable when, as and if declared by our board of directors. As of December 31, 2015, the board of directors has not declared any dividends.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Series Preferred Stock are entitled to one vote for each share of common stock into which such Series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could then be converted; and with respect to such vote, such holder shall have full voting rights and powers equal to the voting rights and powers of the holders of common stock, except that the holders of the Series B Preferred shares, voting as a separate class, are entitled to elect two members of the board of directors, the holders of the Series A Preferred and common stock shares, each voting as a separate class, are each entitled to elect one member of the board of directors, and the holders of the Preferred and common shares, voting as a single class, are entitled to elect all remaining members of the board of the directors.</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Liquidation Rights. </w:t>
      </w:r>
      <w:r>
        <w:rPr>
          <w:rFonts w:ascii="Arial" w:cs="Arial" w:eastAsia="Arial" w:hAnsi="Arial"/>
          <w:sz w:val="16"/>
          <w:szCs w:val="16"/>
          <w:color w:val="auto"/>
        </w:rPr>
        <w:t>Upon liquidation, dissolution or winding up of the Company, the holders of Preferred Stock are entitled to receive distributions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be paid out of the assets of the Company, before any distributions are made to the holders of common stock. The holders of the Series D are entitled to receive liquidation preference at one (1) times the original issue price of $1.06 per share plus all declared and unpaid dividends. Liquidation payments to the holders of Series D Preferred Stock have priority and are made in preference to any payments to the holders of Series C-1 Preferred Stock. The holders of the Series C-1 are entitled to receive liquidation preference at three (3) times the original issue price of $0.65 per share plus all declared and unpaid dividends. Liquidation payments to the holders of Series C-1 Preferred Stock have priority and are made in preference to any payments to the holders of Series C Preferred Stock. The holders of the Series C Preferred Stock are entitled to receive liquidation preferences at the rate of $0.65 per share plus all declared and unpaid dividends. Liquidation payments to the holders of Series C Preferred Stock have priority and are made in preference to any payments to the holders of Series B Preferred Stock. The holders of the Series B and Series B-1 Preferred Stock are entitled to receive liquidation preferences at the rate of $0.90 per share plus all declared and unpaid dividends and the holders of Series A and Series B-2 Preferred Stock are entitled to receive liquidation preferences at the rate of $1.00 per share plus all declared and unpaid dividends. Liquidation payments to the holders of Series B and Series A Preferred Stock have priority and are made in preference to any payments to the holders of common stock.</w:t>
      </w:r>
    </w:p>
    <w:p>
      <w:pPr>
        <w:spacing w:after="0" w:line="169"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b w:val="1"/>
          <w:bCs w:val="1"/>
          <w:color w:val="auto"/>
        </w:rPr>
        <w:t xml:space="preserve">Conversion Rights. </w:t>
      </w:r>
      <w:r>
        <w:rPr>
          <w:rFonts w:ascii="Arial" w:cs="Arial" w:eastAsia="Arial" w:hAnsi="Arial"/>
          <w:sz w:val="17"/>
          <w:szCs w:val="17"/>
          <w:color w:val="auto"/>
        </w:rPr>
        <w:t>The shares of Series A Preferred Stock are convertible into shares of common stock at a conversion price of $0.90 per share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Series B, C, C-1 and D Preferred Stock are convertible into an equal number of shares of common stock. The shares of Series Preferred Stock are convertible at any time, at the option of the holder, subject to certain antidilutive adjustments. Each share of Series Preferred Stock is automatically converted into common stock (i) upon the affirmative election of the holders of at least a majority of the outstanding shares of the Series Preferred Stock, voting together as a single class on an as if converted basis, or (ii) immediately upon the closing of a firmly underwritten public offering pursuant to an effective registration statement under the Securities Act of 1933, as amended, in which the gross cash proceeds to the Company (before underwriting discounts, commissions and fees) are at least $50.0 million.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11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have authorized 120,500,000 shares of common stock, of which 18,407,054 shares were issued and outstanding at December 31, 2015. Common shares reserved for future issuance upon the exercise, issuance or conversion of the respective equity instruments at December 31, 2015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020" w:type="dxa"/>
            <w:vAlign w:val="bottom"/>
            <w:gridSpan w:val="4"/>
          </w:tcPr>
          <w:p>
            <w:pPr>
              <w:ind w:left="138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80,645,051</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Issued and Outstanding:</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14,351,840</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80" w:type="dxa"/>
            <w:vAlign w:val="bottom"/>
            <w:gridSpan w:val="5"/>
          </w:tcPr>
          <w:p>
            <w:pPr>
              <w:ind w:left="360"/>
              <w:spacing w:after="0"/>
              <w:rPr>
                <w:sz w:val="20"/>
                <w:szCs w:val="20"/>
                <w:color w:val="auto"/>
              </w:rPr>
            </w:pPr>
            <w:r>
              <w:rPr>
                <w:rFonts w:ascii="Arial" w:cs="Arial" w:eastAsia="Arial" w:hAnsi="Arial"/>
                <w:sz w:val="18"/>
                <w:szCs w:val="18"/>
                <w:color w:val="auto"/>
                <w:w w:val="96"/>
              </w:rPr>
              <w:t>Warrants for shares of convertible preferred stock and common stock</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2,885,870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reserved for future award grants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2,302,739</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4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100,185,500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gridSpan w:val="5"/>
            <w:vMerge w:val="restart"/>
          </w:tcPr>
          <w:p>
            <w:pPr>
              <w:spacing w:after="0"/>
              <w:rPr>
                <w:sz w:val="20"/>
                <w:szCs w:val="20"/>
                <w:color w:val="auto"/>
              </w:rPr>
            </w:pPr>
            <w:r>
              <w:rPr>
                <w:rFonts w:ascii="Arial" w:cs="Arial" w:eastAsia="Arial" w:hAnsi="Arial"/>
                <w:sz w:val="18"/>
                <w:szCs w:val="18"/>
                <w:b w:val="1"/>
                <w:bCs w:val="1"/>
                <w:i w:val="1"/>
                <w:iCs w:val="1"/>
                <w:color w:val="auto"/>
              </w:rPr>
              <w:t>Warrants for Shares of Preferred and Common Stock</w:t>
            </w: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80" w:type="dxa"/>
            <w:vAlign w:val="bottom"/>
            <w:gridSpan w:val="5"/>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40" w:type="dxa"/>
            <w:vAlign w:val="bottom"/>
            <w:gridSpan w:val="11"/>
          </w:tcPr>
          <w:p>
            <w:pPr>
              <w:ind w:left="460"/>
              <w:spacing w:after="0"/>
              <w:rPr>
                <w:sz w:val="20"/>
                <w:szCs w:val="20"/>
                <w:color w:val="auto"/>
              </w:rPr>
            </w:pPr>
            <w:r>
              <w:rPr>
                <w:rFonts w:ascii="Arial" w:cs="Arial" w:eastAsia="Arial" w:hAnsi="Arial"/>
                <w:sz w:val="18"/>
                <w:szCs w:val="18"/>
                <w:color w:val="auto"/>
                <w:w w:val="96"/>
              </w:rPr>
              <w:t>A summary of the activity related to our warrants during the year ended December 31, 2015 is as follows:</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400" w:type="dxa"/>
            <w:vAlign w:val="bottom"/>
          </w:tcPr>
          <w:p>
            <w:pPr>
              <w:spacing w:after="0"/>
              <w:rPr>
                <w:sz w:val="24"/>
                <w:szCs w:val="24"/>
                <w:color w:val="auto"/>
              </w:rPr>
            </w:pPr>
          </w:p>
        </w:tc>
        <w:tc>
          <w:tcPr>
            <w:tcW w:w="1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24"/>
                <w:szCs w:val="24"/>
                <w:color w:val="auto"/>
              </w:rPr>
            </w:pP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Warrant</w:t>
            </w: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Subject to</w:t>
            </w:r>
          </w:p>
        </w:tc>
        <w:tc>
          <w:tcPr>
            <w:tcW w:w="26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 per</w:t>
            </w: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Warrants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400" w:type="dxa"/>
            <w:vAlign w:val="bottom"/>
          </w:tcPr>
          <w:p>
            <w:pPr>
              <w:spacing w:after="0"/>
              <w:rPr>
                <w:sz w:val="14"/>
                <w:szCs w:val="14"/>
                <w:color w:val="auto"/>
              </w:rPr>
            </w:pPr>
          </w:p>
        </w:tc>
        <w:tc>
          <w:tcPr>
            <w:tcW w:w="1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40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Warrants to Purchase Shares of Series C Preferred Stock</w:t>
            </w:r>
          </w:p>
        </w:tc>
        <w:tc>
          <w:tcPr>
            <w:tcW w:w="16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Outstanding and exercisable at December 31, 2014 and 2015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2,063,484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1420" w:type="dxa"/>
            <w:vAlign w:val="bottom"/>
            <w:gridSpan w:val="5"/>
          </w:tcPr>
          <w:p>
            <w:pPr>
              <w:jc w:val="right"/>
              <w:ind w:right="260"/>
              <w:spacing w:after="0"/>
              <w:rPr>
                <w:sz w:val="20"/>
                <w:szCs w:val="20"/>
                <w:color w:val="auto"/>
              </w:rPr>
            </w:pPr>
            <w:r>
              <w:rPr>
                <w:rFonts w:ascii="Arial" w:cs="Arial" w:eastAsia="Arial" w:hAnsi="Arial"/>
                <w:sz w:val="18"/>
                <w:szCs w:val="18"/>
                <w:color w:val="auto"/>
              </w:rPr>
              <w:t>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60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Warrants to Purchase Shares of Common Stock</w:t>
            </w: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vMerge w:val="restart"/>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 w:type="dxa"/>
            <w:vAlign w:val="bottom"/>
            <w:vMerge w:val="continue"/>
          </w:tcPr>
          <w:p>
            <w:pPr>
              <w:spacing w:after="0"/>
              <w:rPr>
                <w:sz w:val="20"/>
                <w:szCs w:val="20"/>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Outstanding and exercisable at December 31, 2014 and 2015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822,386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1420" w:type="dxa"/>
            <w:vAlign w:val="bottom"/>
            <w:gridSpan w:val="5"/>
          </w:tcPr>
          <w:p>
            <w:pPr>
              <w:jc w:val="right"/>
              <w:ind w:right="260"/>
              <w:spacing w:after="0"/>
              <w:rPr>
                <w:sz w:val="20"/>
                <w:szCs w:val="20"/>
                <w:color w:val="auto"/>
              </w:rPr>
            </w:pPr>
            <w:r>
              <w:rPr>
                <w:rFonts w:ascii="Arial" w:cs="Arial" w:eastAsia="Arial" w:hAnsi="Arial"/>
                <w:sz w:val="18"/>
                <w:szCs w:val="18"/>
                <w:color w:val="auto"/>
              </w:rPr>
              <w:t>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On April 29, 2015, our stockholders approved an amendment to the Plan which provided for an increase in the number of shares of common stock available for issuance under the plan by 3,810,000 and on July 9, 2015, we amended our 2006 Equity Incentive Plan to increase the number of shares reserved for issuance under the plan by 4,766,852 shares. As of December 31, 2015, awards for up to 16,654,579 shares of common stock are reserved for issuance under the Plan, of which 14,351,840 are reserved for issuance upon exercise of granted and outstanding options and 2,302,739 shares are available for future grants.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year ended December 31, 2015 is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1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 per</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4"/>
                <w:szCs w:val="14"/>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Share</w:t>
            </w: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(in years)</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8,717,585</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7,280,855</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(1,038,840)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0.15</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Forfeitures and cancellations</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(607,760)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0.55</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and exercisable at December 31, 2015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14,351,840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0.57</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Options vested or expected to vest at December 31, 2015</w:t>
            </w:r>
          </w:p>
        </w:tc>
        <w:tc>
          <w:tcPr>
            <w:tcW w:w="138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0.55</w:t>
            </w: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7.9</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line="20" w:lineRule="exact"/>
              <w:rPr>
                <w:sz w:val="1"/>
                <w:szCs w:val="1"/>
                <w:color w:val="auto"/>
              </w:rPr>
            </w:pPr>
          </w:p>
        </w:tc>
      </w:tr>
      <w:tr>
        <w:trPr>
          <w:trHeight w:val="211"/>
        </w:trPr>
        <w:tc>
          <w:tcPr>
            <w:tcW w:w="590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13,373,913</w:t>
            </w:r>
          </w:p>
        </w:tc>
        <w:tc>
          <w:tcPr>
            <w:tcW w:w="5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$0.2 million during the year ended December 31, 2015.</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The estimated fair value of each stock option award was determined on the date of grant using the Black-Scholes option valuation model with the following weighted average assumptions for options granted to employees during the years ended December 31, 2014 and 2015:</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96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volatility</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66.8%</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71.2%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0.15</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0.64</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non-cash stock-based compensation expense for all stock awards that was recognized in the statements of operations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2014</w:t>
            </w: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At December 31, 2015, there was $4.3 million of unrecognized compensation cost related to unvested stock option awards, which is expected to be recognized over a remaining weighted average vesting period of 3.6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 defined-contribution 401(k) plan for our employees. Employees are eligible to participate in the plan beginning on the first day of the month following date of hire. Under the terms of the plan, employees may make voluntary contributions as a percentage of compensation and we have the option to make a discretionary match as determined by the board of directors, within prescribed limits. There were no employer contributions to the plan during the years ended December 31, 2014 or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lease our facility under a non-cancellable operating lease for which we exercised our option to renew for an additional five-year period. The lease now expires in August 2021.</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Rent expense was $0.4 million during the years ended December 31, 2014 and 2015, respectively. At December 31, 2015, deferred rent aggregated $0.1 million, of which $21,000 is included in other current liabilities and $0.1 million is included in noncurrent liabilities in the accompanying consolidated balance sheet. At December 31, 2015, the future minimum annual obligations under non-cancellable operating lease commitments are as follows:</w:t>
      </w:r>
    </w:p>
    <w:p>
      <w:pPr>
        <w:spacing w:after="0" w:line="165"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Years Ending December 31,</w:t>
      </w:r>
    </w:p>
    <w:p>
      <w:pPr>
        <w:spacing w:after="0" w:line="4"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tbl>
      <w:tblPr>
        <w:tblLayout w:type="fixed"/>
        <w:tblInd w:w="18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2017</w:t>
            </w: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2019</w:t>
            </w: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payments required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3,154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entered into collaborative license agreements that provide us with rights to use certain know-how, technology and patent rights maintained by the licensors in our research and development efforts. Terms of the license agreements may require us to make upfront payments, milestone payments upon the achievement of certain product research and development objectives and royalty payments on fees received under our sublicensing arrangements and/or future sales, if any, of commercial products resulting from the collaboration.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Certain of the licensing agreements require guaranteed minimum annual payments. Terms of the licensing agreements generally range from the remaining life of the patent up to 17 years and, in some cases, may be subject to earlier termination by either party upon specified circumstances.</w:t>
      </w:r>
    </w:p>
    <w:p>
      <w:pPr>
        <w:spacing w:after="0" w:line="14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Total expense incurred under all collaborative licensing agreements for upfront, milestone and royalty payments were $0.2 million during each of the years ended December 31, 2014 and 2015. Total cash paid under these agreements was $0.2 million during each of the years ended December 31, 2014 and 2015.</w:t>
      </w:r>
    </w:p>
    <w:p>
      <w:pPr>
        <w:spacing w:after="0" w:line="18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Future minimum annual obligations under all such license agreements were $0.2 million in aggregate. These obligations are payable through ten years from the first commercial sale, if any, or expiration of the last patent to expire, the dates of which are not determinable at this time.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At December 31, 2014 and 2015, we were contingently liable for a standby letter of credit issued by a commercial bank for $85,000 and $60,000, respectively, for security on our lease. A restricted cash account with these amounts was held as cash collateral for the letter of credit.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are, from time to time, involved in legal proceedings, regulatory actions, claims and litigation arising in the ordinary course of business. Currently, we are not a defendant in any lawsuit.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our deferred tax assets and liabilities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16,480</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Total deferred tax assets</w:t>
            </w:r>
          </w:p>
        </w:tc>
        <w:tc>
          <w:tcPr>
            <w:tcW w:w="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20,245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Fixed assets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promissory note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Total deferred tax liabilities</w:t>
            </w:r>
          </w:p>
        </w:tc>
        <w:tc>
          <w:tcPr>
            <w:tcW w:w="9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deferred tax assets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060"/>
              <w:spacing w:after="0"/>
              <w:rPr>
                <w:sz w:val="20"/>
                <w:szCs w:val="20"/>
                <w:color w:val="auto"/>
              </w:rPr>
            </w:pPr>
            <w:r>
              <w:rPr>
                <w:rFonts w:ascii="Arial" w:cs="Arial" w:eastAsia="Arial" w:hAnsi="Arial"/>
                <w:sz w:val="18"/>
                <w:szCs w:val="18"/>
                <w:color w:val="auto"/>
              </w:rPr>
              <w:t>Less: valuation allowance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(18,836)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(20,090)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Deferred tax assets, net of valuation allowance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recorded a full valuation allowance against our net deferred tax assets due to the uncertainty surrounding the realization of such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2015, we had federal and state net operating loss carryforwards (“NOL”) of $34.5 million and $41.5 million, respectively. The federal and state NOLs will begin to expire in 2028 and 2017, respectively, unless previously utilized. At December 31, 2015 we had federal and California research tax credit carryforwards of $1.4 million and $1.7 million, respectively. The federal research tax credit carryforward will begin to expire in 2026 and the California state credits carryforward indefinitely.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above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Our use of federal NOL carryforwards could be limited further by the provisions of Section 382 of the U.S. Internal Revenue Code of 1986, as amended, depending upon the timing and amount of additional equity securities that we have issued or will issue. State NOL carryforwards may be similarly limited.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the expected statutory federal income tax provision to our actual income tax provision:</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expense (benefit) at federal statutory tax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Change in fair value of preferred stock warrant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Return to provision adjustment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Rate differential</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Research credits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Change in the valuation allowance</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2014 and 2015,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2014</w:t>
            </w: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current year tax positions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7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anticipate there will be a significant change in unrecognized tax benefits within the next 12 months.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At December 31, 2014 and 2015, there were no interest or penalties on uncertain tax benefits.</w:t>
      </w:r>
    </w:p>
    <w:p>
      <w:pPr>
        <w:spacing w:after="0" w:line="170"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We file income tax returns in the United States, California and Australia. Due to our losses incurred, we are essentially subject to income tax examination by tax authorities from inception to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evaluated subsequent events from the balance sheet date through February 12, 2016, the date at which the consolidated financial statements were issued.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 Payment</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January 2016, we earned a $4.0 million milestone payment from one of our collaborators. We expect to receive this $4.0 million milestone payment in February 2016.</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40"/>
          </w:cols>
          <w:pgMar w:left="240" w:top="459" w:right="3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 at</w:t>
            </w:r>
          </w:p>
        </w:tc>
        <w:tc>
          <w:tcPr>
            <w:tcW w:w="0" w:type="dxa"/>
            <w:vAlign w:val="bottom"/>
          </w:tcPr>
          <w:p>
            <w:pPr>
              <w:spacing w:after="0"/>
              <w:rPr>
                <w:sz w:val="1"/>
                <w:szCs w:val="1"/>
                <w:color w:val="auto"/>
              </w:rPr>
            </w:pPr>
          </w:p>
        </w:tc>
      </w:tr>
      <w:tr>
        <w:trPr>
          <w:trHeight w:val="171"/>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March 31, 2016</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jc w:val="right"/>
              <w:ind w:right="633"/>
              <w:spacing w:after="0" w:line="142"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jc w:val="center"/>
              <w:ind w:right="290"/>
              <w:spacing w:after="0"/>
              <w:rPr>
                <w:sz w:val="20"/>
                <w:szCs w:val="20"/>
                <w:color w:val="auto"/>
              </w:rPr>
            </w:pPr>
            <w:r>
              <w:rPr>
                <w:rFonts w:ascii="Arial" w:cs="Arial" w:eastAsia="Arial" w:hAnsi="Arial"/>
                <w:sz w:val="18"/>
                <w:szCs w:val="18"/>
                <w:b w:val="1"/>
                <w:bCs w:val="1"/>
                <w:color w:val="auto"/>
                <w:w w:val="94"/>
              </w:rPr>
              <w:t>ASSETS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51,684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8"/>
              </w:rPr>
              <w:t>49,318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Receivable from collaborative partner</w:t>
            </w: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1,226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8"/>
                <w:szCs w:val="18"/>
                <w:color w:val="auto"/>
              </w:rPr>
              <w:t>1,191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870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53,464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51,379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536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2,748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56,280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54,723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20" w:type="dxa"/>
            <w:vAlign w:val="bottom"/>
            <w:shd w:val="clear" w:color="auto" w:fill="CCEEFF"/>
          </w:tcPr>
          <w:p>
            <w:pPr>
              <w:jc w:val="center"/>
              <w:ind w:right="310"/>
              <w:spacing w:after="0" w:line="192" w:lineRule="exact"/>
              <w:rPr>
                <w:sz w:val="20"/>
                <w:szCs w:val="20"/>
                <w:color w:val="auto"/>
              </w:rPr>
            </w:pPr>
            <w:r>
              <w:rPr>
                <w:rFonts w:ascii="Arial" w:cs="Arial" w:eastAsia="Arial" w:hAnsi="Arial"/>
                <w:sz w:val="18"/>
                <w:szCs w:val="18"/>
                <w:b w:val="1"/>
                <w:bCs w:val="1"/>
                <w:color w:val="auto"/>
              </w:rPr>
              <w:t>LIABILITIES, CONVERTIBLE PREFERRED STOCK AND</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7820" w:type="dxa"/>
            <w:vAlign w:val="bottom"/>
            <w:shd w:val="clear" w:color="auto" w:fill="CCEEFF"/>
          </w:tcPr>
          <w:p>
            <w:pPr>
              <w:jc w:val="center"/>
              <w:ind w:right="290"/>
              <w:spacing w:after="0"/>
              <w:rPr>
                <w:sz w:val="20"/>
                <w:szCs w:val="20"/>
                <w:color w:val="auto"/>
              </w:rPr>
            </w:pPr>
            <w:r>
              <w:rPr>
                <w:rFonts w:ascii="Arial" w:cs="Arial" w:eastAsia="Arial" w:hAnsi="Arial"/>
                <w:sz w:val="18"/>
                <w:szCs w:val="18"/>
                <w:b w:val="1"/>
                <w:bCs w:val="1"/>
                <w:color w:val="auto"/>
              </w:rPr>
              <w:t>STOCKHOLDERS’ DEFICIT</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8"/>
                <w:szCs w:val="18"/>
                <w:color w:val="auto"/>
              </w:rPr>
              <w:t>2,779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3,265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Notes payable, current portion</w:t>
            </w:r>
          </w:p>
        </w:tc>
        <w:tc>
          <w:tcPr>
            <w:tcW w:w="2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7,114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4,903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8"/>
                <w:szCs w:val="18"/>
                <w:color w:val="auto"/>
              </w:rPr>
              <w:t>4,534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8"/>
                <w:szCs w:val="18"/>
                <w:color w:val="auto"/>
              </w:rPr>
              <w:t>1,170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20" w:type="dxa"/>
            <w:vAlign w:val="bottom"/>
          </w:tcPr>
          <w:p>
            <w:pPr>
              <w:spacing w:after="0" w:line="201" w:lineRule="exact"/>
              <w:rPr>
                <w:sz w:val="20"/>
                <w:szCs w:val="20"/>
                <w:color w:val="auto"/>
              </w:rPr>
            </w:pPr>
            <w:r>
              <w:rPr>
                <w:rFonts w:ascii="Arial" w:cs="Arial" w:eastAsia="Arial" w:hAnsi="Arial"/>
                <w:sz w:val="18"/>
                <w:szCs w:val="18"/>
                <w:color w:val="auto"/>
              </w:rPr>
              <w:t>Series B convertible preferred stock, $0.001 par value, 27,743 shares authorized, issued and</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outstanding at December 31, 2015 and March 31, 2016; aggregate liquidation preference at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80"/>
              <w:spacing w:after="0"/>
              <w:rPr>
                <w:sz w:val="20"/>
                <w:szCs w:val="20"/>
                <w:color w:val="auto"/>
              </w:rPr>
            </w:pPr>
            <w:r>
              <w:rPr>
                <w:rFonts w:ascii="Arial" w:cs="Arial" w:eastAsia="Arial" w:hAnsi="Arial"/>
                <w:sz w:val="18"/>
                <w:szCs w:val="18"/>
                <w:color w:val="auto"/>
              </w:rPr>
              <w:t>March 31, 2016 of $24,991</w:t>
            </w:r>
          </w:p>
        </w:tc>
        <w:tc>
          <w:tcPr>
            <w:tcW w:w="2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28,220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8"/>
                <w:szCs w:val="18"/>
                <w:color w:val="auto"/>
                <w:w w:val="98"/>
              </w:rPr>
              <w:t>28,220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C convertible preferred stock, $0.001 par value, 13,211 shares authorized, 11,147 shares issued</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and outstanding at December 31, 2015 and March 31, 2016; aggregate liquidation preference at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2016 of $7,246</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6,452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6,452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20" w:type="dxa"/>
            <w:vAlign w:val="bottom"/>
          </w:tcPr>
          <w:p>
            <w:pPr>
              <w:spacing w:after="0" w:line="201" w:lineRule="exact"/>
              <w:rPr>
                <w:sz w:val="20"/>
                <w:szCs w:val="20"/>
                <w:color w:val="auto"/>
              </w:rPr>
            </w:pPr>
            <w:r>
              <w:rPr>
                <w:rFonts w:ascii="Arial" w:cs="Arial" w:eastAsia="Arial" w:hAnsi="Arial"/>
                <w:sz w:val="18"/>
                <w:szCs w:val="18"/>
                <w:color w:val="auto"/>
              </w:rPr>
              <w:t>Series C-1 convertible preferred stock, $0.001 par value, 3,318 shares authorized, issued and</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outstanding at December 31, 2015 and March 31, 2016, respectively; aggregate liquidation</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80"/>
              <w:spacing w:after="0"/>
              <w:rPr>
                <w:sz w:val="20"/>
                <w:szCs w:val="20"/>
                <w:color w:val="auto"/>
              </w:rPr>
            </w:pPr>
            <w:r>
              <w:rPr>
                <w:rFonts w:ascii="Arial" w:cs="Arial" w:eastAsia="Arial" w:hAnsi="Arial"/>
                <w:sz w:val="18"/>
                <w:szCs w:val="18"/>
                <w:color w:val="auto"/>
              </w:rPr>
              <w:t>preference at March 31, 2016 of $6,470</w:t>
            </w:r>
          </w:p>
        </w:tc>
        <w:tc>
          <w:tcPr>
            <w:tcW w:w="2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2,156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8"/>
                <w:szCs w:val="18"/>
                <w:color w:val="auto"/>
              </w:rPr>
              <w:t>2,156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D convertible preferred stock, $0.001 par value, 38,437 shares authorized, issued and</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2015 and March 31, 2016, respectively; aggregate liquidation</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preference at March 31, 2016 of $40,767</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40,688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8"/>
              </w:rPr>
              <w:t>40,688</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$0.001 par value, 120,500 shares authorized, 18,407 shares and 18,447 shares issued</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outstanding at December 31, 2015 and March 31, 2016, respectively; 99,092 issued and</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pro forma, at March 31, 2016</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15,467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8"/>
                <w:szCs w:val="18"/>
                <w:color w:val="auto"/>
                <w:w w:val="98"/>
              </w:rPr>
              <w:t>15,797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94,402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 (equity)</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(50,664)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89"/>
              </w:rPr>
              <w:t>(51,552)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(51,552)</w:t>
            </w:r>
          </w:p>
        </w:tc>
        <w:tc>
          <w:tcPr>
            <w:tcW w:w="0" w:type="dxa"/>
            <w:vAlign w:val="bottom"/>
          </w:tcPr>
          <w:p>
            <w:pPr>
              <w:spacing w:after="0"/>
              <w:rPr>
                <w:sz w:val="1"/>
                <w:szCs w:val="1"/>
                <w:color w:val="auto"/>
              </w:rPr>
            </w:pPr>
          </w:p>
        </w:tc>
      </w:tr>
      <w:tr>
        <w:trPr>
          <w:trHeight w:val="223"/>
        </w:trPr>
        <w:tc>
          <w:tcPr>
            <w:tcW w:w="782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(35,179)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(35,737)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56,280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8"/>
              </w:rPr>
              <w:t>54,723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Three Months Ended</w:t>
      </w:r>
    </w:p>
    <w:p>
      <w:pPr>
        <w:jc w:val="center"/>
        <w:ind w:left="95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6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1,219</w:t>
            </w:r>
          </w:p>
        </w:tc>
        <w:tc>
          <w:tcPr>
            <w:tcW w:w="8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6,005</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1060"/>
              <w:spacing w:after="0"/>
              <w:rPr>
                <w:sz w:val="20"/>
                <w:szCs w:val="20"/>
                <w:color w:val="auto"/>
              </w:rPr>
            </w:pPr>
            <w:r>
              <w:rPr>
                <w:rFonts w:ascii="Arial" w:cs="Arial" w:eastAsia="Arial" w:hAnsi="Arial"/>
                <w:sz w:val="18"/>
                <w:szCs w:val="18"/>
                <w:color w:val="auto"/>
              </w:rPr>
              <w:t>Income (loss) from operations</w:t>
            </w:r>
          </w:p>
        </w:tc>
        <w:tc>
          <w:tcPr>
            <w:tcW w:w="2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(1,139)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income, net</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1060"/>
              <w:spacing w:after="0"/>
              <w:rPr>
                <w:sz w:val="20"/>
                <w:szCs w:val="20"/>
                <w:color w:val="auto"/>
              </w:rPr>
            </w:pPr>
            <w:r>
              <w:rPr>
                <w:rFonts w:ascii="Arial" w:cs="Arial" w:eastAsia="Arial" w:hAnsi="Arial"/>
                <w:sz w:val="18"/>
                <w:szCs w:val="18"/>
                <w:color w:val="auto"/>
              </w:rPr>
              <w:t>Net loss</w:t>
            </w:r>
          </w:p>
        </w:tc>
        <w:tc>
          <w:tcPr>
            <w:tcW w:w="2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per common share:</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Basic and diluted</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(0.05)</w:t>
            </w: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number of shares outstanding:</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Basic and diluted</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17,444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18,403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 forma net loss per common share:</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Basic and diluted</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(0.01)</w:t>
            </w: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 forma weighted-average number of shares outstanding:</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Basic and diluted</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99,048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Three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(888)</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Receivable from collaborative partners</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(1,093)</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(2,056)</w:t>
            </w: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tcPr>
          <w:p>
            <w:pPr>
              <w:spacing w:after="0"/>
              <w:rPr>
                <w:sz w:val="20"/>
                <w:szCs w:val="20"/>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Payments for repurchase of common stock</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Payments for deferred financing costs</w:t>
            </w: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r>
      <w:tr>
        <w:trPr>
          <w:trHeight w:val="223"/>
        </w:trPr>
        <w:tc>
          <w:tcPr>
            <w:tcW w:w="20" w:type="dxa"/>
            <w:vAlign w:val="bottom"/>
          </w:tcPr>
          <w:p>
            <w:pPr>
              <w:spacing w:after="0"/>
              <w:rPr>
                <w:sz w:val="19"/>
                <w:szCs w:val="19"/>
                <w:color w:val="auto"/>
              </w:rPr>
            </w:pPr>
          </w:p>
        </w:tc>
        <w:tc>
          <w:tcPr>
            <w:tcW w:w="9780" w:type="dxa"/>
            <w:vAlign w:val="bottom"/>
          </w:tcPr>
          <w:p>
            <w:pPr>
              <w:ind w:left="1420"/>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(2,581)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(2,366)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22,188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51,684</w:t>
            </w: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19,607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49,318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Amounts accrued for property and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accrued for deferred financing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(“SHM-XEL”),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We currently generate revenue from our collaborative research and development arrangements.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Company and its wholly-owned Australian subsidiary, which was established in March 2015. All intercompany accounts and transactions have been eliminated in consolidation.</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pursuant to the rules and regulations of the Securities and Exchange Commission (“SEC”). Certain information and note disclosures normally included in annual financial statements prepared in accordance with U.S. generally accepted accounting principles (“GAAP”) have been omitted. The accompanying unaudited consolidated financial statements include all known adjustments necessary for a fair presentation of the results of interim periods as required by GAAP. These adjustments consist primarily of normal recurring accruals and estimates that impact the carrying value of assets and liabilities. Actual results may materially differ from these estimates. Operating results for the three months ended March 31, 2016 are not necessarily indicative of the results that may be expected for the year ending December 31, 2016. The financial statements should be read in conjunction with our audited financial statements for the year ended December 31, 2015, included elsewhere in this prospectus.</w:t>
      </w:r>
    </w:p>
    <w:p>
      <w:pPr>
        <w:spacing w:after="0" w:line="167"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and at March 31, 2016, have an accumulated deficit of $51.6 million. Through March 31, 2016, all of our financial support has been provided primarily from the sale of our common and preferred stock, proceeds from the issuance of convertible debt and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consolidated financial statements do not include any adjustments that might be necessary if we are unable to continue as a going concern.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Stockholders’ Equity</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Prior to the closing of the offering contemplated by this prospectus, we expect all of our convertible preferred stock outstanding to convert into shares of common stock at the then applicable conversion rate. The unaudited pro forma stockholders’ equity is based on the assumed conversion of shares of convertible preferred stock outstanding at March 31,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accompanying consolidated financial statements have been prepared in accordance with GAAP. The preparation of consolidated financial statements in conformity with GAAP requires management to make judgments, assumptions and estimates that affect the amounts reported in our consolidated financial statements and accompanying notes. Significant estimates in the consolidated financial statements have been made for preferred stock warrant liabilities and stock-based compensation. Actual results could differ materially from those estimates.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held restricted cash of $60,000 at December 31, 2015 and March 31, 2016, respectively, which we used to secure a letter of credit provided as security for our operating lease for our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of March 31, 2016, we incurred an aggregate of $2.7 million in direct costs related to our anticipated public offering of common stock. These costs were deferred and recorded as a long-term asset at March 31,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900" w:right="80" w:hanging="325"/>
        <w:spacing w:after="0" w:line="258"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License arrangements</w:t>
      </w:r>
      <w:r>
        <w:rPr>
          <w:rFonts w:ascii="Arial" w:cs="Arial" w:eastAsia="Arial" w:hAnsi="Arial"/>
          <w:sz w:val="18"/>
          <w:szCs w:val="18"/>
          <w:color w:val="auto"/>
        </w:rPr>
        <w:t>. The deliverables under our collaboration and license agreements generally include exclusive or nonexclusive licenses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89" w:lineRule="exact"/>
        <w:rPr>
          <w:rFonts w:ascii="Arial" w:cs="Arial" w:eastAsia="Arial" w:hAnsi="Arial"/>
          <w:sz w:val="18"/>
          <w:szCs w:val="18"/>
          <w:color w:val="auto"/>
        </w:rPr>
      </w:pPr>
    </w:p>
    <w:p>
      <w:pPr>
        <w:ind w:left="900" w:right="220" w:hanging="325"/>
        <w:spacing w:after="0" w:line="298"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Services. </w:t>
      </w:r>
      <w:r>
        <w:rPr>
          <w:rFonts w:ascii="Arial" w:cs="Arial" w:eastAsia="Arial" w:hAnsi="Arial"/>
          <w:sz w:val="16"/>
          <w:szCs w:val="16"/>
          <w:color w:val="auto"/>
        </w:rPr>
        <w:t>The deliverables under our collaboration and license arrangements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Australian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($35,000) during the three months ended March 31, 2016.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 and Pro Forma Net Income Per Common Share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income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Basic net income (loss) per common share is computed by dividing net income (loss) attributed to common stockholders by the weighted-average number of common shares outstanding during the period. All participating securities are excluded from basic weighted-average common shares outstanding. In computing diluted net income (loss) attributed to common stockholders, undistributed earnings (if any)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60" w:right="2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2016 or the original issuance date, if later.</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Income</w:t>
            </w:r>
          </w:p>
        </w:tc>
        <w:tc>
          <w:tcPr>
            <w:tcW w:w="156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2"/>
                <w:szCs w:val="12"/>
                <w:color w:val="auto"/>
              </w:rPr>
            </w:pPr>
          </w:p>
        </w:tc>
        <w:tc>
          <w:tcPr>
            <w:tcW w:w="12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9"/>
              </w:rPr>
              <w:t>(Loss)</w:t>
            </w:r>
          </w:p>
        </w:tc>
        <w:tc>
          <w:tcPr>
            <w:tcW w:w="1560" w:type="dxa"/>
            <w:vAlign w:val="bottom"/>
            <w:gridSpan w:val="2"/>
            <w:vMerge w:val="continue"/>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5980" w:type="dxa"/>
            <w:vAlign w:val="bottom"/>
            <w:vMerge w:val="continue"/>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(Numerator)</w:t>
            </w:r>
          </w:p>
        </w:tc>
        <w:tc>
          <w:tcPr>
            <w:tcW w:w="15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(Denominator)</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March 31, 2015</w:t>
            </w: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(376)</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17,444</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(0.02)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(888)</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18,403</w:t>
            </w:r>
          </w:p>
        </w:tc>
        <w:tc>
          <w:tcPr>
            <w:tcW w:w="620" w:type="dxa"/>
            <w:vAlign w:val="bottom"/>
            <w:gridSpan w:val="2"/>
          </w:tcPr>
          <w:p>
            <w:pPr>
              <w:spacing w:after="0"/>
              <w:rPr>
                <w:sz w:val="20"/>
                <w:szCs w:val="20"/>
                <w:color w:val="auto"/>
              </w:rPr>
            </w:pPr>
            <w:r>
              <w:rPr>
                <w:rFonts w:ascii="Arial" w:cs="Arial" w:eastAsia="Arial" w:hAnsi="Arial"/>
                <w:sz w:val="18"/>
                <w:szCs w:val="18"/>
                <w:color w:val="auto"/>
                <w:w w:val="96"/>
              </w:rPr>
              <w:t>$ (0.05)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for the Three Months Ended March 31, 2016 (unaudited)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(888)</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18,403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360"/>
              <w:spacing w:after="0" w:line="201" w:lineRule="exact"/>
              <w:rPr>
                <w:sz w:val="20"/>
                <w:szCs w:val="20"/>
                <w:color w:val="auto"/>
              </w:rPr>
            </w:pPr>
            <w:r>
              <w:rPr>
                <w:rFonts w:ascii="Arial" w:cs="Arial" w:eastAsia="Arial" w:hAnsi="Arial"/>
                <w:sz w:val="18"/>
                <w:szCs w:val="18"/>
                <w:color w:val="auto"/>
              </w:rPr>
              <w:t>Pro forma adjustment to reflect the assumed conversion of convertible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540"/>
              <w:spacing w:after="0"/>
              <w:rPr>
                <w:sz w:val="20"/>
                <w:szCs w:val="20"/>
                <w:color w:val="auto"/>
              </w:rPr>
            </w:pPr>
            <w:r>
              <w:rPr>
                <w:rFonts w:ascii="Arial" w:cs="Arial" w:eastAsia="Arial" w:hAnsi="Arial"/>
                <w:sz w:val="18"/>
                <w:szCs w:val="18"/>
                <w:color w:val="auto"/>
              </w:rPr>
              <w:t>preferred shares</w:t>
            </w:r>
          </w:p>
        </w:tc>
        <w:tc>
          <w:tcPr>
            <w:tcW w:w="1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80,645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 forma basic net loss per common share</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(888)</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99,048</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(0.01)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7100" w:type="dxa"/>
            <w:vAlign w:val="bottom"/>
            <w:gridSpan w:val="2"/>
            <w:vMerge w:val="continue"/>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9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Convertible</w:t>
            </w:r>
          </w:p>
        </w:tc>
        <w:tc>
          <w:tcPr>
            <w:tcW w:w="6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42,208</w:t>
            </w: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80,645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Options to purchase common stock</w:t>
            </w:r>
          </w:p>
        </w:tc>
        <w:tc>
          <w:tcPr>
            <w:tcW w:w="560" w:type="dxa"/>
            <w:vAlign w:val="bottom"/>
          </w:tcPr>
          <w:p>
            <w:pPr>
              <w:jc w:val="right"/>
              <w:spacing w:after="0"/>
              <w:rPr>
                <w:sz w:val="20"/>
                <w:szCs w:val="20"/>
                <w:color w:val="auto"/>
              </w:rPr>
            </w:pPr>
            <w:r>
              <w:rPr>
                <w:rFonts w:ascii="Arial" w:cs="Arial" w:eastAsia="Arial" w:hAnsi="Arial"/>
                <w:sz w:val="18"/>
                <w:szCs w:val="18"/>
                <w:color w:val="auto"/>
              </w:rPr>
              <w:t>8,602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to purchase preferred stock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00" w:type="dxa"/>
            <w:vAlign w:val="bottom"/>
            <w:gridSpan w:val="2"/>
          </w:tcPr>
          <w:p>
            <w:pPr>
              <w:spacing w:after="0"/>
              <w:rPr>
                <w:sz w:val="20"/>
                <w:szCs w:val="20"/>
                <w:color w:val="auto"/>
              </w:rPr>
            </w:pPr>
            <w:r>
              <w:rPr>
                <w:rFonts w:ascii="Arial" w:cs="Arial" w:eastAsia="Arial" w:hAnsi="Arial"/>
                <w:sz w:val="18"/>
                <w:szCs w:val="18"/>
                <w:color w:val="auto"/>
              </w:rPr>
              <w:t>Warrants to purchase common stock</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3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53,696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 May 2014, the Financial Accounting Standards Board (the “FASB”) issued Accounting Standards Update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which outlines a single comprehensive model for entities to use in accounting for revenue from contracts with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supersedes most current revenue 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19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which intends to enhance the reporting model for financial instruments by providing users of financial instruments with more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are currently assessing the impact that this standard will have on our consolidated financial statements.</w:t>
      </w:r>
    </w:p>
    <w:p>
      <w:pPr>
        <w:spacing w:after="0" w:line="17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assessing the impact that this standard will have on our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is intended to simplify the accounting for share-based payments including forfeiture rates, expected option terms, intrinsic value,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 they relate to awards, and cash flow presentation. ASU 2016-09 becomes effective for our annual reporting period beginning January 1, 2017, including interim periods thereafter; early adoption is permitted. We are currently assessing the impact that this standard will have on our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Accounts and Supplemental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thousands)</w:t>
            </w:r>
          </w:p>
        </w:tc>
        <w:tc>
          <w:tcPr>
            <w:tcW w:w="2440" w:type="dxa"/>
            <w:vAlign w:val="bottom"/>
            <w:gridSpan w:val="6"/>
          </w:tcPr>
          <w:p>
            <w:pPr>
              <w:ind w:left="124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6"/>
          </w:tcPr>
          <w:p>
            <w:pPr>
              <w:jc w:val="center"/>
              <w:ind w:left="79"/>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6580" w:type="dxa"/>
            <w:vAlign w:val="bottom"/>
            <w:gridSpan w:val="2"/>
            <w:vMerge w:val="continue"/>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553</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4,134</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(3,583)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(3,640)</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12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1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58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80" w:type="dxa"/>
            <w:vAlign w:val="bottom"/>
            <w:gridSpan w:val="2"/>
          </w:tcPr>
          <w:p>
            <w:pPr>
              <w:ind w:left="460"/>
              <w:spacing w:after="0"/>
              <w:rPr>
                <w:sz w:val="20"/>
                <w:szCs w:val="20"/>
                <w:color w:val="auto"/>
              </w:rPr>
            </w:pPr>
            <w:r>
              <w:rPr>
                <w:rFonts w:ascii="Arial" w:cs="Arial" w:eastAsia="Arial" w:hAnsi="Arial"/>
                <w:sz w:val="18"/>
                <w:szCs w:val="18"/>
                <w:color w:val="auto"/>
              </w:rPr>
              <w:t>Accrued expenses consist of the following:</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58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24"/>
                <w:szCs w:val="24"/>
                <w:color w:val="auto"/>
              </w:rPr>
            </w:pPr>
          </w:p>
        </w:tc>
        <w:tc>
          <w:tcPr>
            <w:tcW w:w="120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4"/>
                <w:szCs w:val="24"/>
                <w:color w:val="auto"/>
              </w:rPr>
            </w:pPr>
          </w:p>
        </w:tc>
        <w:tc>
          <w:tcPr>
            <w:tcW w:w="7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6580" w:type="dxa"/>
            <w:vAlign w:val="bottom"/>
            <w:gridSpan w:val="2"/>
            <w:vMerge w:val="continue"/>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12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14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2,753</w:t>
            </w:r>
          </w:p>
        </w:tc>
        <w:tc>
          <w:tcPr>
            <w:tcW w:w="3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Collaborative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Collaboration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an Amendment No. 1 to the Agreement to add an antibody discovery program against a fourth target for an upfront license fee of $2.0 million.</w:t>
      </w:r>
    </w:p>
    <w:p>
      <w:pPr>
        <w:spacing w:after="0" w:line="18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will be recognized has been extended through December 31, 2016.</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During the year ended December 31, 2015, we achieved two $1.0 million milestones upon initiation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under the principles of good laboratory practice, using the AnaptysBio-generated anti-PD-1 antagonist antibody (TSR-042) and the AnaptysBio-generated anti-TIM-3 antagonist antibody (TSR-022), each being advanced by TESARO, for which we recognized revenue of $1.7 million. The remaining unrecognized milestone payments of $0.3 million at December 31, 2015 will be recognized ratably through December 2016, for which $77,000 was recognized during the three months ended March 31, 2016. In January 2016, TESARO received clearance of their IND from the FDA for the AnaptysBio-generated anti-PD-1 antagonist antibody product candidate resulting in us earning a $4.0 million milestone payment. We recognized $2.9 million of the $4.0 million milestone payment as revenue during the three months ended March 31, 2016. The remaining unrecognized milestone payment of $1.1 million at March 31, 2016 will be recognized ratably through December 31, 2016. The $4.0 million milestone payment was received in February 2016. Revenue from future contingent milestone payments will be recognized if and when such payments become due, subject to satisfaction of all of the criteria necessary to recognize revenue at that time.</w:t>
      </w:r>
    </w:p>
    <w:p>
      <w:pPr>
        <w:spacing w:after="0" w:line="16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Revenue recognized under this agreement aggregated $4.1 million during the three months ended March 31, 2015, which includes $2.5 million for the amortization of the upfront fee and $1.6 million in funding for research and development services. Revenue recognized under this agreement aggregated $4.9 million during the three months ended March 31, 2016, which includes $2.9 million for a milestone earned, $1.2 million in funding for research and development services, and $0.7 million for the amortization of the upfront fee, of which $1.2 million was receivable at March 31, 2016. Deferred revenue under this agreement totaled $3.3 million at March 31,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 and Convertible Promissory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24, 2014, we entered into a Loan and Security Agreement (the “LSA Agreement”) with a bank and a financial institution whereby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borrow up to $15.0 million in three separate draws of $5.0 million each. The Term A Loans, for an aggregate of $5.0 million, were drawn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24, 2014. The Term B Loans for an aggregate of $5.0 million were available for draw through December 31, 2015, contingent upon our first multi-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dose PK/toxicology studies on at least two development programs and the Term C Loans for an aggregate of $5.0 million are available for draw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contingent upon receiving FDA approval on IND submission on at least two development programs. The Term A Loans each bear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fixed rate of interest of 6.97%.</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January 2016, the LSA Agreement was amended (the “LSA Amendment”) to combine Term B Loans and Term C Loans for a total of $10.0 million available for draw and delay the beginning of our Term A Loans’ principal repayments from February 1, 2016 until February 1, 2017. The Term B Loans and Term C Loans are available for draw upon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and (ii) July 1, 2016. The draw period will end upon the earlier of (i) an event of default as defined in the LSA Agreement and</w:t>
      </w:r>
    </w:p>
    <w:p>
      <w:pPr>
        <w:spacing w:after="0" w:line="2" w:lineRule="exact"/>
        <w:rPr>
          <w:sz w:val="20"/>
          <w:szCs w:val="20"/>
          <w:color w:val="auto"/>
        </w:rPr>
      </w:pPr>
    </w:p>
    <w:p>
      <w:pPr>
        <w:ind w:right="100" w:firstLine="8"/>
        <w:spacing w:after="0" w:line="302" w:lineRule="auto"/>
        <w:tabs>
          <w:tab w:leader="none" w:pos="26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December 31, 2016. If the Term B Loans and Term C Loans are issued, they will bear interest at the greater of 6.95% or the 3-month LIBOR plus 6.72%, with principal payments beginning February 1, 2017 and with final maturity in January 2019. At March 31, 2016, the Term A Loans are due in 10 monthly interest-only payments through January 2017, followed by 24 equal monthly principal and interest payments, with final maturity in January 2019.</w:t>
      </w:r>
    </w:p>
    <w:p>
      <w:pPr>
        <w:spacing w:after="0" w:line="15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March 31, 2016, the carrying amount of the Term A Loans was $4.9 million, which is net of discounts of $75,000, of which $0.4 million is classified as current liabilities, and $4.5 million is classified as noncurrent liabilities at March 31, 2016. The effective interest rate on the Term A Loans at March 31, 2016 was 9.29%. As of March 31, 2016, future principal maturities of the Term A Loans were $2.2 million, $2.6 million and $0.2 million in 2017, 2018 and 2019,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Term A Loans are secured by a first priority interest in most of our assets, excluding intellectual property. At March 31, 2016, we were in compliance with the covenants contained in the Loan and Security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134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Prices for</w:t>
            </w: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3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1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900" w:type="dxa"/>
            <w:vAlign w:val="bottom"/>
            <w:gridSpan w:val="4"/>
            <w:vMerge w:val="continue"/>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At December 31, 2015</w:t>
            </w:r>
          </w:p>
        </w:tc>
        <w:tc>
          <w:tcPr>
            <w:tcW w:w="220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6,755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6,755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44,077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44,077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At March 31, 2016</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31,771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31,771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17,509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17,509</w:t>
            </w:r>
          </w:p>
        </w:tc>
        <w:tc>
          <w:tcPr>
            <w:tcW w:w="10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Preferred stock warrant liabilities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1,170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5"/>
          <w:szCs w:val="15"/>
          <w:color w:val="auto"/>
        </w:rPr>
      </w:pPr>
      <w:r>
        <w:rPr>
          <w:rFonts w:ascii="Arial" w:cs="Arial" w:eastAsia="Arial" w:hAnsi="Arial"/>
          <w:sz w:val="18"/>
          <w:szCs w:val="18"/>
          <w:color w:val="auto"/>
        </w:rPr>
        <w:t>Included in cash and cash equivalents in the accompanying balance sheets.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134"/>
        </w:numPr>
        <w:rPr>
          <w:rFonts w:ascii="Arial" w:cs="Arial" w:eastAsia="Arial" w:hAnsi="Arial"/>
          <w:sz w:val="15"/>
          <w:szCs w:val="15"/>
          <w:color w:val="auto"/>
        </w:rPr>
      </w:pPr>
      <w:r>
        <w:rPr>
          <w:rFonts w:ascii="Arial" w:cs="Arial" w:eastAsia="Arial" w:hAnsi="Arial"/>
          <w:sz w:val="18"/>
          <w:szCs w:val="18"/>
          <w:color w:val="auto"/>
        </w:rPr>
        <w:t>Included in cash and cash equivalents, and restricted cash in the accompanying balance sheets.</w:t>
      </w:r>
    </w:p>
    <w:p>
      <w:pPr>
        <w:spacing w:after="0" w:line="21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3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0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preferred stock</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Exercise price</w:t>
            </w:r>
          </w:p>
        </w:tc>
        <w:tc>
          <w:tcPr>
            <w:tcW w:w="12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0.65</w:t>
            </w:r>
          </w:p>
        </w:tc>
        <w:tc>
          <w:tcPr>
            <w:tcW w:w="5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Volatility</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81.0%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85.1%</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measurement date fair value per share</w:t>
            </w:r>
          </w:p>
        </w:tc>
        <w:tc>
          <w:tcPr>
            <w:tcW w:w="1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5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2015 and March 31, 2016 would result in increases in the estimated fair values of the preferred stock warrant liabilities of $0.2 million for each period.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20"/>
          </w:cols>
          <w:pgMar w:left="240" w:top="459" w:right="3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6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Preferred Stock Warrant Liabilities: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Beginning balance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(569)</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(losses) income included in 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(1,182</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(1,170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financial instruments estimated as of December 31, 2015 and March 31, 2016 are presented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82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Pr>
          <w:p>
            <w:pPr>
              <w:spacing w:after="0"/>
              <w:rPr>
                <w:sz w:val="14"/>
                <w:szCs w:val="14"/>
                <w:color w:val="auto"/>
              </w:rPr>
            </w:pPr>
          </w:p>
        </w:tc>
        <w:tc>
          <w:tcPr>
            <w:tcW w:w="1660" w:type="dxa"/>
            <w:vAlign w:val="bottom"/>
            <w:gridSpan w:val="4"/>
          </w:tcPr>
          <w:p>
            <w:pPr>
              <w:ind w:left="300"/>
              <w:spacing w:after="0"/>
              <w:rPr>
                <w:sz w:val="20"/>
                <w:szCs w:val="20"/>
                <w:color w:val="auto"/>
              </w:rPr>
            </w:pPr>
            <w:r>
              <w:rPr>
                <w:rFonts w:ascii="Arial" w:cs="Arial" w:eastAsia="Arial" w:hAnsi="Arial"/>
                <w:sz w:val="14"/>
                <w:szCs w:val="14"/>
                <w:b w:val="1"/>
                <w:bCs w:val="1"/>
                <w:color w:val="auto"/>
              </w:rPr>
              <w:t>March 31, 2016</w:t>
            </w:r>
          </w:p>
        </w:tc>
      </w:tr>
      <w:tr>
        <w:trPr>
          <w:trHeight w:val="119"/>
        </w:trPr>
        <w:tc>
          <w:tcPr>
            <w:tcW w:w="678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678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$ 4,903</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$4,686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$ 4,925</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$4,616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460" w:firstLine="456"/>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accounts payable, and accrued expenses approximate fair value due to their short-term nature.</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the Company’s financial instruments for which it is practicable to estimate that value:</w:t>
      </w:r>
    </w:p>
    <w:p>
      <w:pPr>
        <w:spacing w:after="0" w:line="62"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i w:val="1"/>
          <w:iCs w:val="1"/>
          <w:color w:val="auto"/>
        </w:rPr>
        <w:t>Notes Payable</w:t>
      </w:r>
      <w:r>
        <w:rPr>
          <w:rFonts w:ascii="Arial" w:cs="Arial" w:eastAsia="Arial" w:hAnsi="Arial"/>
          <w:sz w:val="17"/>
          <w:szCs w:val="17"/>
          <w:color w:val="auto"/>
        </w:rPr>
        <w:t>—We use the income approach to value the aforementioned debt instrument. We use a present value calculation to discount principal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payments and the final maturity payment on these liabilities using a discounted cash flow model based on observable inputs. The Company discounts these debt instruments based on what the current market rates would offer the Company as of the reporting date. Based on the assumptions used to value these liabilities at fair value, these debt instruments are categorized as Level 2 in the fair value hierarchy.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Common Stock</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Certain stock option grants under our 2006 Equity Incentive Plan (the “Plan”) are subject to an early exercise provision. Shares of common stock obtained upon early exercise of unvested options are subject to repurchase by the Company at the applicable original issue price. During the three months ended March 31, 2016, the Company repurchased 10,199 shares of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As of March 31, 2016, awards for up to 16,614,397 shares of common stock are reserved for issuance under the Plan, of which 14,107,284 are reserved for issuance upon exercise of granted and outstanding options and 2,507,113 shares are available for future grants.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three months ended March 31, 2016 is as follows: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Shares</w:t>
            </w:r>
          </w:p>
        </w:tc>
        <w:tc>
          <w:tcPr>
            <w:tcW w:w="11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 per</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4"/>
                <w:szCs w:val="14"/>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Share</w:t>
            </w: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(in years)</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14,351,840</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Exercises</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(50,381)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0.19</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Forfeitures and cancellations</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(194,175)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0.99</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360"/>
              <w:spacing w:after="0"/>
              <w:rPr>
                <w:sz w:val="20"/>
                <w:szCs w:val="20"/>
                <w:color w:val="auto"/>
              </w:rPr>
            </w:pPr>
            <w:r>
              <w:rPr>
                <w:rFonts w:ascii="Arial" w:cs="Arial" w:eastAsia="Arial" w:hAnsi="Arial"/>
                <w:sz w:val="18"/>
                <w:szCs w:val="18"/>
                <w:color w:val="auto"/>
              </w:rPr>
              <w:t>Outstanding and exercisable at March 31, 2016</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14,107,284</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0.57</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7.77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5,187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or expected to vest at March 31, 2016</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12,553,747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0.56</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approximately $9,000 during the three months ended March 31, 2016.</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0 stock options granted in each of the three months ended March 31, 2015 and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non-cash stock-based compensation expense for all stock awards that was recognized in the statements of operations is as follows: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gridSpan w:val="2"/>
            <w:vMerge w:val="continue"/>
          </w:tcPr>
          <w:p>
            <w:pPr>
              <w:spacing w:after="0"/>
              <w:rPr>
                <w:sz w:val="12"/>
                <w:szCs w:val="12"/>
                <w:color w:val="auto"/>
              </w:rPr>
            </w:pPr>
          </w:p>
        </w:tc>
        <w:tc>
          <w:tcPr>
            <w:tcW w:w="2460" w:type="dxa"/>
            <w:vAlign w:val="bottom"/>
          </w:tcPr>
          <w:p>
            <w:pPr>
              <w:spacing w:after="0"/>
              <w:rPr>
                <w:sz w:val="12"/>
                <w:szCs w:val="12"/>
                <w:color w:val="auto"/>
              </w:rPr>
            </w:pPr>
          </w:p>
        </w:tc>
        <w:tc>
          <w:tcPr>
            <w:tcW w:w="460" w:type="dxa"/>
            <w:vAlign w:val="bottom"/>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4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At March 31, 2016, there was $3.4 million of unrecognized compensation cost related to unvested stock option awards, which is expected to be recognized over a remaining weighted average vesting period of 3.0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evaluated subsequent events from the balance sheet date through May 10, 2016, the date at which the consolidated financial statements were issued.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240" w:top="460"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685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74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340360</wp:posOffset>
            </wp:positionV>
            <wp:extent cx="2118360" cy="5918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183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2959"/>
        <w:spacing w:after="0"/>
        <w:rPr>
          <w:sz w:val="20"/>
          <w:szCs w:val="20"/>
          <w:color w:val="auto"/>
        </w:rPr>
      </w:pPr>
      <w:r>
        <w:rPr>
          <w:rFonts w:ascii="Arial" w:cs="Arial" w:eastAsia="Arial" w:hAnsi="Arial"/>
          <w:sz w:val="43"/>
          <w:szCs w:val="43"/>
          <w:b w:val="1"/>
          <w:bCs w:val="1"/>
          <w:color w:val="auto"/>
        </w:rPr>
        <w:t>AnaptysBio, Inc.</w:t>
      </w:r>
    </w:p>
    <w:p>
      <w:pPr>
        <w:spacing w:after="0" w:line="200" w:lineRule="exact"/>
        <w:rPr>
          <w:sz w:val="20"/>
          <w:szCs w:val="20"/>
          <w:color w:val="auto"/>
        </w:rPr>
      </w:pPr>
    </w:p>
    <w:p>
      <w:pPr>
        <w:spacing w:after="0" w:line="258"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381000</wp:posOffset>
            </wp:positionV>
            <wp:extent cx="151765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80"/>
        <w:spacing w:after="0"/>
        <w:rPr>
          <w:sz w:val="20"/>
          <w:szCs w:val="20"/>
          <w:color w:val="auto"/>
        </w:rPr>
      </w:pPr>
      <w:r>
        <w:rPr>
          <w:rFonts w:ascii="Arial" w:cs="Arial" w:eastAsia="Arial" w:hAnsi="Arial"/>
          <w:sz w:val="21"/>
          <w:szCs w:val="2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Credit Suisse</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Stifel</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JMP Securities</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and the FINRA filing fee:</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r>
      <w:tr>
        <w:trPr>
          <w:trHeight w:val="149"/>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Paid or</w:t>
            </w:r>
          </w:p>
        </w:tc>
      </w:tr>
      <w:tr>
        <w:trPr>
          <w:trHeight w:val="171"/>
        </w:trPr>
        <w:tc>
          <w:tcPr>
            <w:tcW w:w="704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to be Paid</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13,438</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Blue sky qualification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To be completed by amendment.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permitted by the Delaware General Corporation Law, the Registrant’s restated certificate of incorporation to be effective in connection with the closing of this offering contains provisions that eliminate the personal liability of its directors for monetary damages for any breach of fiduciary duties as a director, except liability for the following:</w:t>
      </w:r>
    </w:p>
    <w:p>
      <w:pPr>
        <w:spacing w:after="0" w:line="87" w:lineRule="exact"/>
        <w:rPr>
          <w:sz w:val="20"/>
          <w:szCs w:val="20"/>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permitted by the Delaware General Corporation Law, the Registrant’s restated bylaws to be effective upon the closing of this offering, provide that:</w:t>
      </w:r>
    </w:p>
    <w:p>
      <w:pPr>
        <w:spacing w:after="0" w:line="154" w:lineRule="exact"/>
        <w:rPr>
          <w:sz w:val="20"/>
          <w:szCs w:val="20"/>
          <w:color w:val="auto"/>
        </w:rPr>
      </w:pPr>
    </w:p>
    <w:p>
      <w:pPr>
        <w:ind w:left="900" w:right="240" w:hanging="325"/>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Delaware General Corporation Law;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325"/>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closing of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Section 9 of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Reference is made to the following documents filed as exhibits to this Registration Statement regarding relevant indemnification provisions described above and elsewhere herein:</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Exhibit Document</w:t>
            </w:r>
          </w:p>
        </w:tc>
        <w:tc>
          <w:tcPr>
            <w:tcW w:w="1140" w:type="dxa"/>
            <w:vAlign w:val="bottom"/>
            <w:gridSpan w:val="3"/>
          </w:tcPr>
          <w:p>
            <w:pPr>
              <w:ind w:left="5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52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w w:val="99"/>
              </w:rPr>
              <w:t>Form of Restated Certificate of Incorporation to be effective upon the closing of this</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offering.</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Restated Bylaws to be effective upon the closing of this offering.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w w:val="98"/>
              </w:rPr>
              <w:t>Amended and Restated Investors’ Rights Agreement dated July 13, 2015 among the</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Registrant and certain of its stockholders, as amended.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Indemnification Agreement.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lists set forth information regarding all securities sold or granted by us within the past three years that were not registered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and the consideration, if any, received by us for such securities: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Stock Option Grants</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Between May 10, 2013 and May 10, 2016, the Registrant granted options to purchase 9,559,891 shares of common stock under our 2006 Equity Incentive Plan to our directors, officers, employees, consultants, and other service providers with per share exercise prices ranging from $0.10 to $1.22. In this same period, the Registrant issued 1,111,236 shares of common stock upon exercise of stock options previously issued under the 2006 Equity Incentive Plan to our directors, officers, employees, consultants, and other service providers for cash consideration in the aggregate amount of $173,396. The stock options and the common stock issuable upon the exercise of such options as described in this section (a) of Item 15 were issued pursuant to written compensatory plans or arrangements with the Company’s employees and directors in reliance on the exemption provided by Rule 701 promulgated under the Securities Act. All recipients either received adequate information about the Company or had access, through employment or other relationships, to such information.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Warrants to Purchase Common Stock</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August 2013, the Registrant issued a warrant to an accredited investor to purchase 822,386 shares of Registrant’s common stock. The common stock warrant has a per share exercise price of $0.65. The securities issued in this transaction were exempt from the registration requirements of the Securities Act in reliance upon Section 4(2) under the Securities Act.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Warrants to Purchase Preferred Stock</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In December 2014, the Registrant issued warrants to accredited investors to purchase an aggregate of 288,462 shares of the Registrant’s Series C convertible preferred stock. The preferred stock warrants have a per share exercise price of $0.65. The securities issued in this transaction were exempt from the registration requirements of the Securities Act in reliance upon Section 4(2) under the Securities Act.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Sales of Preferred Stock</w:t>
      </w:r>
    </w:p>
    <w:p>
      <w:pPr>
        <w:spacing w:after="0" w:line="117" w:lineRule="exact"/>
        <w:rPr>
          <w:sz w:val="20"/>
          <w:szCs w:val="20"/>
          <w:color w:val="auto"/>
        </w:rPr>
      </w:pPr>
    </w:p>
    <w:p>
      <w:pPr>
        <w:jc w:val="both"/>
        <w:ind w:firstLine="464"/>
        <w:spacing w:after="0" w:line="259" w:lineRule="auto"/>
        <w:tabs>
          <w:tab w:leader="none" w:pos="6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August 2013, the Registrant issued an aggregate of 14,258,530 shares of Registrant’s common stock to an accredited investor upon the conversion of 3,000,000 previously-held shares of Series A convertible preferred stock and 6,019,065 previously-held shares of Series B convertible preferred stock. The securities issued in this transaction were exempt from the registration requirements of the Securities Act in reliance upon on Rule 506 promulgated under the Securities Act.</w:t>
      </w:r>
    </w:p>
    <w:p>
      <w:pPr>
        <w:spacing w:after="0" w:line="78" w:lineRule="exact"/>
        <w:rPr>
          <w:rFonts w:ascii="Arial" w:cs="Arial" w:eastAsia="Arial" w:hAnsi="Arial"/>
          <w:sz w:val="18"/>
          <w:szCs w:val="18"/>
          <w:color w:val="auto"/>
        </w:rPr>
      </w:pPr>
    </w:p>
    <w:p>
      <w:pPr>
        <w:ind w:right="20" w:firstLine="464"/>
        <w:spacing w:after="0" w:line="259" w:lineRule="auto"/>
        <w:tabs>
          <w:tab w:leader="none" w:pos="6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April 2014, the Registrant issued an aggregate of 3,318,054 shares of the Registrant’s Series C-1 convertible preferred stock at a purchase price of $0.65 per share for an aggregate purchase price of $2.2 million to 12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78" w:lineRule="exact"/>
        <w:rPr>
          <w:rFonts w:ascii="Arial" w:cs="Arial" w:eastAsia="Arial" w:hAnsi="Arial"/>
          <w:sz w:val="18"/>
          <w:szCs w:val="18"/>
          <w:color w:val="auto"/>
        </w:rPr>
      </w:pPr>
    </w:p>
    <w:p>
      <w:pPr>
        <w:jc w:val="both"/>
        <w:ind w:right="20" w:firstLine="464"/>
        <w:spacing w:after="0" w:line="259" w:lineRule="auto"/>
        <w:tabs>
          <w:tab w:leader="none" w:pos="6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July 2015, the Registrant issued an aggregate of 38,436,851 shares of the Registrant’s Series D convertible preferred stock at a purchase price of $1.06 per share for an aggregate purchase price of $40.8 million to 19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Index immediately following signature page.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financial statement schedules are provided because the information called for is not required or is shown either in the financial statements or notes.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right="120" w:firstLine="464"/>
        <w:spacing w:after="0" w:line="264" w:lineRule="auto"/>
        <w:tabs>
          <w:tab w:leader="none" w:pos="70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3" w:lineRule="exact"/>
        <w:rPr>
          <w:rFonts w:ascii="Arial" w:cs="Arial" w:eastAsia="Arial" w:hAnsi="Arial"/>
          <w:sz w:val="18"/>
          <w:szCs w:val="18"/>
          <w:color w:val="auto"/>
        </w:rPr>
      </w:pPr>
    </w:p>
    <w:p>
      <w:pPr>
        <w:ind w:right="240" w:firstLine="464"/>
        <w:spacing w:after="0" w:line="264" w:lineRule="auto"/>
        <w:tabs>
          <w:tab w:leader="none" w:pos="71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Pursuant to the requirements of the Securities Act, the Registrant has duly caused this amendment to the registration statement on Form S-1 to be signed on its behalf by the undersigned, thereunto duly authorized, in San Diego, California, on the 10th day of May, 2016.</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2500" w:type="dxa"/>
            <w:vAlign w:val="bottom"/>
          </w:tcPr>
          <w:p>
            <w:pPr>
              <w:spacing w:after="0"/>
              <w:rPr>
                <w:sz w:val="16"/>
                <w:szCs w:val="16"/>
                <w:color w:val="auto"/>
              </w:rPr>
            </w:pPr>
          </w:p>
        </w:tc>
        <w:tc>
          <w:tcPr>
            <w:tcW w:w="2560" w:type="dxa"/>
            <w:vAlign w:val="bottom"/>
            <w:gridSpan w:val="2"/>
          </w:tcPr>
          <w:p>
            <w:pPr>
              <w:jc w:val="center"/>
              <w:ind w:right="2280"/>
              <w:spacing w:after="0"/>
              <w:rPr>
                <w:sz w:val="20"/>
                <w:szCs w:val="20"/>
                <w:color w:val="auto"/>
              </w:rPr>
            </w:pPr>
            <w:r>
              <w:rPr>
                <w:rFonts w:ascii="Arial" w:cs="Arial" w:eastAsia="Arial" w:hAnsi="Arial"/>
                <w:sz w:val="14"/>
                <w:szCs w:val="14"/>
                <w:b w:val="1"/>
                <w:bCs w:val="1"/>
                <w:color w:val="auto"/>
                <w:w w:val="97"/>
              </w:rPr>
              <w:t>Title</w:t>
            </w:r>
          </w:p>
        </w:tc>
        <w:tc>
          <w:tcPr>
            <w:tcW w:w="172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Hamza Suria</w:t>
            </w:r>
          </w:p>
        </w:tc>
        <w:tc>
          <w:tcPr>
            <w:tcW w:w="5060" w:type="dxa"/>
            <w:vAlign w:val="bottom"/>
            <w:gridSpan w:val="3"/>
          </w:tcPr>
          <w:p>
            <w:pPr>
              <w:jc w:val="center"/>
              <w:ind w:left="130"/>
              <w:spacing w:after="0"/>
              <w:rPr>
                <w:sz w:val="20"/>
                <w:szCs w:val="20"/>
                <w:color w:val="auto"/>
              </w:rPr>
            </w:pPr>
            <w:r>
              <w:rPr>
                <w:rFonts w:ascii="Arial" w:cs="Arial" w:eastAsia="Arial" w:hAnsi="Arial"/>
                <w:sz w:val="18"/>
                <w:szCs w:val="18"/>
                <w:color w:val="auto"/>
                <w:w w:val="92"/>
              </w:rPr>
              <w:t>President, Chief Executive Officer and Director</w:t>
            </w:r>
          </w:p>
        </w:tc>
        <w:tc>
          <w:tcPr>
            <w:tcW w:w="1720" w:type="dxa"/>
            <w:vAlign w:val="bottom"/>
            <w:gridSpan w:val="3"/>
          </w:tcPr>
          <w:p>
            <w:pPr>
              <w:jc w:val="center"/>
              <w:ind w:left="612"/>
              <w:spacing w:after="0"/>
              <w:rPr>
                <w:sz w:val="20"/>
                <w:szCs w:val="20"/>
                <w:color w:val="auto"/>
              </w:rPr>
            </w:pPr>
            <w:r>
              <w:rPr>
                <w:rFonts w:ascii="Arial" w:cs="Arial" w:eastAsia="Arial" w:hAnsi="Arial"/>
                <w:sz w:val="18"/>
                <w:szCs w:val="18"/>
                <w:color w:val="auto"/>
                <w:w w:val="93"/>
              </w:rPr>
              <w:t>May 10,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8"/>
              </w:rPr>
              <w:t>Hamza Suria</w:t>
            </w:r>
          </w:p>
        </w:tc>
        <w:tc>
          <w:tcPr>
            <w:tcW w:w="5060" w:type="dxa"/>
            <w:vAlign w:val="bottom"/>
            <w:gridSpan w:val="3"/>
          </w:tcPr>
          <w:p>
            <w:pPr>
              <w:jc w:val="center"/>
              <w:ind w:left="150"/>
              <w:spacing w:after="0"/>
              <w:rPr>
                <w:sz w:val="20"/>
                <w:szCs w:val="20"/>
                <w:color w:val="auto"/>
              </w:rPr>
            </w:pPr>
            <w:r>
              <w:rPr>
                <w:rFonts w:ascii="Arial" w:cs="Arial" w:eastAsia="Arial" w:hAnsi="Arial"/>
                <w:sz w:val="18"/>
                <w:szCs w:val="18"/>
                <w:color w:val="auto"/>
                <w:w w:val="94"/>
              </w:rPr>
              <w:t>(Principal Executive Officer)</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2"/>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Chief Financial Officer</w:t>
            </w:r>
          </w:p>
        </w:tc>
        <w:tc>
          <w:tcPr>
            <w:tcW w:w="1720" w:type="dxa"/>
            <w:vAlign w:val="bottom"/>
            <w:gridSpan w:val="3"/>
          </w:tcPr>
          <w:p>
            <w:pPr>
              <w:jc w:val="center"/>
              <w:ind w:left="612"/>
              <w:spacing w:after="0"/>
              <w:rPr>
                <w:sz w:val="20"/>
                <w:szCs w:val="20"/>
                <w:color w:val="auto"/>
              </w:rPr>
            </w:pPr>
            <w:r>
              <w:rPr>
                <w:rFonts w:ascii="Arial" w:cs="Arial" w:eastAsia="Arial" w:hAnsi="Arial"/>
                <w:sz w:val="18"/>
                <w:szCs w:val="18"/>
                <w:color w:val="auto"/>
                <w:w w:val="93"/>
              </w:rPr>
              <w:t>May 10,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2"/>
              </w:rPr>
              <w:t>Robert E. Hoffman</w:t>
            </w:r>
          </w:p>
        </w:tc>
        <w:tc>
          <w:tcPr>
            <w:tcW w:w="506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(Principal Accounting and Financial Officer)</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2"/>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612"/>
              <w:spacing w:after="0"/>
              <w:rPr>
                <w:sz w:val="20"/>
                <w:szCs w:val="20"/>
                <w:color w:val="auto"/>
              </w:rPr>
            </w:pPr>
            <w:r>
              <w:rPr>
                <w:rFonts w:ascii="Arial" w:cs="Arial" w:eastAsia="Arial" w:hAnsi="Arial"/>
                <w:sz w:val="18"/>
                <w:szCs w:val="18"/>
                <w:color w:val="auto"/>
                <w:w w:val="93"/>
              </w:rPr>
              <w:t>May 10,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1"/>
              </w:rPr>
              <w:t>Tiba Aynechi, Ph.D.</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2"/>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612"/>
              <w:spacing w:after="0"/>
              <w:rPr>
                <w:sz w:val="20"/>
                <w:szCs w:val="20"/>
                <w:color w:val="auto"/>
              </w:rPr>
            </w:pPr>
            <w:r>
              <w:rPr>
                <w:rFonts w:ascii="Arial" w:cs="Arial" w:eastAsia="Arial" w:hAnsi="Arial"/>
                <w:sz w:val="18"/>
                <w:szCs w:val="18"/>
                <w:color w:val="auto"/>
                <w:w w:val="93"/>
              </w:rPr>
              <w:t>May 10,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1"/>
              </w:rPr>
              <w:t>Carol G. Gallagher, Pharm.D.</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2"/>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612"/>
              <w:spacing w:after="0"/>
              <w:rPr>
                <w:sz w:val="20"/>
                <w:szCs w:val="20"/>
                <w:color w:val="auto"/>
              </w:rPr>
            </w:pPr>
            <w:r>
              <w:rPr>
                <w:rFonts w:ascii="Arial" w:cs="Arial" w:eastAsia="Arial" w:hAnsi="Arial"/>
                <w:sz w:val="18"/>
                <w:szCs w:val="18"/>
                <w:color w:val="auto"/>
                <w:w w:val="93"/>
              </w:rPr>
              <w:t>May 10,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2"/>
              </w:rPr>
              <w:t>Nicholas B. Lydon, Ph.D., FRS</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2"/>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612"/>
              <w:spacing w:after="0"/>
              <w:rPr>
                <w:sz w:val="20"/>
                <w:szCs w:val="20"/>
                <w:color w:val="auto"/>
              </w:rPr>
            </w:pPr>
            <w:r>
              <w:rPr>
                <w:rFonts w:ascii="Arial" w:cs="Arial" w:eastAsia="Arial" w:hAnsi="Arial"/>
                <w:sz w:val="18"/>
                <w:szCs w:val="18"/>
                <w:color w:val="auto"/>
                <w:w w:val="93"/>
              </w:rPr>
              <w:t>May 10,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4"/>
              </w:rPr>
              <w:t>Hollings Renton</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2"/>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612"/>
              <w:spacing w:after="0"/>
              <w:rPr>
                <w:sz w:val="20"/>
                <w:szCs w:val="20"/>
                <w:color w:val="auto"/>
              </w:rPr>
            </w:pPr>
            <w:r>
              <w:rPr>
                <w:rFonts w:ascii="Arial" w:cs="Arial" w:eastAsia="Arial" w:hAnsi="Arial"/>
                <w:sz w:val="18"/>
                <w:szCs w:val="18"/>
                <w:color w:val="auto"/>
                <w:w w:val="93"/>
              </w:rPr>
              <w:t>May 10,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8"/>
              </w:rPr>
              <w:t>John Schmid</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2"/>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612"/>
              <w:spacing w:after="0"/>
              <w:rPr>
                <w:sz w:val="20"/>
                <w:szCs w:val="20"/>
                <w:color w:val="auto"/>
              </w:rPr>
            </w:pPr>
            <w:r>
              <w:rPr>
                <w:rFonts w:ascii="Arial" w:cs="Arial" w:eastAsia="Arial" w:hAnsi="Arial"/>
                <w:sz w:val="18"/>
                <w:szCs w:val="18"/>
                <w:color w:val="auto"/>
                <w:w w:val="93"/>
              </w:rPr>
              <w:t>May 10,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7"/>
              </w:rPr>
              <w:t>James A. Schoeneck</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2"/>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612"/>
              <w:spacing w:after="0"/>
              <w:rPr>
                <w:sz w:val="20"/>
                <w:szCs w:val="20"/>
                <w:color w:val="auto"/>
              </w:rPr>
            </w:pPr>
            <w:r>
              <w:rPr>
                <w:rFonts w:ascii="Arial" w:cs="Arial" w:eastAsia="Arial" w:hAnsi="Arial"/>
                <w:sz w:val="18"/>
                <w:szCs w:val="18"/>
                <w:color w:val="auto"/>
                <w:w w:val="93"/>
              </w:rPr>
              <w:t>May 10,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9"/>
              </w:rPr>
              <w:t>James N. Topper, M.D., Ph.D.</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22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Pursuant to Power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Attorney-in-fact</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60"/>
          </w:cols>
          <w:pgMar w:left="240" w:top="460" w:right="5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00" w:type="dxa"/>
            <w:vAlign w:val="bottom"/>
            <w:gridSpan w:val="3"/>
          </w:tcPr>
          <w:p>
            <w:pPr>
              <w:ind w:left="420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6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Exhibit</w:t>
            </w:r>
          </w:p>
        </w:tc>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85"/>
        </w:trPr>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Number</w:t>
            </w:r>
          </w:p>
        </w:tc>
        <w:tc>
          <w:tcPr>
            <w:tcW w:w="4640" w:type="dxa"/>
            <w:vAlign w:val="bottom"/>
          </w:tcPr>
          <w:p>
            <w:pPr>
              <w:spacing w:after="0"/>
              <w:rPr>
                <w:sz w:val="16"/>
                <w:szCs w:val="16"/>
                <w:color w:val="auto"/>
              </w:rPr>
            </w:pPr>
          </w:p>
        </w:tc>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91"/>
        </w:trPr>
        <w:tc>
          <w:tcPr>
            <w:tcW w:w="60" w:type="dxa"/>
            <w:vAlign w:val="bottom"/>
          </w:tcPr>
          <w:p>
            <w:pPr>
              <w:spacing w:after="0"/>
              <w:rPr>
                <w:sz w:val="24"/>
                <w:szCs w:val="2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1.1†</w:t>
            </w: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Form of Underwriting Agreement, including Form of Lock-Up Agreement.</w:t>
            </w:r>
          </w:p>
        </w:tc>
      </w:tr>
      <w:tr>
        <w:trPr>
          <w:trHeight w:val="324"/>
        </w:trPr>
        <w:tc>
          <w:tcPr>
            <w:tcW w:w="60" w:type="dxa"/>
            <w:vAlign w:val="bottom"/>
          </w:tcPr>
          <w:p>
            <w:pPr>
              <w:spacing w:after="0"/>
              <w:rPr>
                <w:sz w:val="24"/>
                <w:szCs w:val="2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3.1†</w:t>
            </w: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Amended and Restated Certificate of Incorporation, as amended to date, as currently in effect.</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Form of Restated Certificate of Incorporation to be effective upon the closing of this offering.</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Bylaws, as currently in effect.</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Form of Restated Bylaws to be effective upon the closing of this offering.</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Form of Common Stock Certificate.</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w w:val="90"/>
              </w:rPr>
              <w:t>Fourth Amended and Restated Investors’ Rights Agreement, dated July 13, 2015, by and among the Registrant and certain of its stockholders.</w:t>
            </w:r>
          </w:p>
        </w:tc>
      </w:tr>
      <w:tr>
        <w:trPr>
          <w:trHeight w:val="324"/>
        </w:trPr>
        <w:tc>
          <w:tcPr>
            <w:tcW w:w="60" w:type="dxa"/>
            <w:vAlign w:val="bottom"/>
          </w:tcPr>
          <w:p>
            <w:pPr>
              <w:spacing w:after="0"/>
              <w:rPr>
                <w:sz w:val="24"/>
                <w:szCs w:val="2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5.1†</w:t>
            </w: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Opinion of Fenwick &amp; West LLP.</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10.1*</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Form of Indemnity Agreement.</w:t>
            </w:r>
          </w:p>
        </w:tc>
      </w:tr>
      <w:tr>
        <w:trPr>
          <w:trHeight w:val="324"/>
        </w:trPr>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w w:val="88"/>
              </w:rPr>
              <w:t>10.2†</w:t>
            </w: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2006 Equity Incentive Plan, as amended, and forms of award agreements.</w:t>
            </w:r>
          </w:p>
        </w:tc>
      </w:tr>
      <w:tr>
        <w:trPr>
          <w:trHeight w:val="324"/>
        </w:trPr>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w w:val="88"/>
              </w:rPr>
              <w:t>10.3†</w:t>
            </w: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w w:val="91"/>
              </w:rPr>
              <w:t>2016 Equity Incentive Plan, to become effective on the date the registration statement is declared effective, and forms of award agreements.</w:t>
            </w:r>
          </w:p>
        </w:tc>
      </w:tr>
      <w:tr>
        <w:trPr>
          <w:trHeight w:val="310"/>
        </w:trPr>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w w:val="88"/>
              </w:rPr>
              <w:t>10.4†</w:t>
            </w: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w w:val="93"/>
              </w:rPr>
              <w:t>2016 Employee Stock Purchase Plan, to become effective on the date the registration statement is declared effective, and forms of award</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agreements.</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10.5*</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Employment Agreement, effective as of January 1, 2012, by and between the Registrant and Hamza Suria, as amended.</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10.6*</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Employment Agreement, effective as of July 13, 2015, by and between the Registrant and Robert Hoffman, as amended.</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10.7*</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Employment Agreement, effective as of October 20, 2014, by and between the Registrant and Marco Londei.</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10.8*</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Office Lease, dated April 19, 2011, by and between the Registrant and Kilroy Realty, L.P., as amended.</w:t>
            </w: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5"/>
              </w:rPr>
              <w:t>10.9*+</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w w:val="98"/>
              </w:rPr>
              <w:t>Antibody Generation Agreement, dated December 22, 2011, by and between the Registrant and Celgene Corporation, as modified.</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10.10+</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w w:val="98"/>
              </w:rPr>
              <w:t>Collaboration and Exclusive License Agreement, dated March 10, 2014, by and among the Registrant, TESARO, Inc. and TESARO</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Development, Ltd., as amended.</w:t>
            </w:r>
          </w:p>
        </w:tc>
      </w:tr>
      <w:tr>
        <w:trPr>
          <w:trHeight w:val="324"/>
        </w:trPr>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10.11*+</w:t>
            </w: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License Agreement, dated August 30, 2006, by and between the Registrant and Medical Research Council, as amended.</w:t>
            </w:r>
          </w:p>
        </w:tc>
      </w:tr>
      <w:tr>
        <w:trPr>
          <w:trHeight w:val="324"/>
        </w:trPr>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10.12*+</w:t>
            </w: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w w:val="90"/>
              </w:rPr>
              <w:t>Non-Exclusive Research and Commercial License Agreement, dated May 15, 2009, by and between the Registrant and Millipore Corporation.</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2"/>
              </w:rPr>
              <w:t>10.13*</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w w:val="94"/>
              </w:rPr>
              <w:t>Loan and Security Agreement, dated December 24, 2014, by and among the Registrant, Oxford Finance LLC and Silicon Valley Bank, as</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amended.</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21.1*</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60" w:type="dxa"/>
            <w:vAlign w:val="bottom"/>
            <w:gridSpan w:val="2"/>
          </w:tcPr>
          <w:p>
            <w:pPr>
              <w:jc w:val="right"/>
              <w:ind w:right="154"/>
              <w:spacing w:after="0"/>
              <w:rPr>
                <w:sz w:val="20"/>
                <w:szCs w:val="20"/>
                <w:color w:val="auto"/>
              </w:rPr>
            </w:pPr>
            <w:r>
              <w:rPr>
                <w:rFonts w:ascii="Arial" w:cs="Arial" w:eastAsia="Arial" w:hAnsi="Arial"/>
                <w:sz w:val="18"/>
                <w:szCs w:val="18"/>
                <w:color w:val="auto"/>
                <w:w w:val="85"/>
              </w:rPr>
              <w:t>23.1</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Consent of KPMG LLP, an independent registered public accounting firm.</w:t>
            </w:r>
          </w:p>
        </w:tc>
      </w:tr>
      <w:tr>
        <w:trPr>
          <w:trHeight w:val="324"/>
        </w:trPr>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w w:val="88"/>
              </w:rPr>
              <w:t>23.2†</w:t>
            </w: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Consent of Fenwick &amp; West LLP (included in Exhibit 5.1).</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24.1*</w:t>
            </w:r>
          </w:p>
        </w:tc>
        <w:tc>
          <w:tcPr>
            <w:tcW w:w="260" w:type="dxa"/>
            <w:vAlign w:val="bottom"/>
          </w:tcPr>
          <w:p>
            <w:pPr>
              <w:spacing w:after="0"/>
              <w:rPr>
                <w:sz w:val="24"/>
                <w:szCs w:val="24"/>
                <w:color w:val="auto"/>
              </w:rPr>
            </w:pPr>
          </w:p>
        </w:tc>
        <w:tc>
          <w:tcPr>
            <w:tcW w:w="10500" w:type="dxa"/>
            <w:vAlign w:val="bottom"/>
            <w:gridSpan w:val="3"/>
          </w:tcPr>
          <w:p>
            <w:pPr>
              <w:ind w:left="220"/>
              <w:spacing w:after="0"/>
              <w:rPr>
                <w:sz w:val="20"/>
                <w:szCs w:val="20"/>
                <w:color w:val="auto"/>
              </w:rPr>
            </w:pPr>
            <w:r>
              <w:rPr>
                <w:rFonts w:ascii="Arial" w:cs="Arial" w:eastAsia="Arial" w:hAnsi="Arial"/>
                <w:sz w:val="18"/>
                <w:szCs w:val="18"/>
                <w:color w:val="auto"/>
              </w:rPr>
              <w:t>Power of Attorney.</w:t>
            </w:r>
          </w:p>
        </w:tc>
      </w:tr>
    </w:tbl>
    <w:p>
      <w:pPr>
        <w:sectPr>
          <w:pgSz w:w="11900" w:h="16838" w:orient="portrait"/>
          <w:cols w:equalWidth="0" w:num="1">
            <w:col w:w="11320"/>
          </w:cols>
          <w:pgMar w:left="24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9" w:lineRule="exact"/>
        <w:rPr>
          <w:sz w:val="20"/>
          <w:szCs w:val="20"/>
          <w:color w:val="auto"/>
        </w:rPr>
      </w:pPr>
    </w:p>
    <w:p>
      <w:pPr>
        <w:ind w:left="220" w:hanging="212"/>
        <w:spacing w:after="0" w:line="261" w:lineRule="auto"/>
        <w:tabs>
          <w:tab w:leader="none" w:pos="2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ectPr>
          <w:pgSz w:w="11900" w:h="16838" w:orient="portrait"/>
          <w:cols w:equalWidth="0" w:num="1">
            <w:col w:w="11220"/>
          </w:cols>
          <w:pgMar w:left="240" w:top="459" w:right="439" w:bottom="1440" w:gutter="0" w:footer="0" w:header="0"/>
        </w:sectPr>
      </w:pPr>
    </w:p>
    <w:bookmarkStart w:id="212" w:name="page213"/>
    <w:bookmarkEnd w:id="212"/>
    <w:p>
      <w:pPr>
        <w:ind w:left="10200"/>
        <w:spacing w:after="0"/>
        <w:rPr>
          <w:sz w:val="20"/>
          <w:szCs w:val="20"/>
          <w:color w:val="auto"/>
        </w:rPr>
      </w:pPr>
      <w:r>
        <w:rPr>
          <w:rFonts w:ascii="Arial" w:cs="Arial" w:eastAsia="Arial" w:hAnsi="Arial"/>
          <w:sz w:val="18"/>
          <w:szCs w:val="18"/>
          <w:b w:val="1"/>
          <w:bCs w:val="1"/>
          <w:color w:val="auto"/>
        </w:rPr>
        <w:t>EXHIBIT 10.10</w:t>
      </w:r>
    </w:p>
    <w:p>
      <w:pPr>
        <w:spacing w:after="0" w:line="135"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Certain confidential information contained in this</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document, marked by brackets, has been omitted and</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filed separately with the Securities and Exchange</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Commission pursuant to Rule 406 of the Securities Act</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of 1933, as amended.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AND EXCLUSIVE LICENSE AGREEMENT</w:t>
      </w:r>
    </w:p>
    <w:p>
      <w:pPr>
        <w:spacing w:after="0" w:line="225"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This COLLABORATION AND EXCLUSIVE LICENSE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effective as of March 10 , 2014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(i) </w:t>
      </w:r>
      <w:r>
        <w:rPr>
          <w:rFonts w:ascii="Arial" w:cs="Arial" w:eastAsia="Arial" w:hAnsi="Arial"/>
          <w:sz w:val="18"/>
          <w:szCs w:val="18"/>
          <w:b w:val="1"/>
          <w:bCs w:val="1"/>
          <w:color w:val="auto"/>
        </w:rPr>
        <w:t>AnaptysBio, Inc.</w:t>
      </w:r>
      <w:r>
        <w:rPr>
          <w:rFonts w:ascii="Arial" w:cs="Arial" w:eastAsia="Arial" w:hAnsi="Arial"/>
          <w:sz w:val="18"/>
          <w:szCs w:val="18"/>
          <w:color w:val="auto"/>
        </w:rPr>
        <w:t>, a Delaware corporation, having a place of business at 10421 Pacific Center Court, Suite 200, San Diego, California 92121 (“</w:t>
      </w:r>
      <w:r>
        <w:rPr>
          <w:rFonts w:ascii="Arial" w:cs="Arial" w:eastAsia="Arial" w:hAnsi="Arial"/>
          <w:sz w:val="18"/>
          <w:szCs w:val="18"/>
          <w:b w:val="1"/>
          <w:bCs w:val="1"/>
          <w:color w:val="auto"/>
        </w:rPr>
        <w:t>AnaptysBio</w:t>
      </w:r>
      <w:r>
        <w:rPr>
          <w:rFonts w:ascii="Arial" w:cs="Arial" w:eastAsia="Arial" w:hAnsi="Arial"/>
          <w:sz w:val="18"/>
          <w:szCs w:val="18"/>
          <w:color w:val="auto"/>
        </w:rPr>
        <w:t xml:space="preserve">”), and (ii) </w:t>
      </w:r>
      <w:r>
        <w:rPr>
          <w:rFonts w:ascii="Arial" w:cs="Arial" w:eastAsia="Arial" w:hAnsi="Arial"/>
          <w:sz w:val="18"/>
          <w:szCs w:val="18"/>
          <w:b w:val="1"/>
          <w:bCs w:val="1"/>
          <w:color w:val="auto"/>
        </w:rPr>
        <w:t>TESARO, Inc.</w:t>
      </w:r>
      <w:r>
        <w:rPr>
          <w:rFonts w:ascii="Arial" w:cs="Arial" w:eastAsia="Arial" w:hAnsi="Arial"/>
          <w:sz w:val="18"/>
          <w:szCs w:val="18"/>
          <w:color w:val="auto"/>
        </w:rPr>
        <w:t>, a Delaware corporation, having a place of business at 1000 Winter Street, Suite 3300, Waltham, Massachusetts 02541 (“</w:t>
      </w:r>
      <w:r>
        <w:rPr>
          <w:rFonts w:ascii="Arial" w:cs="Arial" w:eastAsia="Arial" w:hAnsi="Arial"/>
          <w:sz w:val="18"/>
          <w:szCs w:val="18"/>
          <w:b w:val="1"/>
          <w:bCs w:val="1"/>
          <w:color w:val="auto"/>
        </w:rPr>
        <w:t>TESARO US</w:t>
      </w:r>
      <w:r>
        <w:rPr>
          <w:rFonts w:ascii="Arial" w:cs="Arial" w:eastAsia="Arial" w:hAnsi="Arial"/>
          <w:sz w:val="18"/>
          <w:szCs w:val="18"/>
          <w:color w:val="auto"/>
        </w:rPr>
        <w:t xml:space="preserve">”) and </w:t>
      </w:r>
      <w:r>
        <w:rPr>
          <w:rFonts w:ascii="Arial" w:cs="Arial" w:eastAsia="Arial" w:hAnsi="Arial"/>
          <w:sz w:val="18"/>
          <w:szCs w:val="18"/>
          <w:b w:val="1"/>
          <w:bCs w:val="1"/>
          <w:color w:val="auto"/>
        </w:rPr>
        <w:t>TESARO Development, Ltd.</w:t>
      </w:r>
      <w:r>
        <w:rPr>
          <w:rFonts w:ascii="Arial" w:cs="Arial" w:eastAsia="Arial" w:hAnsi="Arial"/>
          <w:sz w:val="18"/>
          <w:szCs w:val="18"/>
          <w:color w:val="auto"/>
        </w:rPr>
        <w:t>, a Bermuda corporation, having its principal office at Clarendon House, 2 Church Street, Hamilton HM 11, Bermuda (together with TESARO US, “TESARO”).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AnaptysBio has skills, expertise and proprietary technology for the discovery, generation and optimization of immunotherapy antibodies.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 AnaptysBio is developing therapeutic antibodies against immune checkpoint proteins for use in the treatment of cancer and related conditions.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TESARO possesses expertise in the research, development, manufacturing and commercialization of treatments for cancer and related conditions.</w:t>
      </w:r>
    </w:p>
    <w:p>
      <w:pPr>
        <w:spacing w:after="0" w:line="24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 TESARO and AnaptysBio desire to enter a collaboration wherein AnaptysBio will perform certain discovery and early development of therapeutic antibodies against immune checkpoint proteins, with the goal of generating immunotherapy antibodies to such targets for subsequent preclinical, clinical, regulatory and commercial development by TESARO.</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and in consideration of the covenants, conditions and undertakings hereinafter set forth, it is agreed by and between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Parties as follows:</w:t>
      </w:r>
    </w:p>
    <w:p>
      <w:pPr>
        <w:spacing w:after="0" w:line="234"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terms will have the meanings set forth below:</w:t>
      </w:r>
    </w:p>
    <w:p>
      <w:pPr>
        <w:spacing w:after="0" w:line="221"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shall mean any corporation or other entity, whether de jure or de facto, which is directly or indirectly controlling, controlled by or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of a Party hereto for so long as such control exists. For the purposes of this Section 1.1, “control” shall mean the direct or indirect ownership of at least fifty percent (50%) of the outstanding shares or other voting rights of the subject entity having the power to vote, or if not meeting the preceding,</w:t>
      </w:r>
    </w:p>
    <w:p>
      <w:pPr>
        <w:sectPr>
          <w:pgSz w:w="11900" w:h="16838" w:orient="portrait"/>
          <w:cols w:equalWidth="0" w:num="1">
            <w:col w:w="11420"/>
          </w:cols>
          <w:pgMar w:left="240" w:top="121" w:right="239" w:bottom="1440" w:gutter="0" w:footer="0" w:header="0"/>
        </w:sectPr>
      </w:pPr>
    </w:p>
    <w:bookmarkStart w:id="213" w:name="page214"/>
    <w:bookmarkEnd w:id="213"/>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maximum voting right that may be held by the particular Party under the laws of the country where such entity exists, or the power to otherwise direct the affairs of the entity.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AnaptysBio IP Rights</w:t>
      </w:r>
      <w:r>
        <w:rPr>
          <w:rFonts w:ascii="Arial" w:cs="Arial" w:eastAsia="Arial" w:hAnsi="Arial"/>
          <w:sz w:val="18"/>
          <w:szCs w:val="18"/>
          <w:color w:val="auto"/>
        </w:rPr>
        <w:t>” shall mean, collectively, the AnaptysBio Patents and the AnaptysBio Know-How.</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color w:val="auto"/>
        </w:rPr>
        <w:t>“</w:t>
      </w:r>
      <w:r>
        <w:rPr>
          <w:rFonts w:ascii="Arial" w:cs="Arial" w:eastAsia="Arial" w:hAnsi="Arial"/>
          <w:sz w:val="16"/>
          <w:szCs w:val="16"/>
          <w:b w:val="1"/>
          <w:bCs w:val="1"/>
          <w:color w:val="auto"/>
        </w:rPr>
        <w:t>AnaptysBio Know-How</w:t>
      </w:r>
      <w:r>
        <w:rPr>
          <w:rFonts w:ascii="Arial" w:cs="Arial" w:eastAsia="Arial" w:hAnsi="Arial"/>
          <w:sz w:val="16"/>
          <w:szCs w:val="16"/>
          <w:color w:val="auto"/>
        </w:rPr>
        <w:t>” shall mean all trade secret and other proprietary know- how rights in and to all data, information, compositions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technology (including, but not limited to, formulae, procedures, protocols, techniques and results of experimentation and testing) which are necessary or useful for TESARO to make, use, develop, sell or seek regulatory approval to market a Product, or to practice any method or process, and which</w:t>
      </w:r>
    </w:p>
    <w:p>
      <w:pPr>
        <w:spacing w:after="0" w:line="2" w:lineRule="exact"/>
        <w:rPr>
          <w:sz w:val="20"/>
          <w:szCs w:val="20"/>
          <w:color w:val="auto"/>
        </w:rPr>
      </w:pPr>
    </w:p>
    <w:p>
      <w:pPr>
        <w:ind w:right="240" w:firstLine="8"/>
        <w:spacing w:after="0" w:line="261" w:lineRule="auto"/>
        <w:tabs>
          <w:tab w:leader="none" w:pos="2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AnaptysBio discloses or makes available to TESARO under this Agreement, or (b) are within the Control of AnaptysBio. AnaptysBio Know-How shall exclude the AnaptysBio Platform.</w:t>
      </w:r>
    </w:p>
    <w:p>
      <w:pPr>
        <w:spacing w:after="0" w:line="180"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AnaptysBio Patents</w:t>
      </w:r>
      <w:r>
        <w:rPr>
          <w:rFonts w:ascii="Arial" w:cs="Arial" w:eastAsia="Arial" w:hAnsi="Arial"/>
          <w:sz w:val="18"/>
          <w:szCs w:val="18"/>
          <w:color w:val="auto"/>
        </w:rPr>
        <w:t>” shall mean all Patents owned or Controlled by AnaptysBio to the extent claiming the manufacture, composition or use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Development Antibodies. AnaptysBio Patents shall exclude Patents included within the AnaptysBio Platform.</w:t>
      </w:r>
    </w:p>
    <w:p>
      <w:pPr>
        <w:spacing w:after="0" w:line="162" w:lineRule="exact"/>
        <w:rPr>
          <w:sz w:val="20"/>
          <w:szCs w:val="20"/>
          <w:color w:val="auto"/>
        </w:rPr>
      </w:pPr>
    </w:p>
    <w:p>
      <w:pPr>
        <w:ind w:right="160" w:firstLine="456"/>
        <w:spacing w:after="0" w:line="285" w:lineRule="auto"/>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color w:val="auto"/>
        </w:rPr>
        <w:t>“</w:t>
      </w:r>
      <w:r>
        <w:rPr>
          <w:rFonts w:ascii="Arial" w:cs="Arial" w:eastAsia="Arial" w:hAnsi="Arial"/>
          <w:sz w:val="16"/>
          <w:szCs w:val="16"/>
          <w:b w:val="1"/>
          <w:bCs w:val="1"/>
          <w:color w:val="auto"/>
        </w:rPr>
        <w:t>AnaptysBio Platform</w:t>
      </w:r>
      <w:r>
        <w:rPr>
          <w:rFonts w:ascii="Arial" w:cs="Arial" w:eastAsia="Arial" w:hAnsi="Arial"/>
          <w:sz w:val="16"/>
          <w:szCs w:val="16"/>
          <w:color w:val="auto"/>
        </w:rPr>
        <w:t>” shall mean: (a) all know-how, trade secrets, data, inventions, proprietary software, works of authorship, designs,</w:t>
      </w:r>
      <w:r>
        <w:rPr>
          <w:rFonts w:ascii="Arial" w:cs="Arial" w:eastAsia="Arial" w:hAnsi="Arial"/>
          <w:sz w:val="16"/>
          <w:szCs w:val="16"/>
          <w:b w:val="1"/>
          <w:bCs w:val="1"/>
          <w:color w:val="auto"/>
        </w:rPr>
        <w:t xml:space="preserve"> </w:t>
      </w:r>
      <w:r>
        <w:rPr>
          <w:rFonts w:ascii="Arial" w:cs="Arial" w:eastAsia="Arial" w:hAnsi="Arial"/>
          <w:sz w:val="16"/>
          <w:szCs w:val="16"/>
          <w:color w:val="auto"/>
        </w:rPr>
        <w:t>techniques, methods, processes, formulations, structure and other information relating to compounds, compositions, specifications, reagents, ideas and information relating to AnaptysBio’s proprietary technology that is, in each case, generally applicable to the discovery, modification, optimization and/or humanization of antibodies and/or other proteins, and/or nucleic acids relating thereto (including, without limitation, the expression, manufacture and formulation of any of the foregoing); and (b) all patent and other intellectual property rights in any of the foregoing; provided, that the AnaptysBio Platform shall not include any Patents covering the composition of matter, in whole or in part, of any Development Antibody or the Patents set forth on Schedule</w:t>
      </w:r>
    </w:p>
    <w:p>
      <w:pPr>
        <w:spacing w:after="0" w:line="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12.2(i). Without limiting the generality of the foregoing, AnaptysBio Platform shall include any such information generated, discovered or developed in whole or in part by employees or agents of AnaptysBio in performing any Discovery Program, or otherwise generated, discovered or developed in whole or in part by employees or agents of AnaptysBio during the term of this Agreement; in each case, to the extent any of the foregoing: (i) relate to the AnaptysBio Platform, improvements to the AnaptysBio Platform, or the use of the AnaptysBio Platform or any such AnaptysBio Platform improvements; or (ii) are generally applicable to the discovery, modification, optimization or humanization of proteins and nucleic acids (including, without limitation, the expression and manufacture thereof); provided, that the AnaptysBio Platform shall not include any Patents covering the composition of matter, in whole or in part, of any Development Antibody or the Patents set forth on Schedule 12.2(i).</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Collaboration IP Rights</w:t>
      </w:r>
      <w:r>
        <w:rPr>
          <w:rFonts w:ascii="Arial" w:cs="Arial" w:eastAsia="Arial" w:hAnsi="Arial"/>
          <w:sz w:val="18"/>
          <w:szCs w:val="18"/>
          <w:color w:val="auto"/>
        </w:rPr>
        <w:t>” shall mean all Collaboration Patents and Collaboration Know-How.</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Collaboration Know-How</w:t>
      </w:r>
      <w:r>
        <w:rPr>
          <w:rFonts w:ascii="Arial" w:cs="Arial" w:eastAsia="Arial" w:hAnsi="Arial"/>
          <w:sz w:val="18"/>
          <w:szCs w:val="18"/>
          <w:color w:val="auto"/>
        </w:rPr>
        <w:t>” shall mean all proprietary ideas, inventions, data, instructions, processes, formulas, expert opinions and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biological, chemical, pharmacological, toxicological, pharmaceutical, physical and analytical, clinical, safety, manufacturing and quality control data and information developed solely 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14" w:name="page215"/>
    <w:bookmarkEnd w:id="214"/>
    <w:p>
      <w:pPr>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jointly by AnaptysBio and/or TESARO during and in connection with the Discovery Program, or by or for TESARO, its Affiliate or sublicensees in connection with the further development of a Product during and in connection with the Discovery Program. Collaboration Know-How shall exclude the AnaptysBio Platform.</w:t>
      </w:r>
    </w:p>
    <w:p>
      <w:pPr>
        <w:spacing w:after="0" w:line="177" w:lineRule="exact"/>
        <w:rPr>
          <w:sz w:val="20"/>
          <w:szCs w:val="20"/>
          <w:color w:val="auto"/>
        </w:rPr>
      </w:pPr>
    </w:p>
    <w:p>
      <w:pPr>
        <w:ind w:right="20" w:firstLine="456"/>
        <w:spacing w:after="0" w:line="314" w:lineRule="auto"/>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color w:val="auto"/>
        </w:rPr>
        <w:t>“</w:t>
      </w:r>
      <w:r>
        <w:rPr>
          <w:rFonts w:ascii="Arial" w:cs="Arial" w:eastAsia="Arial" w:hAnsi="Arial"/>
          <w:sz w:val="16"/>
          <w:szCs w:val="16"/>
          <w:b w:val="1"/>
          <w:bCs w:val="1"/>
          <w:color w:val="auto"/>
        </w:rPr>
        <w:t>Collaboration Patents</w:t>
      </w:r>
      <w:r>
        <w:rPr>
          <w:rFonts w:ascii="Arial" w:cs="Arial" w:eastAsia="Arial" w:hAnsi="Arial"/>
          <w:sz w:val="16"/>
          <w:szCs w:val="16"/>
          <w:color w:val="auto"/>
        </w:rPr>
        <w:t>” shall mean all Patents the subject of which are inventions conceived and reduced to practice solely or jointly by</w:t>
      </w:r>
      <w:r>
        <w:rPr>
          <w:rFonts w:ascii="Arial" w:cs="Arial" w:eastAsia="Arial" w:hAnsi="Arial"/>
          <w:sz w:val="16"/>
          <w:szCs w:val="16"/>
          <w:b w:val="1"/>
          <w:bCs w:val="1"/>
          <w:color w:val="auto"/>
        </w:rPr>
        <w:t xml:space="preserve"> </w:t>
      </w:r>
      <w:r>
        <w:rPr>
          <w:rFonts w:ascii="Arial" w:cs="Arial" w:eastAsia="Arial" w:hAnsi="Arial"/>
          <w:sz w:val="16"/>
          <w:szCs w:val="16"/>
          <w:color w:val="auto"/>
        </w:rPr>
        <w:t>AnaptysBio and/or TESARO during and in connection with the Discovery Program, or by or for TESARO, its Affiliate or sublicensees in connection with the further development of a Product during and in connection with the Discovery Program. Collaboration Patents shall exclude the AnaptysBio Platform.</w:t>
      </w:r>
    </w:p>
    <w:p>
      <w:pPr>
        <w:spacing w:after="0" w:line="142" w:lineRule="exact"/>
        <w:rPr>
          <w:sz w:val="20"/>
          <w:szCs w:val="20"/>
          <w:color w:val="auto"/>
        </w:rPr>
      </w:pPr>
    </w:p>
    <w:p>
      <w:pPr>
        <w:ind w:right="800" w:firstLine="456"/>
        <w:spacing w:after="0" w:line="282"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Product that contains a Development Antibody and at least one other therapeutically active product or</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ingredient which is not a Development Antibody.</w:t>
      </w:r>
    </w:p>
    <w:p>
      <w:pPr>
        <w:spacing w:after="0" w:line="1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a Party, such efforts that are consistent with the efforts and resources normally used</w:t>
      </w:r>
      <w:r>
        <w:rPr>
          <w:rFonts w:ascii="Arial" w:cs="Arial" w:eastAsia="Arial" w:hAnsi="Arial"/>
          <w:sz w:val="18"/>
          <w:szCs w:val="18"/>
          <w:b w:val="1"/>
          <w:bCs w:val="1"/>
          <w:color w:val="auto"/>
        </w:rPr>
        <w:t xml:space="preserve"> </w:t>
      </w:r>
      <w:r>
        <w:rPr>
          <w:rFonts w:ascii="Arial" w:cs="Arial" w:eastAsia="Arial" w:hAnsi="Arial"/>
          <w:sz w:val="18"/>
          <w:szCs w:val="18"/>
          <w:color w:val="auto"/>
        </w:rPr>
        <w:t>by such Party in the exercise of its reasonable business discretion relating to the research, development and commercialization of a pharmaceutical or biologic product owned by it or to which it has exclusive rights, with similar product characteristics, which is of similar market potential at a similar stage in its development or product life, taking into account issues of patent coverage, safety and efficacy, product profile, the competitiveness of the marketplace, the proprietary position of the compound or product, the regulatory structure involved, the potential or actual profitability of the applicable products (including pricing and reimbursement status achieved or to be achieved), and other relevant factors, including technical, legal, scientific and/or medical factors. For purposes of clarity, Commercially Reasonable Efforts would be determined on a market-by-market and indication- by-indication basis for a particular product and it is anticipated that the level of effort may be different for different markets and may change over time, reflecting changes in the status of the product and the market(s) involved. [*]</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have the meaning set forth in Section 10.1.</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w:t>
      </w:r>
      <w:r>
        <w:rPr>
          <w:rFonts w:ascii="Arial" w:cs="Arial" w:eastAsia="Arial" w:hAnsi="Arial"/>
          <w:sz w:val="18"/>
          <w:szCs w:val="18"/>
          <w:b w:val="1"/>
          <w:bCs w:val="1"/>
          <w:color w:val="auto"/>
        </w:rPr>
        <w:t>Controls,</w:t>
      </w:r>
      <w:r>
        <w:rPr>
          <w:rFonts w:ascii="Arial" w:cs="Arial" w:eastAsia="Arial" w:hAnsi="Arial"/>
          <w:sz w:val="18"/>
          <w:szCs w:val="18"/>
          <w:color w:val="auto"/>
        </w:rPr>
        <w:t>” “</w:t>
      </w:r>
      <w:r>
        <w:rPr>
          <w:rFonts w:ascii="Arial" w:cs="Arial" w:eastAsia="Arial" w:hAnsi="Arial"/>
          <w:sz w:val="18"/>
          <w:szCs w:val="18"/>
          <w:b w:val="1"/>
          <w:bCs w:val="1"/>
          <w:color w:val="auto"/>
        </w:rPr>
        <w:t>Controlled</w:t>
      </w:r>
      <w:r>
        <w:rPr>
          <w:rFonts w:ascii="Arial" w:cs="Arial" w:eastAsia="Arial" w:hAnsi="Arial"/>
          <w:sz w:val="18"/>
          <w:szCs w:val="18"/>
          <w:color w:val="auto"/>
        </w:rPr>
        <w:t>” or “</w:t>
      </w:r>
      <w:r>
        <w:rPr>
          <w:rFonts w:ascii="Arial" w:cs="Arial" w:eastAsia="Arial" w:hAnsi="Arial"/>
          <w:sz w:val="18"/>
          <w:szCs w:val="18"/>
          <w:b w:val="1"/>
          <w:bCs w:val="1"/>
          <w:color w:val="auto"/>
        </w:rPr>
        <w:t>Controlling</w:t>
      </w:r>
      <w:r>
        <w:rPr>
          <w:rFonts w:ascii="Arial" w:cs="Arial" w:eastAsia="Arial" w:hAnsi="Arial"/>
          <w:sz w:val="18"/>
          <w:szCs w:val="18"/>
          <w:color w:val="auto"/>
        </w:rPr>
        <w:t>” shall mean possession of the ability to grant the licenses or sublicenses as provided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violating the terms of any agreement or other arrangements with any Third Party.</w:t>
      </w:r>
    </w:p>
    <w:p>
      <w:pPr>
        <w:spacing w:after="0" w:line="162" w:lineRule="exact"/>
        <w:rPr>
          <w:sz w:val="20"/>
          <w:szCs w:val="20"/>
          <w:color w:val="auto"/>
        </w:rPr>
      </w:pPr>
    </w:p>
    <w:p>
      <w:pPr>
        <w:ind w:right="540" w:firstLine="456"/>
        <w:spacing w:after="0" w:line="261"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Development Antibody</w:t>
      </w:r>
      <w:r>
        <w:rPr>
          <w:rFonts w:ascii="Arial" w:cs="Arial" w:eastAsia="Arial" w:hAnsi="Arial"/>
          <w:sz w:val="18"/>
          <w:szCs w:val="18"/>
          <w:color w:val="auto"/>
        </w:rPr>
        <w:t>” shall mean any antibody that is developed using the AnaptysBio Platform antibody technology under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Programs and is a Target Antagonist. In addition, the antibodies existing as of the Effective Date and identified on Exhibit C attached to the Supplmental Information Package, which Exhibit also sets forth the sequence of such antibodies, shall each be a “Development Antibody” under this Agreement.</w:t>
      </w:r>
    </w:p>
    <w:p>
      <w:pPr>
        <w:spacing w:after="0" w:line="180"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Development Programs</w:t>
      </w:r>
      <w:r>
        <w:rPr>
          <w:rFonts w:ascii="Arial" w:cs="Arial" w:eastAsia="Arial" w:hAnsi="Arial"/>
          <w:sz w:val="18"/>
          <w:szCs w:val="18"/>
          <w:color w:val="auto"/>
        </w:rPr>
        <w:t>” shall mean, collectively, the PD-1 Development Program, TIM-3 Development Program and LAG-3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and “</w:t>
      </w:r>
      <w:r>
        <w:rPr>
          <w:rFonts w:ascii="Arial" w:cs="Arial" w:eastAsia="Arial" w:hAnsi="Arial"/>
          <w:sz w:val="18"/>
          <w:szCs w:val="18"/>
          <w:b w:val="1"/>
          <w:bCs w:val="1"/>
          <w:color w:val="auto"/>
        </w:rPr>
        <w:t>Development Program</w:t>
      </w:r>
      <w:r>
        <w:rPr>
          <w:rFonts w:ascii="Arial" w:cs="Arial" w:eastAsia="Arial" w:hAnsi="Arial"/>
          <w:sz w:val="18"/>
          <w:szCs w:val="18"/>
          <w:color w:val="auto"/>
        </w:rPr>
        <w:t>” shall mean any of such programs.</w:t>
      </w:r>
    </w:p>
    <w:p>
      <w:pPr>
        <w:spacing w:after="0" w:line="16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Discovery Plan</w:t>
      </w:r>
      <w:r>
        <w:rPr>
          <w:rFonts w:ascii="Arial" w:cs="Arial" w:eastAsia="Arial" w:hAnsi="Arial"/>
          <w:sz w:val="18"/>
          <w:szCs w:val="18"/>
          <w:color w:val="auto"/>
        </w:rPr>
        <w:t>” shall mean the written research plan governing the joint effort of the Parties in conducting the applicable Discovery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which may be amended from</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15" w:name="page216"/>
    <w:bookmarkEnd w:id="215"/>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to time, in accordance with this Agreement. The initial Discovery Plan for each Discovery Program is attached to the Supplemental Information Package as Exhibits A-1 – A-3.</w:t>
      </w:r>
    </w:p>
    <w:p>
      <w:pPr>
        <w:spacing w:after="0" w:line="166"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Discovery Programs</w:t>
      </w:r>
      <w:r>
        <w:rPr>
          <w:rFonts w:ascii="Arial" w:cs="Arial" w:eastAsia="Arial" w:hAnsi="Arial"/>
          <w:sz w:val="18"/>
          <w:szCs w:val="18"/>
          <w:color w:val="auto"/>
        </w:rPr>
        <w:t>” shall mean, collectively, the PD-1 Discovery Program, TIM-3 Discovery Program and LAG-3 Discovery Program, and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Discovery Program</w:t>
      </w:r>
      <w:r>
        <w:rPr>
          <w:rFonts w:ascii="Arial" w:cs="Arial" w:eastAsia="Arial" w:hAnsi="Arial"/>
          <w:sz w:val="18"/>
          <w:szCs w:val="18"/>
          <w:color w:val="auto"/>
        </w:rPr>
        <w:t>” shall mean any of such programs.</w:t>
      </w:r>
    </w:p>
    <w:p>
      <w:pPr>
        <w:spacing w:after="0" w:line="162"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Discovery Program Term</w:t>
      </w:r>
      <w:r>
        <w:rPr>
          <w:rFonts w:ascii="Arial" w:cs="Arial" w:eastAsia="Arial" w:hAnsi="Arial"/>
          <w:sz w:val="18"/>
          <w:szCs w:val="18"/>
          <w:color w:val="auto"/>
        </w:rPr>
        <w:t>” shall mean, with respect to a Discovery Program, the term of such Discovery Program, as provided in Section 2.7</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shall mean the European Agency for the Evaluation of Medicinal Products of the European Union, or the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shall mean the Food and Drug Administration of the United States, or the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shall mean all uses of Products for any purpose, including the [*].</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FTE</w:t>
      </w:r>
      <w:r>
        <w:rPr>
          <w:rFonts w:ascii="Arial" w:cs="Arial" w:eastAsia="Arial" w:hAnsi="Arial"/>
          <w:sz w:val="18"/>
          <w:szCs w:val="18"/>
          <w:color w:val="auto"/>
        </w:rPr>
        <w:t>” shall mean a full-time person working on the Discovery Program, or in the case of less than a full-time, dedicated person, a full-time,</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person year, based upon a total of [*] hours per year of work in connection with a Discovery Program.</w:t>
      </w:r>
    </w:p>
    <w:p>
      <w:pPr>
        <w:spacing w:after="0" w:line="162"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GLP Study</w:t>
      </w:r>
      <w:r>
        <w:rPr>
          <w:rFonts w:ascii="Arial" w:cs="Arial" w:eastAsia="Arial" w:hAnsi="Arial"/>
          <w:sz w:val="18"/>
          <w:szCs w:val="18"/>
          <w:color w:val="auto"/>
        </w:rPr>
        <w:t>” shall mean any in vitro or in vivo study that (i) is required under 21 C.F.R. § 58 to be governed under the principles of good</w:t>
      </w:r>
      <w:r>
        <w:rPr>
          <w:rFonts w:ascii="Arial" w:cs="Arial" w:eastAsia="Arial" w:hAnsi="Arial"/>
          <w:sz w:val="18"/>
          <w:szCs w:val="18"/>
          <w:b w:val="1"/>
          <w:bCs w:val="1"/>
          <w:color w:val="auto"/>
        </w:rPr>
        <w:t xml:space="preserve"> </w:t>
      </w:r>
      <w:r>
        <w:rPr>
          <w:rFonts w:ascii="Arial" w:cs="Arial" w:eastAsia="Arial" w:hAnsi="Arial"/>
          <w:sz w:val="18"/>
          <w:szCs w:val="18"/>
          <w:color w:val="auto"/>
        </w:rPr>
        <w:t>laboratory practice, or (ii) is performed by a GLP vendor.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shall mean an investigational new drug application filed with the FDA as more fully defined in 21 C.F.R. § 312.3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JSC</w:t>
      </w:r>
      <w:r>
        <w:rPr>
          <w:rFonts w:ascii="Arial" w:cs="Arial" w:eastAsia="Arial" w:hAnsi="Arial"/>
          <w:sz w:val="18"/>
          <w:szCs w:val="18"/>
          <w:color w:val="auto"/>
        </w:rPr>
        <w:t>” or “</w:t>
      </w:r>
      <w:r>
        <w:rPr>
          <w:rFonts w:ascii="Arial" w:cs="Arial" w:eastAsia="Arial" w:hAnsi="Arial"/>
          <w:sz w:val="18"/>
          <w:szCs w:val="18"/>
          <w:b w:val="1"/>
          <w:bCs w:val="1"/>
          <w:color w:val="auto"/>
        </w:rPr>
        <w:t>Joint Steering Committee</w:t>
      </w:r>
      <w:r>
        <w:rPr>
          <w:rFonts w:ascii="Arial" w:cs="Arial" w:eastAsia="Arial" w:hAnsi="Arial"/>
          <w:sz w:val="18"/>
          <w:szCs w:val="18"/>
          <w:color w:val="auto"/>
        </w:rPr>
        <w:t>” shall have the meaning set forth in Section 4.1.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LAG-3</w:t>
      </w:r>
      <w:r>
        <w:rPr>
          <w:rFonts w:ascii="Arial" w:cs="Arial" w:eastAsia="Arial" w:hAnsi="Arial"/>
          <w:sz w:val="18"/>
          <w:szCs w:val="18"/>
          <w:color w:val="auto"/>
        </w:rPr>
        <w:t>” shall mean lymphocyte-activation gene 3, encoded by the LAG3 gene, also known as CD223.</w:t>
      </w:r>
    </w:p>
    <w:p>
      <w:pPr>
        <w:spacing w:after="0" w:line="225"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LAG-3 Development Program</w:t>
      </w:r>
      <w:r>
        <w:rPr>
          <w:rFonts w:ascii="Arial" w:cs="Arial" w:eastAsia="Arial" w:hAnsi="Arial"/>
          <w:sz w:val="18"/>
          <w:szCs w:val="18"/>
          <w:color w:val="auto"/>
        </w:rPr>
        <w:t>” shall mean the development program to be conducted in accordance with Section 3 for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Antibodies generated under the LAG-3 Discovery Program.</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LAG-3 Discovery Program</w:t>
      </w:r>
      <w:r>
        <w:rPr>
          <w:rFonts w:ascii="Arial" w:cs="Arial" w:eastAsia="Arial" w:hAnsi="Arial"/>
          <w:sz w:val="18"/>
          <w:szCs w:val="18"/>
          <w:color w:val="auto"/>
        </w:rPr>
        <w:t>” shall mean the discovery program to be conducted in accordance with Section 2 for the development of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 antagonize LAG-3, including dual-reactive antibodies that are directed to antagonize both PD-1 and LAG-3.</w:t>
      </w:r>
    </w:p>
    <w:p>
      <w:pPr>
        <w:spacing w:after="0" w:line="16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MAA</w:t>
      </w:r>
      <w:r>
        <w:rPr>
          <w:rFonts w:ascii="Arial" w:cs="Arial" w:eastAsia="Arial" w:hAnsi="Arial"/>
          <w:sz w:val="18"/>
          <w:szCs w:val="18"/>
          <w:color w:val="auto"/>
        </w:rPr>
        <w:t>” means a Marketing Authorization Application, or similar application for marketing approval of a Product for use in the Field submitted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EMA.</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16" w:name="page217"/>
    <w:bookmarkEnd w:id="216"/>
    <w:p>
      <w:pPr>
        <w:ind w:right="1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1.29. </w:t>
      </w: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shall mean a New Drug Application or Biologics License Application, or similar application for marketing approval of a Product for use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Field submitted to the FDA.</w:t>
      </w:r>
    </w:p>
    <w:p>
      <w:pPr>
        <w:spacing w:after="0" w:line="162" w:lineRule="exact"/>
        <w:rPr>
          <w:sz w:val="20"/>
          <w:szCs w:val="20"/>
          <w:color w:val="auto"/>
        </w:rPr>
      </w:pPr>
    </w:p>
    <w:p>
      <w:pPr>
        <w:jc w:val="both"/>
        <w:ind w:right="260" w:firstLine="456"/>
        <w:spacing w:after="0" w:line="266"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any Product, the gross invoiced sales price of such Product sold by TESARO, its Affiliates or sublicensees</w:t>
      </w:r>
      <w:r>
        <w:rPr>
          <w:rFonts w:ascii="Arial" w:cs="Arial" w:eastAsia="Arial" w:hAnsi="Arial"/>
          <w:sz w:val="18"/>
          <w:szCs w:val="18"/>
          <w:b w:val="1"/>
          <w:bCs w:val="1"/>
          <w:color w:val="auto"/>
        </w:rPr>
        <w:t xml:space="preserve"> </w:t>
      </w:r>
      <w:r>
        <w:rPr>
          <w:rFonts w:ascii="Arial" w:cs="Arial" w:eastAsia="Arial" w:hAnsi="Arial"/>
          <w:sz w:val="18"/>
          <w:szCs w:val="18"/>
          <w:color w:val="auto"/>
        </w:rPr>
        <w:t>(the “Selling Party”), in arm’s- length sales to Third Parties, less deductions allowed to the Third Party customer by the Selling Party, to the extent actually taken by the Third Party customer, on such sales for:</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maximum allowed for deductions resulting from clauses [*], collectively, shall not exceed [*] percent ([*]) of the total Net Sales.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a Product is sold as part of a Combination Product, for purposes of determining payments due hereunder, Net Sales of such Product shall be deemed to be an amount equal to the following: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 divided by Y) multiplied by Z,</w:t>
      </w:r>
    </w:p>
    <w:p>
      <w:pPr>
        <w:spacing w:after="0" w:line="225"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where “X” is the average sales price during the applicable reporting period achieved for the relevant Product in the country in which such sale occurred when the Product contains only the Product and no other active pharmaceutical ingredient;</w:t>
      </w:r>
    </w:p>
    <w:p>
      <w:pPr>
        <w:spacing w:after="0" w:line="170"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color w:val="auto"/>
        </w:rPr>
        <w:t>“Y” is the sum of the average sales price during the applicable reporting period achieved in that country (as applicable) of each active pharmaceutical ingredient included in the Combination Product when such compound is sold as a separate product and not as part of a Combination Product; and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“Z” is the single price at which the relevant Combination Product was actually sold.</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event that no separate sale of either (i) the Product and no other active pharmaceutical ingredient or (ii) the other active pharmaceutical ingredient(s) of the Combination Product are made during the accounting period in which the sale was made or if the price for a particular therapeutically active ingredient or relevant product cannot otherwise be determined for an accounting period, Net Sales allocable to the Product shall be determined by mutual agreement reached in good faith by the Parties prior to the end of the accounting period in question based on an equitable method of determining the same that takes into account, variations in potency, the relative contribution of each therapeutically active ingredient in the Combination Product, and relative value to the end user of each therapeutically active ingredient.</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Sales among TESARO and its Affiliates or sublicensees shall be excluded from the computation of Net Sales, and no royalties will be payable on such sales except where such Affiliates or sublicensees are end users; provided, however, in that any subsequent resale to a Third Party shall be included within Net Sales.</w:t>
      </w:r>
    </w:p>
    <w:p>
      <w:pPr>
        <w:spacing w:after="0" w:line="181"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Notwithstanding the foregoing, Net Sales shall be calculated and accounted for in accordance with United States generally accepted accounting principles (“GAAP”); provided, that if TESARO should change accounting standards during the term of this Agreement due to a</w:t>
      </w:r>
    </w:p>
    <w:p>
      <w:pPr>
        <w:spacing w:after="0" w:line="75"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17" w:name="page218"/>
    <w:bookmarkEnd w:id="21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merger, acquisition or requirement of applicable laws, then Net Sales hereunder may be calculated and accounted for in accordance with such different set of accounting standards, consistently applied, following such change.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shall mean, respectively, AnaptysBio or TESARO, individually, or AnaptysBio and TESARO, collectively.</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shall mean (a) all patents and patent applications in any country or supranational jurisdiction in the Territory, and (b) any substitutions,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divisions, continuations, continuations-in-part, provisional applications, reissues, renewals, registrations, confirmations, re-examinations, extensions, supplementary protection certificates and the like of any such patents or patent applications.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PD-1</w:t>
      </w:r>
      <w:r>
        <w:rPr>
          <w:rFonts w:ascii="Arial" w:cs="Arial" w:eastAsia="Arial" w:hAnsi="Arial"/>
          <w:sz w:val="18"/>
          <w:szCs w:val="18"/>
          <w:color w:val="auto"/>
        </w:rPr>
        <w:t>” shall mean programmed cell death protein 1, encoded by the PDCD1 gene, also known as CD279.</w:t>
      </w:r>
    </w:p>
    <w:p>
      <w:pPr>
        <w:spacing w:after="0" w:line="225"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PD-1 Development Program</w:t>
      </w:r>
      <w:r>
        <w:rPr>
          <w:rFonts w:ascii="Arial" w:cs="Arial" w:eastAsia="Arial" w:hAnsi="Arial"/>
          <w:sz w:val="18"/>
          <w:szCs w:val="18"/>
          <w:color w:val="auto"/>
        </w:rPr>
        <w:t>” shall mean the development program to be conducted in accordance with Section 3 for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Antibodies generated under the PD-1 Discovery Program.</w:t>
      </w:r>
    </w:p>
    <w:p>
      <w:pPr>
        <w:spacing w:after="0" w:line="16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b w:val="1"/>
          <w:bCs w:val="1"/>
          <w:color w:val="auto"/>
        </w:rPr>
        <w:t>PD-1 Discovery Program</w:t>
      </w:r>
      <w:r>
        <w:rPr>
          <w:rFonts w:ascii="Arial" w:cs="Arial" w:eastAsia="Arial" w:hAnsi="Arial"/>
          <w:sz w:val="18"/>
          <w:szCs w:val="18"/>
          <w:color w:val="auto"/>
        </w:rPr>
        <w:t>” shall mean the discovery program to be conducted in accordance with Section 2 for the development of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 antagonize PD-1, including the antibody identified on Exhibit C to the Supplemental Information Package. [*]</w:t>
      </w:r>
    </w:p>
    <w:p>
      <w:pPr>
        <w:spacing w:after="0" w:line="16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Phase II Clinical Trial</w:t>
      </w:r>
      <w:r>
        <w:rPr>
          <w:rFonts w:ascii="Arial" w:cs="Arial" w:eastAsia="Arial" w:hAnsi="Arial"/>
          <w:sz w:val="18"/>
          <w:szCs w:val="18"/>
          <w:color w:val="auto"/>
        </w:rPr>
        <w:t>” shall mean a human clinical trial in any country that is intended to initially evaluate the effectiveness of a Product for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indication or indications in patients with the disease or indication under study and would satisfy requirements of 21 CFR 312.21(b) or its foreign equivalent.</w:t>
      </w:r>
    </w:p>
    <w:p>
      <w:pPr>
        <w:spacing w:after="0" w:line="176"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Phase III Clinical Trial</w:t>
      </w:r>
      <w:r>
        <w:rPr>
          <w:rFonts w:ascii="Arial" w:cs="Arial" w:eastAsia="Arial" w:hAnsi="Arial"/>
          <w:sz w:val="18"/>
          <w:szCs w:val="18"/>
          <w:color w:val="auto"/>
        </w:rPr>
        <w:t>” shall mean a human clinical trial in any country, the results of which could be used to establish safety and efficacy of a</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as a basis for an NDA, and would satisfy requirements of 21 CFR 312.21(c) or its foreign equivalent.</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shall mean any pharmaceutical or biologic product or therapy including one or more Development Antibodies, in whole or in part, as</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ingredient.</w:t>
      </w:r>
    </w:p>
    <w:p>
      <w:pPr>
        <w:spacing w:after="0" w:line="1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means a Third Party which a Party has engaged to perform services in connection with such Party fulfilling its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exercising its rights under and pursuant to this Agreement.</w:t>
      </w:r>
    </w:p>
    <w:p>
      <w:pPr>
        <w:spacing w:after="0" w:line="162" w:lineRule="exact"/>
        <w:rPr>
          <w:sz w:val="20"/>
          <w:szCs w:val="20"/>
          <w:color w:val="auto"/>
        </w:rPr>
      </w:pPr>
    </w:p>
    <w:p>
      <w:pPr>
        <w:ind w:right="700" w:firstLine="456"/>
        <w:spacing w:after="0" w:line="282" w:lineRule="auto"/>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Supplemental Information Package</w:t>
      </w:r>
      <w:r>
        <w:rPr>
          <w:rFonts w:ascii="Arial" w:cs="Arial" w:eastAsia="Arial" w:hAnsi="Arial"/>
          <w:sz w:val="18"/>
          <w:szCs w:val="18"/>
          <w:color w:val="auto"/>
        </w:rPr>
        <w:t>” means the Supplemental Information Package delivered in connection with the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by the Parties on the Effective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Target(s)</w:t>
      </w:r>
      <w:r>
        <w:rPr>
          <w:rFonts w:ascii="Arial" w:cs="Arial" w:eastAsia="Arial" w:hAnsi="Arial"/>
          <w:sz w:val="18"/>
          <w:szCs w:val="18"/>
          <w:color w:val="auto"/>
        </w:rPr>
        <w:t>” shall mean LAG-3, PD-1 and TIM-3.</w:t>
      </w:r>
    </w:p>
    <w:p>
      <w:pPr>
        <w:spacing w:after="0" w:line="225"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Target Antagonist</w:t>
      </w:r>
      <w:r>
        <w:rPr>
          <w:rFonts w:ascii="Arial" w:cs="Arial" w:eastAsia="Arial" w:hAnsi="Arial"/>
          <w:sz w:val="18"/>
          <w:szCs w:val="18"/>
          <w:color w:val="auto"/>
        </w:rPr>
        <w:t>” shall mean an antibody that is created against and selected in order to antagonize Target(s), and does anatagonize that</w:t>
      </w:r>
      <w:r>
        <w:rPr>
          <w:rFonts w:ascii="Arial" w:cs="Arial" w:eastAsia="Arial" w:hAnsi="Arial"/>
          <w:sz w:val="18"/>
          <w:szCs w:val="18"/>
          <w:b w:val="1"/>
          <w:bCs w:val="1"/>
          <w:color w:val="auto"/>
        </w:rPr>
        <w:t xml:space="preserve"> </w:t>
      </w:r>
      <w:r>
        <w:rPr>
          <w:rFonts w:ascii="Arial" w:cs="Arial" w:eastAsia="Arial" w:hAnsi="Arial"/>
          <w:sz w:val="18"/>
          <w:szCs w:val="18"/>
          <w:color w:val="auto"/>
        </w:rPr>
        <w:t>Target.</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18" w:name="page219"/>
    <w:bookmarkEnd w:id="21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1.43.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shall mean worldwide.</w:t>
      </w:r>
    </w:p>
    <w:p>
      <w:pPr>
        <w:spacing w:after="0" w:line="225"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color w:val="auto"/>
        </w:rPr>
        <w:t>TESARO Know-How</w:t>
      </w:r>
      <w:r>
        <w:rPr>
          <w:rFonts w:ascii="Arial" w:cs="Arial" w:eastAsia="Arial" w:hAnsi="Arial"/>
          <w:sz w:val="18"/>
          <w:szCs w:val="18"/>
          <w:color w:val="auto"/>
        </w:rPr>
        <w:t>” shall mean all proprietary ideas, inventions, data, instructions, processes, formulas, expert opinions and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biological, chemical, pharmacological, toxicological, pharmaceutical, physical and analytical, clinical, safety, manufacturing and quality control data and information developed by or for TESARO, its Affiliate or sublicensees in connection with the further development of a Product and Controlled by TESARO.</w:t>
      </w:r>
    </w:p>
    <w:p>
      <w:pPr>
        <w:spacing w:after="0" w:line="180"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TESARO Patents</w:t>
      </w:r>
      <w:r>
        <w:rPr>
          <w:rFonts w:ascii="Arial" w:cs="Arial" w:eastAsia="Arial" w:hAnsi="Arial"/>
          <w:sz w:val="18"/>
          <w:szCs w:val="18"/>
          <w:color w:val="auto"/>
        </w:rPr>
        <w:t>” shall mean all Patents Controlled by TESARO the subject of which are inventions conceived and reduced to practice by or</w:t>
      </w:r>
      <w:r>
        <w:rPr>
          <w:rFonts w:ascii="Arial" w:cs="Arial" w:eastAsia="Arial" w:hAnsi="Arial"/>
          <w:sz w:val="18"/>
          <w:szCs w:val="18"/>
          <w:b w:val="1"/>
          <w:bCs w:val="1"/>
          <w:color w:val="auto"/>
        </w:rPr>
        <w:t xml:space="preserve"> </w:t>
      </w:r>
      <w:r>
        <w:rPr>
          <w:rFonts w:ascii="Arial" w:cs="Arial" w:eastAsia="Arial" w:hAnsi="Arial"/>
          <w:sz w:val="18"/>
          <w:szCs w:val="18"/>
          <w:color w:val="auto"/>
        </w:rPr>
        <w:t>for TESARO, its Affiliate or sublicensees in connection with the further development of a Product.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b w:val="1"/>
          <w:bCs w:val="1"/>
          <w:color w:val="auto"/>
        </w:rPr>
        <w:t>TIM-3</w:t>
      </w:r>
      <w:r>
        <w:rPr>
          <w:rFonts w:ascii="Arial" w:cs="Arial" w:eastAsia="Arial" w:hAnsi="Arial"/>
          <w:sz w:val="18"/>
          <w:szCs w:val="18"/>
          <w:color w:val="auto"/>
        </w:rPr>
        <w:t>” shall mean the T cell immunoglobulin and mucin protein 3 protein, encoded by the TIM3 gene.</w:t>
      </w:r>
    </w:p>
    <w:p>
      <w:pPr>
        <w:spacing w:after="0" w:line="225"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color w:val="auto"/>
        </w:rPr>
        <w:t>“</w:t>
      </w:r>
      <w:r>
        <w:rPr>
          <w:rFonts w:ascii="Arial" w:cs="Arial" w:eastAsia="Arial" w:hAnsi="Arial"/>
          <w:sz w:val="18"/>
          <w:szCs w:val="18"/>
          <w:b w:val="1"/>
          <w:bCs w:val="1"/>
          <w:color w:val="auto"/>
        </w:rPr>
        <w:t>TIM-3 Development Program</w:t>
      </w:r>
      <w:r>
        <w:rPr>
          <w:rFonts w:ascii="Arial" w:cs="Arial" w:eastAsia="Arial" w:hAnsi="Arial"/>
          <w:sz w:val="18"/>
          <w:szCs w:val="18"/>
          <w:color w:val="auto"/>
        </w:rPr>
        <w:t>” shall mean the development program to be conducted in accordance with Section 3 for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Antibodies generated under the TIM-3 Discovery Program.</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color w:val="auto"/>
        </w:rPr>
        <w:t>TIM-3 Discovery Program</w:t>
      </w:r>
      <w:r>
        <w:rPr>
          <w:rFonts w:ascii="Arial" w:cs="Arial" w:eastAsia="Arial" w:hAnsi="Arial"/>
          <w:sz w:val="18"/>
          <w:szCs w:val="18"/>
          <w:color w:val="auto"/>
        </w:rPr>
        <w:t>” shall mean the discovery program to be conducted in accordance with Section 2 for the development of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 antagonize TIM-3, including dual-reactive antibodies that are directed to antagonize both PD-1 and TIM-3.</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shall mean any person or entity other than AnaptysBio and TESARO, and their respective Affiliates.</w:t>
      </w:r>
    </w:p>
    <w:p>
      <w:pPr>
        <w:spacing w:after="0" w:line="225"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 xml:space="preserve">1.50. </w:t>
      </w:r>
      <w:r>
        <w:rPr>
          <w:rFonts w:ascii="Arial" w:cs="Arial" w:eastAsia="Arial" w:hAnsi="Arial"/>
          <w:sz w:val="17"/>
          <w:szCs w:val="17"/>
          <w:color w:val="auto"/>
        </w:rPr>
        <w:t>“</w:t>
      </w:r>
      <w:r>
        <w:rPr>
          <w:rFonts w:ascii="Arial" w:cs="Arial" w:eastAsia="Arial" w:hAnsi="Arial"/>
          <w:sz w:val="17"/>
          <w:szCs w:val="17"/>
          <w:b w:val="1"/>
          <w:bCs w:val="1"/>
          <w:color w:val="auto"/>
        </w:rPr>
        <w:t>Third Party In-License</w:t>
      </w:r>
      <w:r>
        <w:rPr>
          <w:rFonts w:ascii="Arial" w:cs="Arial" w:eastAsia="Arial" w:hAnsi="Arial"/>
          <w:sz w:val="17"/>
          <w:szCs w:val="17"/>
          <w:color w:val="auto"/>
        </w:rPr>
        <w:t>” shall mean any agreement between AnaptysBio or any Affiliate thereof and any Third Party under which AnaptysBio</w:t>
      </w:r>
      <w:r>
        <w:rPr>
          <w:rFonts w:ascii="Arial" w:cs="Arial" w:eastAsia="Arial" w:hAnsi="Arial"/>
          <w:sz w:val="17"/>
          <w:szCs w:val="17"/>
          <w:b w:val="1"/>
          <w:bCs w:val="1"/>
          <w:color w:val="auto"/>
        </w:rPr>
        <w:t xml:space="preserve"> </w:t>
      </w:r>
      <w:r>
        <w:rPr>
          <w:rFonts w:ascii="Arial" w:cs="Arial" w:eastAsia="Arial" w:hAnsi="Arial"/>
          <w:sz w:val="17"/>
          <w:szCs w:val="17"/>
          <w:color w:val="auto"/>
        </w:rPr>
        <w:t>or such Affiliate is or has been granted a license or other rights under the AnaptysBio IP Rights or with respect to the AnaptysBio Platform.</w:t>
      </w:r>
    </w:p>
    <w:p>
      <w:pPr>
        <w:spacing w:after="0" w:line="165"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PROGRAMS</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2.1. Goals</w:t>
      </w:r>
      <w:r>
        <w:rPr>
          <w:rFonts w:ascii="Arial" w:cs="Arial" w:eastAsia="Arial" w:hAnsi="Arial"/>
          <w:sz w:val="18"/>
          <w:szCs w:val="18"/>
          <w:color w:val="auto"/>
        </w:rPr>
        <w:t>. The goals of the Discovery Programs are the discovery of Development Antibodies directed to the applicable Targets, and characterization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certain testing, including certain efficacy, pharmacology and toxicology studies, provided that none shall be a GLP Study, all as set forth in the applicable Discovery Plan for such Discovery Program.</w:t>
      </w:r>
    </w:p>
    <w:p>
      <w:pPr>
        <w:spacing w:after="0" w:line="17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2.2. Responsibility</w:t>
      </w:r>
      <w:r>
        <w:rPr>
          <w:rFonts w:ascii="Arial" w:cs="Arial" w:eastAsia="Arial" w:hAnsi="Arial"/>
          <w:sz w:val="18"/>
          <w:szCs w:val="18"/>
          <w:color w:val="auto"/>
        </w:rPr>
        <w:t>. AnaptysBio shall hold the primary responsibility for executing each of the Discovery Programs in accordance with each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Plan. AnaptysBio shall utilize resources and methodologies as needed with respect to the AnaptysBio Platform to generate Development Antibodies with respect to each Target.</w:t>
      </w:r>
    </w:p>
    <w:p>
      <w:pPr>
        <w:spacing w:after="0" w:line="17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2.3. Conduct of the Discovery Program</w:t>
      </w:r>
      <w:r>
        <w:rPr>
          <w:rFonts w:ascii="Arial" w:cs="Arial" w:eastAsia="Arial" w:hAnsi="Arial"/>
          <w:sz w:val="18"/>
          <w:szCs w:val="18"/>
          <w:color w:val="auto"/>
        </w:rPr>
        <w:t>. Subject to the terms and conditions set forth herein, AnaptysBio agrees to conduct research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Programs, which shall be funded as set forth in Section 6. During each Discovery Program Term, AnaptysBio shall use Commercially Reasonable Efforts to conduct each Discovery Program in accordance with the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219" w:name="page220"/>
    <w:bookmarkEnd w:id="219"/>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Discovery Plan within the time schedules contemplated therein and to keep TESARO informed as to the progress and results of the Discovery Programs hereunder.</w:t>
      </w:r>
    </w:p>
    <w:p>
      <w:pPr>
        <w:spacing w:after="0" w:line="16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2.4. Discovery Plans</w:t>
      </w:r>
      <w:r>
        <w:rPr>
          <w:rFonts w:ascii="Arial" w:cs="Arial" w:eastAsia="Arial" w:hAnsi="Arial"/>
          <w:sz w:val="18"/>
          <w:szCs w:val="18"/>
          <w:color w:val="auto"/>
        </w:rPr>
        <w:t>. Each Discovery Program shall be carried out in accordance with a mutually agreed upon written Discovery Plan,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specific research objectives and the research tasks to be performed and resources to be provided by AnaptysBio. The initial Discovery Plans, attached to the Supplemental Information Package as Exhibits A-1 – A-3, establish: (i) the scope of the research activities which will be performed under the applicable Discovery Program; (ii) the research objectives and work plan activities with respect to such Discovery Program; and (iii) the criteria for determining when a Development Antibody shall be advanced into its respective Development Program. The Discovery Plans may be amended or modified from time to time by approval of the JSC.</w:t>
      </w:r>
    </w:p>
    <w:p>
      <w:pPr>
        <w:spacing w:after="0" w:line="188"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2.5. Discovery Budgets</w:t>
      </w:r>
      <w:r>
        <w:rPr>
          <w:rFonts w:ascii="Arial" w:cs="Arial" w:eastAsia="Arial" w:hAnsi="Arial"/>
          <w:sz w:val="18"/>
          <w:szCs w:val="18"/>
          <w:color w:val="auto"/>
        </w:rPr>
        <w:t>. Each Discovery Plan includes a budget covering the activities to be conducted by AnaptysBio under such Discovery Plan, 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Parties (each, a “</w:t>
      </w:r>
      <w:r>
        <w:rPr>
          <w:rFonts w:ascii="Arial" w:cs="Arial" w:eastAsia="Arial" w:hAnsi="Arial"/>
          <w:sz w:val="18"/>
          <w:szCs w:val="18"/>
          <w:b w:val="1"/>
          <w:bCs w:val="1"/>
          <w:color w:val="auto"/>
        </w:rPr>
        <w:t>Discovery Budget</w:t>
      </w:r>
      <w:r>
        <w:rPr>
          <w:rFonts w:ascii="Arial" w:cs="Arial" w:eastAsia="Arial" w:hAnsi="Arial"/>
          <w:sz w:val="18"/>
          <w:szCs w:val="18"/>
          <w:color w:val="auto"/>
        </w:rPr>
        <w:t>”). The Discovery Budgets may be amended from time to time by approval of the JSC, but, unless otherwise decided by the JSC, only following a JSC-approved modification to the applicable Discovery Plan which necessitates a change in the applicable Discovery Budget. At all times the Discovery Budgets shall reflect the Parties’ good faith estimate of the costs reasonably necessary in order for AnaptysBio to complete its activities set forth in the Discovery Plans.</w:t>
      </w:r>
    </w:p>
    <w:p>
      <w:pPr>
        <w:spacing w:after="0" w:line="184"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2.6. Discovery Program Costs</w:t>
      </w:r>
      <w:r>
        <w:rPr>
          <w:rFonts w:ascii="Arial" w:cs="Arial" w:eastAsia="Arial" w:hAnsi="Arial"/>
          <w:sz w:val="18"/>
          <w:szCs w:val="18"/>
          <w:color w:val="auto"/>
        </w:rPr>
        <w:t>. During the applicable Discovery Program Term and subject to TESARO funding the costs of each Discovery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6.1, AnaptysBio shall [*]. At the beginning of each calendar quarter, [*].</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2.7. Term of Discovery Program</w:t>
      </w:r>
      <w:r>
        <w:rPr>
          <w:rFonts w:ascii="Arial" w:cs="Arial" w:eastAsia="Arial" w:hAnsi="Arial"/>
          <w:sz w:val="17"/>
          <w:szCs w:val="17"/>
          <w:color w:val="auto"/>
        </w:rPr>
        <w:t>. Each Discovery Program Term shall commence on the Effective Date and shall end upon the earlier of [*].</w:t>
      </w:r>
    </w:p>
    <w:p>
      <w:pPr>
        <w:spacing w:after="0" w:line="23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7"/>
          <w:szCs w:val="17"/>
          <w:b w:val="1"/>
          <w:bCs w:val="1"/>
          <w:color w:val="auto"/>
        </w:rPr>
        <w:t xml:space="preserve">2.8. Third Party Licenses. </w:t>
      </w:r>
      <w:r>
        <w:rPr>
          <w:rFonts w:ascii="Arial" w:cs="Arial" w:eastAsia="Arial" w:hAnsi="Arial"/>
          <w:sz w:val="17"/>
          <w:szCs w:val="17"/>
          <w:color w:val="auto"/>
        </w:rPr>
        <w:t>In the event that the Parties agree to acquire additional technologies, equipment or other fixed assets from a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specifically for use in the conduct of a Discovery Program, TESARO will be responsible for the payment of any amounts due to Third Parties for the license of intellectual property which directly applies to any Target, and the costs of negotiating, preparing and executing any such license.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2.9. Records; Inspection</w:t>
      </w:r>
      <w:r>
        <w:rPr>
          <w:rFonts w:ascii="Arial" w:cs="Arial" w:eastAsia="Arial" w:hAnsi="Arial"/>
          <w:sz w:val="18"/>
          <w:szCs w:val="18"/>
          <w:color w:val="auto"/>
        </w:rPr>
        <w:t>.</w:t>
      </w:r>
    </w:p>
    <w:p>
      <w:pPr>
        <w:spacing w:after="0" w:line="225" w:lineRule="exact"/>
        <w:rPr>
          <w:sz w:val="20"/>
          <w:szCs w:val="20"/>
          <w:color w:val="auto"/>
        </w:rPr>
      </w:pPr>
    </w:p>
    <w:p>
      <w:pPr>
        <w:ind w:right="100" w:firstLine="921"/>
        <w:spacing w:after="0" w:line="256" w:lineRule="auto"/>
        <w:tabs>
          <w:tab w:leader="none" w:pos="1168"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Records</w:t>
      </w:r>
      <w:r>
        <w:rPr>
          <w:rFonts w:ascii="Arial" w:cs="Arial" w:eastAsia="Arial" w:hAnsi="Arial"/>
          <w:sz w:val="18"/>
          <w:szCs w:val="18"/>
          <w:color w:val="auto"/>
        </w:rPr>
        <w:t>. AnaptysBio and TESARO shall maintain records of each Discovery Program (or cause such records to be maintained) in sufficient</w:t>
      </w:r>
      <w:r>
        <w:rPr>
          <w:rFonts w:ascii="Arial" w:cs="Arial" w:eastAsia="Arial" w:hAnsi="Arial"/>
          <w:sz w:val="18"/>
          <w:szCs w:val="18"/>
          <w:b w:val="1"/>
          <w:bCs w:val="1"/>
          <w:color w:val="auto"/>
        </w:rPr>
        <w:t xml:space="preserve"> </w:t>
      </w:r>
      <w:r>
        <w:rPr>
          <w:rFonts w:ascii="Arial" w:cs="Arial" w:eastAsia="Arial" w:hAnsi="Arial"/>
          <w:sz w:val="18"/>
          <w:szCs w:val="18"/>
          <w:color w:val="auto"/>
        </w:rPr>
        <w:t>detail and in good scientific manner as will properly reflect all work done and results achieved in the performance of the Discovery Program (including all data in the form required under any applicable governmental regulations or as directed by the JSC). All such records shall be owned by AnaptysBio, and licensed to TESARO on a Discovery Program-by-Discovery Program basis in accordance with Section 5.1 and AnaptysBio shall deliver copies of any such records to TESARO upon TESARO’s written request. AnaptysBio shall maintain any such records, to the extent not delivered to TESARO, during the applicable Discovery Program Term and for a</w:t>
      </w:r>
    </w:p>
    <w:p>
      <w:pPr>
        <w:spacing w:after="0" w:line="120"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20" w:name="page221"/>
    <w:bookmarkEnd w:id="220"/>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of at least five (5) years thereafter, and shall provide TESARO access to such records at AnaptysBio’s place of business upon reasonable advance notice by TESARO.</w:t>
      </w:r>
    </w:p>
    <w:p>
      <w:pPr>
        <w:spacing w:after="0" w:line="166" w:lineRule="exact"/>
        <w:rPr>
          <w:sz w:val="20"/>
          <w:szCs w:val="20"/>
          <w:color w:val="auto"/>
        </w:rPr>
      </w:pPr>
    </w:p>
    <w:p>
      <w:pPr>
        <w:ind w:right="160" w:firstLine="921"/>
        <w:spacing w:after="0" w:line="261" w:lineRule="auto"/>
        <w:tabs>
          <w:tab w:leader="none" w:pos="1178"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Information Exchange</w:t>
      </w:r>
      <w:r>
        <w:rPr>
          <w:rFonts w:ascii="Arial" w:cs="Arial" w:eastAsia="Arial" w:hAnsi="Arial"/>
          <w:sz w:val="18"/>
          <w:szCs w:val="18"/>
          <w:color w:val="auto"/>
        </w:rPr>
        <w:t>. During each Discovery Program Term, each of TESARO and AnaptysBio shall use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to disclose to the other Party all material information relating to the applicable Discovery Program promptly after it is learned or its materiality is appreciated. Each Party shall also keep the other Party, including the Joint Steering Committee, informed as to its progress under each Discovery Plan. [*]</w:t>
      </w:r>
    </w:p>
    <w:p>
      <w:pPr>
        <w:spacing w:after="0" w:line="180"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b w:val="1"/>
          <w:bCs w:val="1"/>
          <w:color w:val="auto"/>
        </w:rPr>
        <w:t>2.10. Technology Transfer</w:t>
      </w:r>
      <w:r>
        <w:rPr>
          <w:rFonts w:ascii="Arial" w:cs="Arial" w:eastAsia="Arial" w:hAnsi="Arial"/>
          <w:sz w:val="17"/>
          <w:szCs w:val="17"/>
          <w:color w:val="auto"/>
        </w:rPr>
        <w:t>. At any time after cessation, termination or completion of the applicable Discovery Program, or as reasonably requested by</w:t>
      </w:r>
      <w:r>
        <w:rPr>
          <w:rFonts w:ascii="Arial" w:cs="Arial" w:eastAsia="Arial" w:hAnsi="Arial"/>
          <w:sz w:val="17"/>
          <w:szCs w:val="17"/>
          <w:b w:val="1"/>
          <w:bCs w:val="1"/>
          <w:color w:val="auto"/>
        </w:rPr>
        <w:t xml:space="preserve"> </w:t>
      </w:r>
      <w:r>
        <w:rPr>
          <w:rFonts w:ascii="Arial" w:cs="Arial" w:eastAsia="Arial" w:hAnsi="Arial"/>
          <w:sz w:val="17"/>
          <w:szCs w:val="17"/>
          <w:color w:val="auto"/>
        </w:rPr>
        <w:t>TESARO at any time after the Effective Date, TESARO shall have the right to request that AnaptysBio commence a technology transfer to TESARO, or its designee, of any tangible embodiments of AnaptysBio Know-How or other information and technology reasonably necessary for the GLP manufacture, clinical and/or commercial manufacture of Products or any Development Antibodies with respect to such Discovery Program. The cost of a technology transfer shall be borne by TESARO and shall be based on the FTE rates set forth herein. [*]</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Subcontracting</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7" w:lineRule="auto"/>
        <w:tabs>
          <w:tab w:leader="none" w:pos="1168"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AnaptysBio Right to Subcontract</w:t>
      </w:r>
      <w:r>
        <w:rPr>
          <w:rFonts w:ascii="Arial" w:cs="Arial" w:eastAsia="Arial" w:hAnsi="Arial"/>
          <w:sz w:val="16"/>
          <w:szCs w:val="16"/>
          <w:color w:val="auto"/>
        </w:rPr>
        <w:t>. Subject to the terms of this Agreement, AnaptysBio shall have the right to engage Affiliates or</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Subcontractors to perform certain of its obligations under the Discovery Plans; provided, that with respect to each subcontract: (i) AnaptysBio shall notify TESARO in writing (on a confidential basis) in advance (including a description of the activity(ies) to be subcontracted, the identity of the Subcontractor and the countries involved); (ii) AnaptysBio shall ensure that each of its Subcontractors accepts and complies with all applicable terms and conditions of this Agreement, and AnaptysBio shall remain responsible for the performance of its Subcontractors hereunder; (iii) no subcontract shall contain any royalty bearing licenses or any milestone payment obligations, in each case, payable by AnaptysBio, without the prior written consent of TESARO; and (iv) any such subcontract shall (A) be in writing, (B) be subject and subordinate to the terms and conditions of this Agreement, (C) contain terms and conditions which are consistent with the terms and conditions of this Agreement, (D) not in any way diminish, reduce or eliminate any of AnaptysBio’s obligations under this Agreement, (E) impose on the Subcontractor all applicable obligations under the terms of this Agreement, including the reporting, audit, inspection and confidentiality provisions hereunder, as well as a provision prohibiting such Subcontractor from further sublicensing or subcontracting, and (F) use reasonable efforts to cause such subcontract to be assignable to TESARO without consent of the Subcontractor. Notwithstanding the foregoing, approval of the JSC will be required if AnaptysBio desires to engage a Subcontractor to perform work related to chemistry, manufacturing and controls.</w:t>
      </w:r>
    </w:p>
    <w:p>
      <w:pPr>
        <w:spacing w:after="0" w:line="168" w:lineRule="exact"/>
        <w:rPr>
          <w:rFonts w:ascii="Arial" w:cs="Arial" w:eastAsia="Arial" w:hAnsi="Arial"/>
          <w:sz w:val="16"/>
          <w:szCs w:val="16"/>
          <w:b w:val="1"/>
          <w:bCs w:val="1"/>
          <w:color w:val="auto"/>
        </w:rPr>
      </w:pPr>
    </w:p>
    <w:p>
      <w:pPr>
        <w:ind w:right="160" w:firstLine="921"/>
        <w:spacing w:after="0" w:line="314" w:lineRule="auto"/>
        <w:tabs>
          <w:tab w:leader="none" w:pos="1178"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TESARO Right to Subcontract</w:t>
      </w:r>
      <w:r>
        <w:rPr>
          <w:rFonts w:ascii="Arial" w:cs="Arial" w:eastAsia="Arial" w:hAnsi="Arial"/>
          <w:sz w:val="16"/>
          <w:szCs w:val="16"/>
          <w:color w:val="auto"/>
        </w:rPr>
        <w:t>. Subject to the terms of this Agreement, TESARO shall have the right to engage Affiliates or</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Subcontractors to perform certain of its obligations and exercise its rights under this Agreement (including any activities under the Development Programs); provided, that with respect to each subcontract: (i) TESARO shall ensure that each of its Subcontractors accepts and complies with all applicable terms and</w:t>
      </w:r>
    </w:p>
    <w:p>
      <w:pPr>
        <w:spacing w:after="0" w:line="75"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21" w:name="page222"/>
    <w:bookmarkEnd w:id="2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of this Agreement, and TESARO shall remain responsible for the performance of its Subcontractors hereunder; and (ii) any such subcontract shall</w:t>
      </w:r>
    </w:p>
    <w:p>
      <w:pPr>
        <w:spacing w:after="0" w:line="46" w:lineRule="exact"/>
        <w:rPr>
          <w:sz w:val="20"/>
          <w:szCs w:val="20"/>
          <w:color w:val="auto"/>
        </w:rPr>
      </w:pPr>
    </w:p>
    <w:p>
      <w:pPr>
        <w:ind w:firstLine="8"/>
        <w:spacing w:after="0" w:line="295" w:lineRule="auto"/>
        <w:tabs>
          <w:tab w:leader="none" w:pos="29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be in writing, (B) be subject and subordinate to the terms and conditions of this Agreement, (C) contain terms and conditions which are consistent with the terms and conditions of this Agreement, (D) not in any way diminish, reduce or eliminate any of TESARO’s obligations under this Agreement, (E) impose on the Subcontractor all applicable obligations under the terms of this Agreement, including the reporting, audit, inspection and confidentiality provisions hereunder, and (F) use reasonable efforts to cause such subcontract to be assignable to AnaptysBio without consent of the Subcontractor.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w:t>
      </w:r>
    </w:p>
    <w:p>
      <w:pPr>
        <w:spacing w:after="0" w:line="252"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PROGRAMS</w:t>
      </w:r>
    </w:p>
    <w:p>
      <w:pPr>
        <w:spacing w:after="0" w:line="225"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b w:val="1"/>
          <w:bCs w:val="1"/>
          <w:color w:val="auto"/>
        </w:rPr>
        <w:t>3.1. Development Program Activities</w:t>
      </w:r>
      <w:r>
        <w:rPr>
          <w:rFonts w:ascii="Arial" w:cs="Arial" w:eastAsia="Arial" w:hAnsi="Arial"/>
          <w:sz w:val="18"/>
          <w:szCs w:val="18"/>
          <w:color w:val="auto"/>
        </w:rPr>
        <w:t>. Following completion of each Discovery Program, TESARO shall be responsible, at its sole expense, for</w:t>
      </w:r>
      <w:r>
        <w:rPr>
          <w:rFonts w:ascii="Arial" w:cs="Arial" w:eastAsia="Arial" w:hAnsi="Arial"/>
          <w:sz w:val="18"/>
          <w:szCs w:val="18"/>
          <w:b w:val="1"/>
          <w:bCs w:val="1"/>
          <w:color w:val="auto"/>
        </w:rPr>
        <w:t xml:space="preserve"> </w:t>
      </w:r>
      <w:r>
        <w:rPr>
          <w:rFonts w:ascii="Arial" w:cs="Arial" w:eastAsia="Arial" w:hAnsi="Arial"/>
          <w:sz w:val="18"/>
          <w:szCs w:val="18"/>
          <w:color w:val="auto"/>
        </w:rPr>
        <w:t>conducting the Development Program, which shall include without limitation all pre-IND activities, including cross-reactivity studies and pilot studies to enable GLP pharmacology/toxicology studies, GMP manufacturing, regulatory filings, clinical trials and commercialization activities with respect to one or more Development Antibodies under each Development Program.</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Records; Inspection</w:t>
      </w:r>
      <w:r>
        <w:rPr>
          <w:rFonts w:ascii="Arial" w:cs="Arial" w:eastAsia="Arial" w:hAnsi="Arial"/>
          <w:sz w:val="18"/>
          <w:szCs w:val="18"/>
          <w:color w:val="auto"/>
        </w:rPr>
        <w:t>.</w:t>
      </w:r>
    </w:p>
    <w:p>
      <w:pPr>
        <w:spacing w:after="0" w:line="225" w:lineRule="exact"/>
        <w:rPr>
          <w:sz w:val="20"/>
          <w:szCs w:val="20"/>
          <w:color w:val="auto"/>
        </w:rPr>
      </w:pPr>
    </w:p>
    <w:p>
      <w:pPr>
        <w:jc w:val="both"/>
        <w:ind w:right="60" w:firstLine="921"/>
        <w:spacing w:after="0" w:line="281" w:lineRule="auto"/>
        <w:tabs>
          <w:tab w:leader="none" w:pos="1168"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Records</w:t>
      </w:r>
      <w:r>
        <w:rPr>
          <w:rFonts w:ascii="Arial" w:cs="Arial" w:eastAsia="Arial" w:hAnsi="Arial"/>
          <w:sz w:val="17"/>
          <w:szCs w:val="17"/>
          <w:color w:val="auto"/>
        </w:rPr>
        <w:t>. TESARO shall maintain records of each Development Program (or cause such records to be maintained) in sufficient detail and in</w:t>
      </w:r>
      <w:r>
        <w:rPr>
          <w:rFonts w:ascii="Arial" w:cs="Arial" w:eastAsia="Arial" w:hAnsi="Arial"/>
          <w:sz w:val="17"/>
          <w:szCs w:val="17"/>
          <w:b w:val="1"/>
          <w:bCs w:val="1"/>
          <w:color w:val="auto"/>
        </w:rPr>
        <w:t xml:space="preserve"> </w:t>
      </w:r>
      <w:r>
        <w:rPr>
          <w:rFonts w:ascii="Arial" w:cs="Arial" w:eastAsia="Arial" w:hAnsi="Arial"/>
          <w:sz w:val="17"/>
          <w:szCs w:val="17"/>
          <w:color w:val="auto"/>
        </w:rPr>
        <w:t>good scientific manner as will properly reflect all work done and results achieved in the performance of the Development Program (including all data in the form required under any applicable governmental regulations). TESARO shall maintain such records for a period of [*], and shall provide AnaptysBio access to such records at TESARO’s place of business upon reasonable advance notice by AnaptysBio in accordance with Section 7.4.</w:t>
      </w:r>
    </w:p>
    <w:p>
      <w:pPr>
        <w:spacing w:after="0" w:line="164" w:lineRule="exact"/>
        <w:rPr>
          <w:rFonts w:ascii="Arial" w:cs="Arial" w:eastAsia="Arial" w:hAnsi="Arial"/>
          <w:sz w:val="17"/>
          <w:szCs w:val="17"/>
          <w:b w:val="1"/>
          <w:bCs w:val="1"/>
          <w:color w:val="auto"/>
        </w:rPr>
      </w:pPr>
    </w:p>
    <w:p>
      <w:pPr>
        <w:ind w:right="40" w:firstLine="921"/>
        <w:spacing w:after="0" w:line="261" w:lineRule="auto"/>
        <w:tabs>
          <w:tab w:leader="none" w:pos="1178"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Information Exchange</w:t>
      </w:r>
      <w:r>
        <w:rPr>
          <w:rFonts w:ascii="Arial" w:cs="Arial" w:eastAsia="Arial" w:hAnsi="Arial"/>
          <w:sz w:val="18"/>
          <w:szCs w:val="18"/>
          <w:color w:val="auto"/>
        </w:rPr>
        <w:t>. During the performance of each Development Program, TESARO shall use Commercially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to disclose to AnaptysBio all material information relating to the applicable Development Program promptly after it is learned or its materiality is appreciated. TESARO shall also keep AnaptysBio informed as to its progress under each Development Program. Within sixty (60) days following the end of each calendar quarter of the Development Program, [*].</w:t>
      </w:r>
    </w:p>
    <w:p>
      <w:pPr>
        <w:spacing w:after="0" w:line="180" w:lineRule="exact"/>
        <w:rPr>
          <w:rFonts w:ascii="Arial" w:cs="Arial" w:eastAsia="Arial" w:hAnsi="Arial"/>
          <w:sz w:val="18"/>
          <w:szCs w:val="18"/>
          <w:b w:val="1"/>
          <w:bCs w:val="1"/>
          <w:color w:val="auto"/>
        </w:rPr>
      </w:pPr>
    </w:p>
    <w:p>
      <w:pPr>
        <w:ind w:right="400" w:firstLine="921"/>
        <w:spacing w:after="0" w:line="281" w:lineRule="auto"/>
        <w:tabs>
          <w:tab w:leader="none" w:pos="1148"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Assistance by AnaptysBio</w:t>
      </w:r>
      <w:r>
        <w:rPr>
          <w:rFonts w:ascii="Arial" w:cs="Arial" w:eastAsia="Arial" w:hAnsi="Arial"/>
          <w:sz w:val="17"/>
          <w:szCs w:val="17"/>
          <w:color w:val="auto"/>
        </w:rPr>
        <w:t>. Upon reasonable request by TESARO, AnaptysBio will in good faith make available key personnel to assist</w:t>
      </w:r>
      <w:r>
        <w:rPr>
          <w:rFonts w:ascii="Arial" w:cs="Arial" w:eastAsia="Arial" w:hAnsi="Arial"/>
          <w:sz w:val="17"/>
          <w:szCs w:val="17"/>
          <w:b w:val="1"/>
          <w:bCs w:val="1"/>
          <w:color w:val="auto"/>
        </w:rPr>
        <w:t xml:space="preserve"> </w:t>
      </w:r>
      <w:r>
        <w:rPr>
          <w:rFonts w:ascii="Arial" w:cs="Arial" w:eastAsia="Arial" w:hAnsi="Arial"/>
          <w:sz w:val="17"/>
          <w:szCs w:val="17"/>
          <w:color w:val="auto"/>
        </w:rPr>
        <w:t>TESARO in the planning, monitoring and strategy of preclinical development, manufacturing and early clinical development under each Development Program, provided that any material expenses incurred by AnaptysBio (including FTEs utilized, reasonable travel expenses and specialized supplies or equipment required) shall be reimbursed by TESARO in accordance with Section 2.6 above.</w:t>
      </w:r>
    </w:p>
    <w:p>
      <w:pPr>
        <w:spacing w:after="0" w:line="97"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22" w:name="page223"/>
    <w:bookmarkEnd w:id="222"/>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w:t>
      </w:r>
    </w:p>
    <w:p>
      <w:pPr>
        <w:spacing w:after="0" w:line="225"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4.1. Joint Steering Committee</w:t>
      </w:r>
      <w:r>
        <w:rPr>
          <w:rFonts w:ascii="Arial" w:cs="Arial" w:eastAsia="Arial" w:hAnsi="Arial"/>
          <w:sz w:val="18"/>
          <w:szCs w:val="18"/>
          <w:color w:val="auto"/>
        </w:rPr>
        <w:t>. Promptly after the Effective Date, TESARO and AnaptysBio will establish a committee (the “</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“JSC”) to oversee, review and recommend direction of each Discovery Program. The responsibilities of the Joint Steering Committee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monitoring, reporting progress, developing strategies and ensuring open and frequent exchange between the Parties regarding each Discovery Program and the activities of the Parties and their Affiliates, Subcontractors and agents thereunder.</w:t>
      </w:r>
    </w:p>
    <w:p>
      <w:pPr>
        <w:spacing w:after="0" w:line="180"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color w:val="auto"/>
        </w:rPr>
        <w:t>4.2. Membership</w:t>
      </w:r>
      <w:r>
        <w:rPr>
          <w:rFonts w:ascii="Arial" w:cs="Arial" w:eastAsia="Arial" w:hAnsi="Arial"/>
          <w:sz w:val="17"/>
          <w:szCs w:val="17"/>
          <w:color w:val="auto"/>
        </w:rPr>
        <w:t>. The JSC shall include [*] of each of TESARO and AnaptysBio, each Party’s members selected by that Party. AnaptysBio and</w:t>
      </w:r>
      <w:r>
        <w:rPr>
          <w:rFonts w:ascii="Arial" w:cs="Arial" w:eastAsia="Arial" w:hAnsi="Arial"/>
          <w:sz w:val="17"/>
          <w:szCs w:val="17"/>
          <w:b w:val="1"/>
          <w:bCs w:val="1"/>
          <w:color w:val="auto"/>
        </w:rPr>
        <w:t xml:space="preserve"> </w:t>
      </w:r>
      <w:r>
        <w:rPr>
          <w:rFonts w:ascii="Arial" w:cs="Arial" w:eastAsia="Arial" w:hAnsi="Arial"/>
          <w:sz w:val="17"/>
          <w:szCs w:val="17"/>
          <w:color w:val="auto"/>
        </w:rPr>
        <w:t>TESARO may each replace its JSC representatives at any time, upon written notice to the other Party. From time to time, the JSC may establish subcommittees to oversee particular projects or activities, and such subcommittees will be constituted as the JSC agrees. Each Party’s JSC members shall be senior individuals empowered to provide timely feedback regarding their Party’s decisions on key matters.</w:t>
      </w:r>
    </w:p>
    <w:p>
      <w:pPr>
        <w:spacing w:after="0" w:line="165"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4.3. Meetings</w:t>
      </w:r>
      <w:r>
        <w:rPr>
          <w:rFonts w:ascii="Arial" w:cs="Arial" w:eastAsia="Arial" w:hAnsi="Arial"/>
          <w:sz w:val="18"/>
          <w:szCs w:val="18"/>
          <w:color w:val="auto"/>
        </w:rPr>
        <w:t>. During each Discovery Program Term, the JSC shall meet at least quarterly, or as agreed by the Parties, at such locations as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agree, and will otherwise communicate regularly by telephone, electronic mail, facsimile and/or video conference. With the consent of the Parties, other representatives of AnaptysBio or TESARO may attend JSC meetings as nonvoting observers. Each Party shall be responsible for all of its own expenses associated with attendance of such meetings. [*]</w:t>
      </w:r>
    </w:p>
    <w:p>
      <w:pPr>
        <w:spacing w:after="0" w:line="180"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4.4. Minutes</w:t>
      </w:r>
      <w:r>
        <w:rPr>
          <w:rFonts w:ascii="Arial" w:cs="Arial" w:eastAsia="Arial" w:hAnsi="Arial"/>
          <w:sz w:val="18"/>
          <w:szCs w:val="18"/>
          <w:color w:val="auto"/>
        </w:rPr>
        <w:t>. The JSC shall keep accurate minutes of its deliberations which shall record all proposed decisions and all actions recommended or taken.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of the JSC (as appointed by the members of the JSC) shall be responsible for the preparation of draft minutes. [*] All records of the JSC shall at all times be available to both AnaptysBio and TESARO.</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4.5. Decision Making</w:t>
      </w:r>
      <w:r>
        <w:rPr>
          <w:rFonts w:ascii="Arial" w:cs="Arial" w:eastAsia="Arial" w:hAnsi="Arial"/>
          <w:sz w:val="18"/>
          <w:szCs w:val="18"/>
          <w:color w:val="auto"/>
        </w:rPr>
        <w:t>. [*]</w:t>
      </w:r>
    </w:p>
    <w:p>
      <w:pPr>
        <w:spacing w:after="0" w:line="22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4.6. Development Program Meetings</w:t>
      </w:r>
      <w:r>
        <w:rPr>
          <w:rFonts w:ascii="Arial" w:cs="Arial" w:eastAsia="Arial" w:hAnsi="Arial"/>
          <w:sz w:val="18"/>
          <w:szCs w:val="18"/>
          <w:color w:val="auto"/>
        </w:rPr>
        <w:t>. During each [*] calendar period commencing with the completion of the applicable Discovery Program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for a period of [*] thereafter, and then annually after such [*] period, upon the written request of either Party, TESARO and AnaptysBio shall meet to discuss the progress of each Development Program and review future activities planned by TESARO with respect thereto, including strategic plans for preclinical, clinical and commercial advancement of Products under each Development Program.</w:t>
      </w:r>
    </w:p>
    <w:p>
      <w:pPr>
        <w:spacing w:after="0" w:line="207" w:lineRule="exact"/>
        <w:rPr>
          <w:sz w:val="20"/>
          <w:szCs w:val="20"/>
          <w:color w:val="auto"/>
        </w:rPr>
      </w:pPr>
    </w:p>
    <w:p>
      <w:pPr>
        <w:ind w:left="460" w:right="8720" w:hanging="452"/>
        <w:spacing w:after="0" w:line="501" w:lineRule="auto"/>
        <w:tabs>
          <w:tab w:leader="none" w:pos="449"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LICENSES; EXCLUSIVITY 5.1. Grant</w:t>
      </w:r>
      <w:r>
        <w:rPr>
          <w:rFonts w:ascii="Arial" w:cs="Arial" w:eastAsia="Arial" w:hAnsi="Arial"/>
          <w:sz w:val="18"/>
          <w:szCs w:val="18"/>
          <w:color w:val="auto"/>
        </w:rPr>
        <w:t>.</w:t>
      </w:r>
    </w:p>
    <w:p>
      <w:pPr>
        <w:spacing w:after="0" w:line="4" w:lineRule="exact"/>
        <w:rPr>
          <w:rFonts w:ascii="Arial" w:cs="Arial" w:eastAsia="Arial" w:hAnsi="Arial"/>
          <w:sz w:val="18"/>
          <w:szCs w:val="18"/>
          <w:b w:val="1"/>
          <w:bCs w:val="1"/>
          <w:color w:val="auto"/>
        </w:rPr>
      </w:pPr>
    </w:p>
    <w:p>
      <w:pPr>
        <w:ind w:right="40" w:firstLine="921"/>
        <w:spacing w:after="0" w:line="264" w:lineRule="auto"/>
        <w:tabs>
          <w:tab w:leader="none" w:pos="1168" w:val="left"/>
        </w:tabs>
        <w:numPr>
          <w:ilvl w:val="1"/>
          <w:numId w:val="151"/>
        </w:numPr>
        <w:rPr>
          <w:rFonts w:ascii="Arial" w:cs="Arial" w:eastAsia="Arial" w:hAnsi="Arial"/>
          <w:sz w:val="18"/>
          <w:szCs w:val="18"/>
          <w:b w:val="1"/>
          <w:bCs w:val="1"/>
          <w:color w:val="auto"/>
        </w:rPr>
      </w:pPr>
      <w:r>
        <w:rPr>
          <w:rFonts w:ascii="Arial" w:cs="Arial" w:eastAsia="Arial" w:hAnsi="Arial"/>
          <w:sz w:val="18"/>
          <w:szCs w:val="18"/>
          <w:color w:val="auto"/>
        </w:rPr>
        <w:t>Subject to the terms and conditions of this Agreement, AnaptysBio hereby grants to TESARO and its Affiliates an exclusive license (with the right to grant sublicenses through multiple tiers) under the AnaptysBio IP Rights and Collaboration IP Rights to research, develop, make, have made, use, sell, offer for sale, import and export Products for use in the Field and in the Territory.</w:t>
      </w:r>
    </w:p>
    <w:p>
      <w:pPr>
        <w:spacing w:after="0" w:line="110" w:lineRule="exact"/>
        <w:rPr>
          <w:sz w:val="20"/>
          <w:szCs w:val="20"/>
          <w:color w:val="auto"/>
        </w:rPr>
      </w:pPr>
    </w:p>
    <w:p>
      <w:pPr>
        <w:jc w:val="both"/>
        <w:ind w:left="5880"/>
        <w:spacing w:after="0"/>
        <w:tabs>
          <w:tab w:leader="none" w:pos="8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23" w:name="page224"/>
    <w:bookmarkEnd w:id="223"/>
    <w:p>
      <w:pPr>
        <w:ind w:right="60" w:firstLine="921"/>
        <w:spacing w:after="0" w:line="255" w:lineRule="auto"/>
        <w:tabs>
          <w:tab w:leader="none" w:pos="1178"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terms and conditions of this Agreement, AnaptysBio hereby grants to TESARO and its Affiliates a non-exclusive license (with the right to grant sublicenses through multiple tiers) under the Patents and other intellectual property constituting the AnaptysBio Platform to research, develop, make, have made, use, sell, offer for sale, import and export Products for use in the Field and in the Territory and as necessary for TESARO to practice the licenses granted to it under Section 5.1(a); provided, however that the foregoing license grant to TESARO is limited to researching, developing, making, having made, selling, offering for sale, importing, exporting and using Development Antibodies previously generated by AnaptysBio, and expressly excludes any license of rights to TESARO to utilize, practice or operate the AnaptysBio Platform to develop or generate new or materially different antibodies.</w:t>
      </w:r>
    </w:p>
    <w:p>
      <w:pPr>
        <w:spacing w:after="0" w:line="185" w:lineRule="exact"/>
        <w:rPr>
          <w:sz w:val="20"/>
          <w:szCs w:val="20"/>
          <w:color w:val="auto"/>
        </w:rPr>
      </w:pPr>
    </w:p>
    <w:p>
      <w:pPr>
        <w:ind w:right="400" w:firstLine="456"/>
        <w:spacing w:after="0" w:line="258" w:lineRule="auto"/>
        <w:rPr>
          <w:sz w:val="20"/>
          <w:szCs w:val="20"/>
          <w:color w:val="auto"/>
        </w:rPr>
      </w:pPr>
      <w:r>
        <w:rPr>
          <w:rFonts w:ascii="Arial" w:cs="Arial" w:eastAsia="Arial" w:hAnsi="Arial"/>
          <w:sz w:val="18"/>
          <w:szCs w:val="18"/>
          <w:b w:val="1"/>
          <w:bCs w:val="1"/>
          <w:color w:val="auto"/>
        </w:rPr>
        <w:t>5.2. No Implied Licenses</w:t>
      </w:r>
      <w:r>
        <w:rPr>
          <w:rFonts w:ascii="Arial" w:cs="Arial" w:eastAsia="Arial" w:hAnsi="Arial"/>
          <w:sz w:val="18"/>
          <w:szCs w:val="18"/>
          <w:color w:val="auto"/>
        </w:rPr>
        <w:t>. Only the licenses granted pursuant to the express terms of this Agreement shall be of any legal force or effect. No other</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or rights shall be created by implication, estoppel or otherwise. Without limiting the foregoing, if a Product contains an active pharmaceutcial ingredient or biologic in addition to the Development Antibody, then the licenses granted to TESARO under AnaptysBio IP Rights and the AnaptysBioPlatform shall not include the right to research, develop, make, have made, use, sell, offer for sale, import and export such other active pharmaceutical ingredient or biologic.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Exclusivity</w:t>
      </w:r>
      <w:r>
        <w:rPr>
          <w:rFonts w:ascii="Arial" w:cs="Arial" w:eastAsia="Arial" w:hAnsi="Arial"/>
          <w:sz w:val="18"/>
          <w:szCs w:val="18"/>
          <w:color w:val="auto"/>
        </w:rPr>
        <w:t>.</w:t>
      </w:r>
    </w:p>
    <w:p>
      <w:pPr>
        <w:spacing w:after="0" w:line="229" w:lineRule="exact"/>
        <w:rPr>
          <w:sz w:val="20"/>
          <w:szCs w:val="20"/>
          <w:color w:val="auto"/>
        </w:rPr>
      </w:pPr>
    </w:p>
    <w:p>
      <w:pPr>
        <w:ind w:right="460" w:firstLine="921"/>
        <w:spacing w:after="0" w:line="277" w:lineRule="auto"/>
        <w:tabs>
          <w:tab w:leader="none" w:pos="1168"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Except to the extent required for AnaptysBio to fulfill its obligations under this Agreement and as permitted under this Agreement, with respect to each Target (or combination of Targets), [*].</w:t>
      </w:r>
    </w:p>
    <w:p>
      <w:pPr>
        <w:spacing w:after="0" w:line="170"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During the Exclusivity Period, and except with respect to a Product pursuant to this Agreement, TESARO shall not [*].</w:t>
      </w:r>
    </w:p>
    <w:p>
      <w:pPr>
        <w:spacing w:after="0" w:line="225" w:lineRule="exact"/>
        <w:rPr>
          <w:rFonts w:ascii="Arial" w:cs="Arial" w:eastAsia="Arial" w:hAnsi="Arial"/>
          <w:sz w:val="18"/>
          <w:szCs w:val="18"/>
          <w:b w:val="1"/>
          <w:bCs w:val="1"/>
          <w:color w:val="auto"/>
        </w:rPr>
      </w:pPr>
    </w:p>
    <w:p>
      <w:pPr>
        <w:ind w:right="60" w:firstLine="921"/>
        <w:spacing w:after="0" w:line="257" w:lineRule="auto"/>
        <w:tabs>
          <w:tab w:leader="none" w:pos="1158"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The exclusivity described in Sections 5.3(a) and 5.3(b) will apply on a Discovery Program/Development Program basis, such that if a Discovery Program or Development Program is terminated for any reason, then the Targets that are subject of that Discovery Program or Development Program shall no longer be subject to the exclusivity. By way of example, if the TIM-3 Discovery Program is terminated, then the exclusivity shall no longer apply to TIM-3 alone or dual-reactivity to TIM-3 and PD-1, but the exclusivity for the other non-terminated Discovery Programs (or Development Programs) shall continue.</w:t>
      </w:r>
    </w:p>
    <w:p>
      <w:pPr>
        <w:spacing w:after="0" w:line="188" w:lineRule="exact"/>
        <w:rPr>
          <w:rFonts w:ascii="Arial" w:cs="Arial" w:eastAsia="Arial" w:hAnsi="Arial"/>
          <w:sz w:val="18"/>
          <w:szCs w:val="18"/>
          <w:b w:val="1"/>
          <w:bCs w:val="1"/>
          <w:color w:val="auto"/>
        </w:rPr>
      </w:pPr>
    </w:p>
    <w:p>
      <w:pPr>
        <w:ind w:firstLine="921"/>
        <w:spacing w:after="0" w:line="272" w:lineRule="auto"/>
        <w:tabs>
          <w:tab w:leader="none" w:pos="1178"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provision of this Section 5.3, in the event of a Change of Control (as defined below) of AnaptysBio, or if AnaptysBio or an Affiliate acquires any Third Party, business or assets, or any interest therein (an “</w:t>
      </w:r>
      <w:r>
        <w:rPr>
          <w:rFonts w:ascii="Arial" w:cs="Arial" w:eastAsia="Arial" w:hAnsi="Arial"/>
          <w:sz w:val="17"/>
          <w:szCs w:val="17"/>
          <w:b w:val="1"/>
          <w:bCs w:val="1"/>
          <w:color w:val="auto"/>
        </w:rPr>
        <w:t>AnaptysBio Business Acquisition</w:t>
      </w:r>
      <w:r>
        <w:rPr>
          <w:rFonts w:ascii="Arial" w:cs="Arial" w:eastAsia="Arial" w:hAnsi="Arial"/>
          <w:sz w:val="17"/>
          <w:szCs w:val="17"/>
          <w:color w:val="auto"/>
        </w:rPr>
        <w:t>”), the provisions of this Section 5.3 shall not apply to any active research or development program that a portion of the surviving entity or Affiliate that was not AnaptysBio (prior to the Change of Control or AnaptysBio Business Acquisition) had ongoing as of immediately prior to the date of such Change of Control or AnaptysBio Business Acquisition. For purposes of this Section 5.3, a “</w:t>
      </w:r>
      <w:r>
        <w:rPr>
          <w:rFonts w:ascii="Arial" w:cs="Arial" w:eastAsia="Arial" w:hAnsi="Arial"/>
          <w:sz w:val="17"/>
          <w:szCs w:val="17"/>
          <w:b w:val="1"/>
          <w:bCs w:val="1"/>
          <w:color w:val="auto"/>
        </w:rPr>
        <w:t>Change of Control</w:t>
      </w:r>
      <w:r>
        <w:rPr>
          <w:rFonts w:ascii="Arial" w:cs="Arial" w:eastAsia="Arial" w:hAnsi="Arial"/>
          <w:sz w:val="17"/>
          <w:szCs w:val="17"/>
          <w:color w:val="auto"/>
        </w:rPr>
        <w:t>” shall mean, with respect to a Party, the merger, consolidation, sale of substantially all of such Party’s assets or similar transaction or series of transactions, as a result of which such Party’s shareholders before such transaction or series of transactions own less than fifty percent (50%) of the total number of voting securities of</w:t>
      </w:r>
    </w:p>
    <w:p>
      <w:pPr>
        <w:spacing w:after="0" w:line="106"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24" w:name="page225"/>
    <w:bookmarkEnd w:id="224"/>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surviving entity immediately after such transaction or series of transactions. For clarity, if as a result of any such Change of Control, a Party exists as a wholly owned subsidiary of a parent, then the provisions of this Section 5.3 shall continue to apply to such Party as the surviving entity, but not to such parent.</w:t>
      </w:r>
    </w:p>
    <w:p>
      <w:pPr>
        <w:spacing w:after="0" w:line="181" w:lineRule="exact"/>
        <w:rPr>
          <w:sz w:val="20"/>
          <w:szCs w:val="20"/>
          <w:color w:val="auto"/>
        </w:rPr>
      </w:pPr>
    </w:p>
    <w:p>
      <w:pPr>
        <w:ind w:right="60" w:firstLine="921"/>
        <w:spacing w:after="0" w:line="302" w:lineRule="auto"/>
        <w:tabs>
          <w:tab w:leader="none" w:pos="1158" w:val="left"/>
        </w:tabs>
        <w:numPr>
          <w:ilvl w:val="1"/>
          <w:numId w:val="154"/>
        </w:numPr>
        <w:rPr>
          <w:rFonts w:ascii="Arial" w:cs="Arial" w:eastAsia="Arial" w:hAnsi="Arial"/>
          <w:sz w:val="16"/>
          <w:szCs w:val="16"/>
          <w:b w:val="1"/>
          <w:bCs w:val="1"/>
          <w:color w:val="auto"/>
        </w:rPr>
      </w:pPr>
      <w:r>
        <w:rPr>
          <w:rFonts w:ascii="Arial" w:cs="Arial" w:eastAsia="Arial" w:hAnsi="Arial"/>
          <w:sz w:val="16"/>
          <w:szCs w:val="16"/>
          <w:color w:val="auto"/>
        </w:rPr>
        <w:t>Notwithstanding the foregoing provision of this Section 5.3, in the event of a Change of Control of TESARO or if TESARO or an Affiliate acquires any Third Party, business or assets, or any interest therein (a “</w:t>
      </w:r>
      <w:r>
        <w:rPr>
          <w:rFonts w:ascii="Arial" w:cs="Arial" w:eastAsia="Arial" w:hAnsi="Arial"/>
          <w:sz w:val="16"/>
          <w:szCs w:val="16"/>
          <w:b w:val="1"/>
          <w:bCs w:val="1"/>
          <w:color w:val="auto"/>
        </w:rPr>
        <w:t>TESARO Business Acquisition</w:t>
      </w:r>
      <w:r>
        <w:rPr>
          <w:rFonts w:ascii="Arial" w:cs="Arial" w:eastAsia="Arial" w:hAnsi="Arial"/>
          <w:sz w:val="16"/>
          <w:szCs w:val="16"/>
          <w:color w:val="auto"/>
        </w:rPr>
        <w:t>”), the provisions of this Section 5.3 shall not apply to any active research or development program that a portion of the surviving entity or Affiliate that was not TESARO (prior to the Change of Control or TESARO Business Acquisition) had ongoing as of immediately prior to the date of such Change of Control or TESARO Business Acquisition.</w:t>
      </w:r>
    </w:p>
    <w:p>
      <w:pPr>
        <w:spacing w:after="0" w:line="177" w:lineRule="exact"/>
        <w:rPr>
          <w:rFonts w:ascii="Arial" w:cs="Arial" w:eastAsia="Arial" w:hAnsi="Arial"/>
          <w:sz w:val="16"/>
          <w:szCs w:val="16"/>
          <w:b w:val="1"/>
          <w:bCs w:val="1"/>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6.1. Upfront Payment</w:t>
      </w:r>
      <w:r>
        <w:rPr>
          <w:rFonts w:ascii="Arial" w:cs="Arial" w:eastAsia="Arial" w:hAnsi="Arial"/>
          <w:sz w:val="16"/>
          <w:szCs w:val="16"/>
          <w:color w:val="auto"/>
        </w:rPr>
        <w:t>. Within ten (10) business days following the Effective Date, TESARO shall pay to AnaptysBio a non-creditable, non-refundable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license fee of seventeen million dollars (USD $17,000,000.00).</w:t>
      </w:r>
    </w:p>
    <w:p>
      <w:pPr>
        <w:spacing w:after="0" w:line="20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7"/>
          <w:szCs w:val="17"/>
          <w:b w:val="1"/>
          <w:bCs w:val="1"/>
          <w:color w:val="auto"/>
        </w:rPr>
        <w:t xml:space="preserve">6.2. Discovery Program Funding. </w:t>
      </w:r>
      <w:r>
        <w:rPr>
          <w:rFonts w:ascii="Arial" w:cs="Arial" w:eastAsia="Arial" w:hAnsi="Arial"/>
          <w:sz w:val="17"/>
          <w:szCs w:val="17"/>
          <w:color w:val="auto"/>
        </w:rPr>
        <w:t>TESARO shall reimburse AnaptysBio on a quarterly basis for all [*]. All payments are non-creditable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in Section 6.3 or 6.4) and non-refundable (except pursuant to Section 7.4 or Section 13.2). Within ten (10) days of the end of each calendar quarter, AnaptysBio shall provide TESARO with an invoice for all amounts owed by TESARO under this Section 6.2 for that calendar quarter and TESARO shall pay such amounts within thirty (30) days after receipt of AnaptysBio’s quarterly invoice. All amounts paid by TESARO to AnaptysBio pursuant to this Section 6.2 shall be made in accordance with Section 7.2 with respect to withholding for taxes or any other charges.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6.3. Upfront Payment</w:t>
      </w:r>
      <w:r>
        <w:rPr>
          <w:rFonts w:ascii="Arial" w:cs="Arial" w:eastAsia="Arial" w:hAnsi="Arial"/>
          <w:sz w:val="17"/>
          <w:szCs w:val="17"/>
          <w:color w:val="auto"/>
        </w:rPr>
        <w:t>. On a Development Program-by-Development Program basis, TESARO shall pay AnaptysBio the following payments [*]:</w:t>
      </w:r>
    </w:p>
    <w:p>
      <w:pPr>
        <w:spacing w:after="0" w:line="24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640" w:type="dxa"/>
            <w:vAlign w:val="bottom"/>
            <w:gridSpan w:val="3"/>
            <w:vMerge w:val="restart"/>
          </w:tcPr>
          <w:p>
            <w:pPr>
              <w:ind w:left="2560"/>
              <w:spacing w:after="0"/>
              <w:rPr>
                <w:sz w:val="20"/>
                <w:szCs w:val="20"/>
                <w:color w:val="auto"/>
              </w:rPr>
            </w:pPr>
            <w:r>
              <w:rPr>
                <w:rFonts w:ascii="Arial" w:cs="Arial" w:eastAsia="Arial" w:hAnsi="Arial"/>
                <w:sz w:val="14"/>
                <w:szCs w:val="14"/>
                <w:b w:val="1"/>
                <w:bCs w:val="1"/>
                <w:color w:val="auto"/>
              </w:rPr>
              <w:t>Milestone Event</w:t>
            </w:r>
          </w:p>
        </w:tc>
        <w:tc>
          <w:tcPr>
            <w:tcW w:w="394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3"/>
              </w:rPr>
              <w:t>Milestone Payment</w:t>
            </w:r>
          </w:p>
        </w:tc>
        <w:tc>
          <w:tcPr>
            <w:tcW w:w="0" w:type="dxa"/>
            <w:vAlign w:val="bottom"/>
          </w:tcPr>
          <w:p>
            <w:pPr>
              <w:spacing w:after="0"/>
              <w:rPr>
                <w:sz w:val="1"/>
                <w:szCs w:val="1"/>
                <w:color w:val="auto"/>
              </w:rPr>
            </w:pPr>
          </w:p>
        </w:tc>
      </w:tr>
      <w:tr>
        <w:trPr>
          <w:trHeight w:val="171"/>
        </w:trPr>
        <w:tc>
          <w:tcPr>
            <w:tcW w:w="564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302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Initiation of first GLP PK/tox Study</w:t>
            </w:r>
          </w:p>
        </w:tc>
        <w:tc>
          <w:tcPr>
            <w:tcW w:w="210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w w:val="90"/>
              </w:rPr>
              <w:t>$1,000,000.00</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First IND clearance</w:t>
            </w:r>
          </w:p>
        </w:tc>
        <w:tc>
          <w:tcPr>
            <w:tcW w:w="2100" w:type="dxa"/>
            <w:vAlign w:val="bottom"/>
            <w:gridSpan w:val="2"/>
          </w:tcPr>
          <w:p>
            <w:pPr>
              <w:jc w:val="center"/>
              <w:ind w:left="852"/>
              <w:spacing w:after="0"/>
              <w:rPr>
                <w:sz w:val="20"/>
                <w:szCs w:val="20"/>
                <w:color w:val="auto"/>
              </w:rPr>
            </w:pPr>
            <w:r>
              <w:rPr>
                <w:rFonts w:ascii="Arial" w:cs="Arial" w:eastAsia="Arial" w:hAnsi="Arial"/>
                <w:sz w:val="18"/>
                <w:szCs w:val="18"/>
                <w:color w:val="auto"/>
                <w:w w:val="90"/>
              </w:rPr>
              <w:t>$4,000,000.00</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Initiation of the first Phase II Clinical Trial</w:t>
            </w:r>
          </w:p>
        </w:tc>
        <w:tc>
          <w:tcPr>
            <w:tcW w:w="210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Initiation of the first Phase III Clinical Trial for first indication</w:t>
            </w:r>
          </w:p>
        </w:tc>
        <w:tc>
          <w:tcPr>
            <w:tcW w:w="2100" w:type="dxa"/>
            <w:vAlign w:val="bottom"/>
            <w:gridSpan w:val="2"/>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Initiation of the first Phase III Clinical Trial for second indication</w:t>
            </w:r>
          </w:p>
        </w:tc>
        <w:tc>
          <w:tcPr>
            <w:tcW w:w="210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Filing of the first NDA for the first indication</w:t>
            </w:r>
          </w:p>
        </w:tc>
        <w:tc>
          <w:tcPr>
            <w:tcW w:w="2100" w:type="dxa"/>
            <w:vAlign w:val="bottom"/>
            <w:gridSpan w:val="2"/>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Filing of the first NDA for the second indication</w:t>
            </w:r>
          </w:p>
        </w:tc>
        <w:tc>
          <w:tcPr>
            <w:tcW w:w="210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Filing of the first MAA for the first indication</w:t>
            </w:r>
          </w:p>
        </w:tc>
        <w:tc>
          <w:tcPr>
            <w:tcW w:w="2100" w:type="dxa"/>
            <w:vAlign w:val="bottom"/>
            <w:gridSpan w:val="2"/>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Filing of the first MAA for the second indication</w:t>
            </w:r>
          </w:p>
        </w:tc>
        <w:tc>
          <w:tcPr>
            <w:tcW w:w="210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640" w:type="dxa"/>
            <w:vAlign w:val="bottom"/>
            <w:gridSpan w:val="3"/>
          </w:tcPr>
          <w:p>
            <w:pPr>
              <w:ind w:left="4020"/>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24"/>
                <w:szCs w:val="24"/>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b w:val="1"/>
                <w:bCs w:val="1"/>
                <w:color w:val="auto"/>
                <w:w w:val="90"/>
              </w:rPr>
              <w:t>*Confidential Treatment Requested.</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5" w:name="page226"/>
    <w:bookmarkEnd w:id="2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Milestone Event</w:t>
            </w:r>
          </w:p>
        </w:tc>
        <w:tc>
          <w:tcPr>
            <w:tcW w:w="180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93"/>
              </w:rPr>
              <w:t>Milestone Payment</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NDA approval for the first indication</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First NDA approval for the second indication</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MAA approval for the first indication</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First MAA approval for the second indication</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spacing w:after="0"/>
              <w:rPr>
                <w:sz w:val="20"/>
                <w:szCs w:val="20"/>
                <w:color w:val="auto"/>
              </w:rPr>
            </w:pPr>
            <w:r>
              <w:rPr>
                <w:rFonts w:ascii="Arial" w:cs="Arial" w:eastAsia="Arial" w:hAnsi="Arial"/>
                <w:sz w:val="18"/>
                <w:szCs w:val="18"/>
                <w:color w:val="auto"/>
              </w:rPr>
              <w:t>As used in this Section 6.3, the following terms have the meanings set forth below:</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initiation</w:t>
      </w:r>
      <w:r>
        <w:rPr>
          <w:rFonts w:ascii="Arial" w:cs="Arial" w:eastAsia="Arial" w:hAnsi="Arial"/>
          <w:sz w:val="16"/>
          <w:szCs w:val="16"/>
          <w:color w:val="auto"/>
        </w:rPr>
        <w:t>” means, with respect to a study or clinical trial, the administration of the first dose of Product to the first patient enrolled in such study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trial;</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 clearance</w:t>
      </w:r>
      <w:r>
        <w:rPr>
          <w:rFonts w:ascii="Arial" w:cs="Arial" w:eastAsia="Arial" w:hAnsi="Arial"/>
          <w:sz w:val="18"/>
          <w:szCs w:val="18"/>
          <w:color w:val="auto"/>
        </w:rPr>
        <w:t>” means filing and clearance by FDA without rejection or being placed on clinical hold;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means a specific disease or condition;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w:t>
      </w:r>
      <w:r>
        <w:rPr>
          <w:rFonts w:ascii="Arial" w:cs="Arial" w:eastAsia="Arial" w:hAnsi="Arial"/>
          <w:sz w:val="18"/>
          <w:szCs w:val="18"/>
          <w:color w:val="auto"/>
        </w:rPr>
        <w:t>” means acceptance for filing with the applicable regulatory or governmental authority; and</w:t>
      </w:r>
    </w:p>
    <w:p>
      <w:pPr>
        <w:spacing w:after="0" w:line="225" w:lineRule="exact"/>
        <w:rPr>
          <w:sz w:val="20"/>
          <w:szCs w:val="20"/>
          <w:color w:val="auto"/>
        </w:rPr>
      </w:pPr>
    </w:p>
    <w:p>
      <w:pPr>
        <w:jc w:val="both"/>
        <w:ind w:right="3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approval</w:t>
      </w:r>
      <w:r>
        <w:rPr>
          <w:rFonts w:ascii="Arial" w:cs="Arial" w:eastAsia="Arial" w:hAnsi="Arial"/>
          <w:sz w:val="18"/>
          <w:szCs w:val="18"/>
          <w:color w:val="auto"/>
        </w:rPr>
        <w:t>” means, with respect to a Product in any country or jurisdiction, any approval, registration, license or authorization from a regulatory or governmental authority in a country or other jurisdiction that is necessary to market and sell such Product in such country or jurisdiction; “approval” shall specifically include FDA approvals of BLAs.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6.4. Earned Royalties</w:t>
      </w:r>
      <w:r>
        <w:rPr>
          <w:rFonts w:ascii="Arial" w:cs="Arial" w:eastAsia="Arial" w:hAnsi="Arial"/>
          <w:sz w:val="18"/>
          <w:szCs w:val="18"/>
          <w:color w:val="auto"/>
        </w:rPr>
        <w:t>.</w:t>
      </w:r>
    </w:p>
    <w:p>
      <w:pPr>
        <w:spacing w:after="0" w:line="229" w:lineRule="exact"/>
        <w:rPr>
          <w:sz w:val="20"/>
          <w:szCs w:val="20"/>
          <w:color w:val="auto"/>
        </w:rPr>
      </w:pPr>
    </w:p>
    <w:p>
      <w:pPr>
        <w:ind w:right="820" w:firstLine="921"/>
        <w:spacing w:after="0" w:line="277" w:lineRule="auto"/>
        <w:tabs>
          <w:tab w:leader="none" w:pos="1168"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With respect to Net Sales of a Product resulting from a Development Antibody, on a Product-by-Product basis, TESARO shall pay AnaptysBio a royalty on Net Sales as follows:</w:t>
      </w:r>
    </w:p>
    <w:p>
      <w:pPr>
        <w:sectPr>
          <w:pgSz w:w="11900" w:h="16838" w:orient="portrait"/>
          <w:cols w:equalWidth="0" w:num="1">
            <w:col w:w="11420"/>
          </w:cols>
          <w:pgMar w:left="240" w:top="253" w:right="239" w:bottom="1440" w:gutter="0" w:footer="0" w:header="0"/>
        </w:sectPr>
      </w:pPr>
    </w:p>
    <w:p>
      <w:pPr>
        <w:spacing w:after="0" w:line="193" w:lineRule="exact"/>
        <w:rPr>
          <w:sz w:val="20"/>
          <w:szCs w:val="20"/>
          <w:color w:val="auto"/>
        </w:rPr>
      </w:pPr>
    </w:p>
    <w:p>
      <w:pPr>
        <w:jc w:val="center"/>
        <w:ind w:left="2000"/>
        <w:spacing w:after="0"/>
        <w:rPr>
          <w:sz w:val="20"/>
          <w:szCs w:val="20"/>
          <w:color w:val="auto"/>
        </w:rPr>
      </w:pPr>
      <w:r>
        <w:rPr>
          <w:rFonts w:ascii="Arial" w:cs="Arial" w:eastAsia="Arial" w:hAnsi="Arial"/>
          <w:sz w:val="13"/>
          <w:szCs w:val="13"/>
          <w:color w:val="auto"/>
        </w:rPr>
        <w:t>Worldwide Annual Net Sales of a Product (on a</w:t>
      </w:r>
    </w:p>
    <w:p>
      <w:pPr>
        <w:spacing w:after="0" w:line="10" w:lineRule="exact"/>
        <w:rPr>
          <w:sz w:val="20"/>
          <w:szCs w:val="20"/>
          <w:color w:val="auto"/>
        </w:rPr>
      </w:pPr>
    </w:p>
    <w:p>
      <w:pPr>
        <w:jc w:val="center"/>
        <w:ind w:left="2000"/>
        <w:spacing w:after="0"/>
        <w:rPr>
          <w:sz w:val="20"/>
          <w:szCs w:val="20"/>
          <w:color w:val="auto"/>
        </w:rPr>
      </w:pPr>
      <w:r>
        <w:rPr>
          <w:rFonts w:ascii="Arial" w:cs="Arial" w:eastAsia="Arial" w:hAnsi="Arial"/>
          <w:sz w:val="13"/>
          <w:szCs w:val="13"/>
          <w:color w:val="auto"/>
        </w:rPr>
        <w:t>Product-by-Product basis) during the applicable</w:t>
      </w:r>
    </w:p>
    <w:p>
      <w:pPr>
        <w:jc w:val="center"/>
        <w:ind w:left="2000"/>
        <w:spacing w:after="0"/>
        <w:rPr>
          <w:sz w:val="20"/>
          <w:szCs w:val="20"/>
          <w:color w:val="auto"/>
        </w:rPr>
      </w:pPr>
      <w:r>
        <w:rPr>
          <w:rFonts w:ascii="Arial" w:cs="Arial" w:eastAsia="Arial" w:hAnsi="Arial"/>
          <w:sz w:val="14"/>
          <w:szCs w:val="14"/>
          <w:color w:val="auto"/>
        </w:rPr>
        <w:t>calendar year during the Royalty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-3175</wp:posOffset>
            </wp:positionV>
            <wp:extent cx="17494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Portion less than or equal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Portion greater than $[*], but less than or equal to $[*]:</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Portion greater than $[*], but less than or equal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Portion greater than $[*], but less than or equal to $[*]:</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Portion greater than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660"/>
        <w:spacing w:after="0"/>
        <w:rPr>
          <w:sz w:val="20"/>
          <w:szCs w:val="20"/>
          <w:color w:val="auto"/>
        </w:rPr>
      </w:pPr>
      <w:r>
        <w:rPr>
          <w:rFonts w:ascii="Arial" w:cs="Arial" w:eastAsia="Arial" w:hAnsi="Arial"/>
          <w:sz w:val="14"/>
          <w:szCs w:val="14"/>
          <w:color w:val="auto"/>
        </w:rPr>
        <w:t>Royalty Rate</w:t>
      </w:r>
    </w:p>
    <w:p>
      <w:pPr>
        <w:jc w:val="center"/>
        <w:ind w:right="1660"/>
        <w:spacing w:after="0" w:line="221" w:lineRule="auto"/>
        <w:rPr>
          <w:sz w:val="20"/>
          <w:szCs w:val="20"/>
          <w:color w:val="auto"/>
        </w:rPr>
      </w:pPr>
      <w:r>
        <w:rPr>
          <w:rFonts w:ascii="Arial" w:cs="Arial" w:eastAsia="Arial" w:hAnsi="Arial"/>
          <w:sz w:val="14"/>
          <w:szCs w:val="14"/>
          <w:color w:val="auto"/>
        </w:rPr>
        <w:t>Applicable to</w:t>
      </w:r>
    </w:p>
    <w:p>
      <w:pPr>
        <w:jc w:val="center"/>
        <w:ind w:right="1660"/>
        <w:spacing w:after="0"/>
        <w:rPr>
          <w:sz w:val="20"/>
          <w:szCs w:val="20"/>
          <w:color w:val="auto"/>
        </w:rPr>
      </w:pPr>
      <w:r>
        <w:rPr>
          <w:rFonts w:ascii="Arial" w:cs="Arial" w:eastAsia="Arial" w:hAnsi="Arial"/>
          <w:sz w:val="14"/>
          <w:szCs w:val="14"/>
          <w:color w:val="auto"/>
        </w:rPr>
        <w:t>a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-3175</wp:posOffset>
            </wp:positionV>
            <wp:extent cx="4889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 Treatment Requested.</w:t>
      </w:r>
    </w:p>
    <w:p>
      <w:pPr>
        <w:sectPr>
          <w:pgSz w:w="11900" w:h="16838" w:orient="portrait"/>
          <w:cols w:equalWidth="0" w:num="2">
            <w:col w:w="7920" w:space="720"/>
            <w:col w:w="2780"/>
          </w:cols>
          <w:pgMar w:left="240" w:top="253" w:right="239" w:bottom="1440" w:gutter="0" w:footer="0" w:header="0"/>
          <w:type w:val="continuous"/>
        </w:sectPr>
      </w:pPr>
    </w:p>
    <w:bookmarkStart w:id="226" w:name="page227"/>
    <w:bookmarkEnd w:id="226"/>
    <w:p>
      <w:pPr>
        <w:ind w:right="60" w:firstLine="921"/>
        <w:spacing w:after="0" w:line="255" w:lineRule="auto"/>
        <w:tabs>
          <w:tab w:leader="none" w:pos="1178" w:val="left"/>
        </w:tabs>
        <w:numPr>
          <w:ilvl w:val="1"/>
          <w:numId w:val="15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Royalties payable under this Section 6.4 shall be paid on a country-by- country basis from the date of the first commercial sale of each Product with respect to which royalty payments are due until the later of (i) the [*] ([*]) anniversary of the first commercial sale of the Product in such country, and (ii) the expiration date in such country of the last to expire of any Patent within the AnaptysBio Patents or the Collaboration Patents covering the manufacture, use or sale of such Product in such country (the “</w:t>
      </w:r>
      <w:r>
        <w:rPr>
          <w:rFonts w:ascii="Arial" w:cs="Arial" w:eastAsia="Arial" w:hAnsi="Arial"/>
          <w:sz w:val="18"/>
          <w:szCs w:val="18"/>
          <w:b w:val="1"/>
          <w:bCs w:val="1"/>
          <w:color w:val="auto"/>
        </w:rPr>
        <w:t>Royalty Term</w:t>
      </w:r>
      <w:r>
        <w:rPr>
          <w:rFonts w:ascii="Arial" w:cs="Arial" w:eastAsia="Arial" w:hAnsi="Arial"/>
          <w:sz w:val="18"/>
          <w:szCs w:val="18"/>
          <w:color w:val="auto"/>
        </w:rPr>
        <w:t>”). For the avoidance of doubt, TESARO’s obligation to pay royalties under this Section 6.4 is imposed only once with respect to the same unit of Product, notwithstanding such Product may be covered by more than one valid claim of an AnaptysBio Patent or Collaboration Patent.</w:t>
      </w:r>
    </w:p>
    <w:p>
      <w:pPr>
        <w:spacing w:after="0" w:line="193" w:lineRule="exact"/>
        <w:rPr>
          <w:rFonts w:ascii="Arial" w:cs="Arial" w:eastAsia="Arial" w:hAnsi="Arial"/>
          <w:sz w:val="18"/>
          <w:szCs w:val="18"/>
          <w:b w:val="1"/>
          <w:bCs w:val="1"/>
          <w:color w:val="auto"/>
        </w:rPr>
      </w:pPr>
    </w:p>
    <w:p>
      <w:pPr>
        <w:ind w:right="60" w:firstLine="921"/>
        <w:spacing w:after="0" w:line="255" w:lineRule="auto"/>
        <w:tabs>
          <w:tab w:leader="none" w:pos="1158" w:val="left"/>
        </w:tabs>
        <w:numPr>
          <w:ilvl w:val="1"/>
          <w:numId w:val="157"/>
        </w:numPr>
        <w:rPr>
          <w:rFonts w:ascii="Arial" w:cs="Arial" w:eastAsia="Arial" w:hAnsi="Arial"/>
          <w:sz w:val="18"/>
          <w:szCs w:val="18"/>
          <w:b w:val="1"/>
          <w:bCs w:val="1"/>
          <w:color w:val="auto"/>
        </w:rPr>
      </w:pPr>
      <w:r>
        <w:rPr>
          <w:rFonts w:ascii="Arial" w:cs="Arial" w:eastAsia="Arial" w:hAnsi="Arial"/>
          <w:sz w:val="18"/>
          <w:szCs w:val="18"/>
          <w:color w:val="auto"/>
        </w:rPr>
        <w:t>If TESARO pays royalties to any Third Party in a country in order to make, use, sell, offer for sale or import the Development Antibody component of a Product in such country, then TESARO shall have the right to credit [*] percent ([*]%) of such Third Party royalty payments against the royalties owing to AnaptysBio under Section 6.4(a) with respect to sales of such Product in such country; provided, however, that TESARO shall not reduce the amount of the royalties owing to AnaptysBio under Section 6.4(a) with respect to such Product in such country to less than [*] percent ([*]%) of the royalties that would otherwise be due under Section 6.4(a) with respect to such Product in such country. Notwithstanding the foregoing, if TESARO pays any such royalties to a Third Party that [*].</w:t>
      </w:r>
    </w:p>
    <w:p>
      <w:pPr>
        <w:spacing w:after="0" w:line="216" w:lineRule="exact"/>
        <w:rPr>
          <w:rFonts w:ascii="Arial" w:cs="Arial" w:eastAsia="Arial" w:hAnsi="Arial"/>
          <w:sz w:val="18"/>
          <w:szCs w:val="18"/>
          <w:b w:val="1"/>
          <w:bCs w:val="1"/>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PAYMENTS; RECORDS</w:t>
      </w:r>
    </w:p>
    <w:p>
      <w:pPr>
        <w:spacing w:after="0" w:line="22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7.1. Payment Method</w:t>
      </w:r>
      <w:r>
        <w:rPr>
          <w:rFonts w:ascii="Arial" w:cs="Arial" w:eastAsia="Arial" w:hAnsi="Arial"/>
          <w:sz w:val="18"/>
          <w:szCs w:val="18"/>
          <w:color w:val="auto"/>
        </w:rPr>
        <w:t>. All payments due under this Agreement shall be made from a bank located in the United States by bank wire transfer in</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available funds to a bank account designated by AnaptysBio. All payments hereunder shall be made in U.S. dollars. In the event that the due date of any payment subject to Section 6 is a Saturday, Sunday or national holiday, such payment may be paid on the following business day. Any payments that are not paid on the date such payments are due under this Agreement shall bear interest to the extent permitted by applicable law at the rate of [*] percent ([*]%) per annum, calculated on the number of days such payment is delinquent.</w:t>
      </w:r>
    </w:p>
    <w:p>
      <w:pPr>
        <w:spacing w:after="0" w:line="184"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7.2. Taxes</w:t>
      </w:r>
      <w:r>
        <w:rPr>
          <w:rFonts w:ascii="Arial" w:cs="Arial" w:eastAsia="Arial" w:hAnsi="Arial"/>
          <w:sz w:val="18"/>
          <w:szCs w:val="18"/>
          <w:color w:val="auto"/>
        </w:rPr>
        <w:t>. All payments required to be paid to AnaptysBio pursuant to this Agreement shall be paid with deduction for withholding for or on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taxes (other than taxes imposed on or measured by net income) or similar governmental charge.</w:t>
      </w:r>
    </w:p>
    <w:p>
      <w:pPr>
        <w:spacing w:after="0" w:line="94"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27" w:name="page228"/>
    <w:bookmarkEnd w:id="227"/>
    <w:p>
      <w:pPr>
        <w:jc w:val="both"/>
        <w:ind w:right="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7.3. Royalty Payments and Reports</w:t>
      </w:r>
      <w:r>
        <w:rPr>
          <w:rFonts w:ascii="Arial" w:cs="Arial" w:eastAsia="Arial" w:hAnsi="Arial"/>
          <w:sz w:val="18"/>
          <w:szCs w:val="18"/>
          <w:color w:val="auto"/>
        </w:rPr>
        <w:t>. Royalty payments under this Agreement with respect to Net Sales of Product in a given calendar quarter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to AnaptysBio or its designee quarterly within [*] ([*]) days following the applicable calendar quarter. Each royalty payment shall be accompanied by a report [*].</w:t>
      </w:r>
    </w:p>
    <w:p>
      <w:pPr>
        <w:spacing w:after="0" w:line="17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7.4. Books and Records; Accounting and Audits</w:t>
      </w:r>
      <w:r>
        <w:rPr>
          <w:rFonts w:ascii="Arial" w:cs="Arial" w:eastAsia="Arial" w:hAnsi="Arial"/>
          <w:sz w:val="16"/>
          <w:szCs w:val="16"/>
          <w:color w:val="auto"/>
        </w:rPr>
        <w:t>. Each Party shall maintain complete and accurate books and records, in accordance with GAAP,</w:t>
      </w:r>
      <w:r>
        <w:rPr>
          <w:rFonts w:ascii="Arial" w:cs="Arial" w:eastAsia="Arial" w:hAnsi="Arial"/>
          <w:sz w:val="16"/>
          <w:szCs w:val="16"/>
          <w:b w:val="1"/>
          <w:bCs w:val="1"/>
          <w:color w:val="auto"/>
        </w:rPr>
        <w:t xml:space="preserve"> </w:t>
      </w:r>
      <w:r>
        <w:rPr>
          <w:rFonts w:ascii="Arial" w:cs="Arial" w:eastAsia="Arial" w:hAnsi="Arial"/>
          <w:sz w:val="16"/>
          <w:szCs w:val="16"/>
          <w:color w:val="auto"/>
        </w:rPr>
        <w:t>which are relevant to, as applicable, costs or expenses to be reimbursed by TESARO, or payments to made to AnaptysBio, under this Agreement, which books and records shall be sufficient in detail to verify all payment amounts due to a Party hereunder. The Party requesting an audit (the “</w:t>
      </w:r>
      <w:r>
        <w:rPr>
          <w:rFonts w:ascii="Arial" w:cs="Arial" w:eastAsia="Arial" w:hAnsi="Arial"/>
          <w:sz w:val="16"/>
          <w:szCs w:val="16"/>
          <w:b w:val="1"/>
          <w:bCs w:val="1"/>
          <w:color w:val="auto"/>
        </w:rPr>
        <w:t>Auditing Party</w:t>
      </w:r>
      <w:r>
        <w:rPr>
          <w:rFonts w:ascii="Arial" w:cs="Arial" w:eastAsia="Arial" w:hAnsi="Arial"/>
          <w:sz w:val="16"/>
          <w:szCs w:val="16"/>
          <w:color w:val="auto"/>
        </w:rPr>
        <w:t>”) shall have the right, at its own expense and not more than once in any calendar year during the term of this Agreement, to have an independent, certified public accountant, selected by the Auditing Party, and under an obligation of confidence, audit the books and records of the other Party (the “</w:t>
      </w:r>
      <w:r>
        <w:rPr>
          <w:rFonts w:ascii="Arial" w:cs="Arial" w:eastAsia="Arial" w:hAnsi="Arial"/>
          <w:sz w:val="16"/>
          <w:szCs w:val="16"/>
          <w:b w:val="1"/>
          <w:bCs w:val="1"/>
          <w:color w:val="auto"/>
        </w:rPr>
        <w:t>Audited Party</w:t>
      </w:r>
      <w:r>
        <w:rPr>
          <w:rFonts w:ascii="Arial" w:cs="Arial" w:eastAsia="Arial" w:hAnsi="Arial"/>
          <w:sz w:val="16"/>
          <w:szCs w:val="16"/>
          <w:color w:val="auto"/>
        </w:rPr>
        <w:t>”) in the location(s) where such books and records are maintained upon reasonable notice (which shall be no less than fifteen (15) business days prior written notice) and during regular business hours, and for the sole purpose of verifying the basis and accuracy of payments required and made under this Agreement. The report and communication of such accountant with respect to such an audit shall be limited to a certificate stating whether any, as applicable, report made or reimbursement or other payment submitted during such period is accurate or inaccurate and, if a discrepancy is identified, shall also indicate the amount and if applicable, with respect to any report, the nature, of any discrepancy, and the correct information (with respect to the applicable period). Such accountant shall provide AnaptysBio and TESARO with a copy of each such report simultaneously. Should the audit lead to the discovery of a discrepancy:</w:t>
      </w:r>
    </w:p>
    <w:p>
      <w:pPr>
        <w:ind w:firstLine="8"/>
        <w:spacing w:after="0" w:line="267" w:lineRule="auto"/>
        <w:tabs>
          <w:tab w:leader="none" w:pos="21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to the Auditing Party’s detriment, the Audited Party shall pay to the Auditing Party the amount of the discrepancy within thirty (30) days of the Audited Party’s receipt of the report; or (ii) to the Audited Party’s detriment, the Audited Party may, as applicable, credit the amount of the discrepancy against future payments payable to the Auditing Party under this Agreement, and if there are no such payments payable, then the Auditing Party shall pay to the Audited Party the amount of the discrepancy within thirty (30) days of the Auditing Party’s receipt of the report. Additionally, in the event that the discrepancy is to the Auditing Party’s detriment and is greater than five percent (5%) of the amount due for such audited period, then the Audited Party shall pay or reimburse the reasonable cost charged by such accountant for such audit. Once the Auditing Party has conducted an audit permitted by this Section 7.4 in respect of any period, it may not re-inspect the Audited Party’s books and records in respect of such period, unless a subsequent audit of a separate reporting period uncovers fraud on the part of the Audited Party that is reasonably expected to have been occurring during the prior audited period. For clarity, however, if a discrepancy is identified by the accountant during the course of an audit and the Parties do not agree upon a resolution of such discrepancy, then the Auditing Party’s accountant may re-inspect the books and records to the extent reasonably relevant to resolving such discrepancy. Notwithstanding anything herein to the contrary, upon the expiration of three (3) years following the end of any calendar year, the right to audit, the books and records for such calendar year shall expire and such Party shall be released from any liability or accountability with respect to payments or FTE work performed as reflected in such books of such Party for such calendar year (including, for clarity, with respect to the calculation of royalties payable with respect to each such calendar year). The Parties shall no longer be required to retain such books and records for any calendar year after the expiration of the third (3rd) calendar year following such calendar year.</w:t>
      </w:r>
    </w:p>
    <w:p>
      <w:pPr>
        <w:spacing w:after="0" w:line="110"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28" w:name="page229"/>
    <w:bookmarkEnd w:id="228"/>
    <w:p>
      <w:pPr>
        <w:ind w:right="26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7.5. Blocked Currency</w:t>
      </w:r>
      <w:r>
        <w:rPr>
          <w:rFonts w:ascii="Arial" w:cs="Arial" w:eastAsia="Arial" w:hAnsi="Arial"/>
          <w:sz w:val="18"/>
          <w:szCs w:val="18"/>
          <w:color w:val="auto"/>
        </w:rPr>
        <w:t>. If at any time legal restrictions in the Territory prevent the prompt remittance of any payments with respect to sales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TESARO shall have the right and option to make such payments by depositing the amount thereof in local currency to AnaptysBio account in a bank or depository in the Territory.</w:t>
      </w:r>
    </w:p>
    <w:p>
      <w:pPr>
        <w:spacing w:after="0" w:line="176"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7.6. Confidentiality</w:t>
      </w:r>
      <w:r>
        <w:rPr>
          <w:rFonts w:ascii="Arial" w:cs="Arial" w:eastAsia="Arial" w:hAnsi="Arial"/>
          <w:sz w:val="18"/>
          <w:szCs w:val="18"/>
          <w:color w:val="auto"/>
        </w:rPr>
        <w:t>. Each Party shall treat all financial information of the other Party that is subject to review under this Section 7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all royalty reports) as such other Party’s Confidential Information.</w:t>
      </w:r>
    </w:p>
    <w:p>
      <w:pPr>
        <w:spacing w:after="0" w:line="189"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DILIGENCE; REVERSION</w:t>
      </w:r>
    </w:p>
    <w:p>
      <w:pPr>
        <w:spacing w:after="0" w:line="225"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b w:val="1"/>
          <w:bCs w:val="1"/>
          <w:color w:val="auto"/>
        </w:rPr>
        <w:t>8.1. Products</w:t>
      </w:r>
      <w:r>
        <w:rPr>
          <w:rFonts w:ascii="Arial" w:cs="Arial" w:eastAsia="Arial" w:hAnsi="Arial"/>
          <w:sz w:val="16"/>
          <w:szCs w:val="16"/>
          <w:color w:val="auto"/>
        </w:rPr>
        <w:t>. TESARO shall use Commercially Reasonable Efforts to (a) fund the development of each Discovery Program as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Discovery Plan and until each Discovery Program has reached the applicable key program decision point set forth in the applicable Discovery Plan, (b) advance at least one Development Antibody with respect to each Development Program, (c) research, test and develop Products, (d) obtain regulatory approval for preclinical, clinical and commercial use of at least one Product with respect to each Development Program, and (e) commercialize Products and attempt to obtain the optimum commercial return for each Product in all major markets throughout the world. [*]</w:t>
      </w:r>
    </w:p>
    <w:p>
      <w:pPr>
        <w:spacing w:after="0" w:line="154" w:lineRule="exact"/>
        <w:rPr>
          <w:sz w:val="20"/>
          <w:szCs w:val="20"/>
          <w:color w:val="auto"/>
        </w:rPr>
      </w:pPr>
    </w:p>
    <w:p>
      <w:pPr>
        <w:ind w:right="580" w:firstLine="456"/>
        <w:spacing w:after="0" w:line="258" w:lineRule="auto"/>
        <w:rPr>
          <w:sz w:val="20"/>
          <w:szCs w:val="20"/>
          <w:color w:val="auto"/>
        </w:rPr>
      </w:pPr>
      <w:r>
        <w:rPr>
          <w:rFonts w:ascii="Arial" w:cs="Arial" w:eastAsia="Arial" w:hAnsi="Arial"/>
          <w:sz w:val="18"/>
          <w:szCs w:val="18"/>
          <w:b w:val="1"/>
          <w:bCs w:val="1"/>
          <w:color w:val="auto"/>
        </w:rPr>
        <w:t>8.2. Reversion</w:t>
      </w:r>
      <w:r>
        <w:rPr>
          <w:rFonts w:ascii="Arial" w:cs="Arial" w:eastAsia="Arial" w:hAnsi="Arial"/>
          <w:sz w:val="18"/>
          <w:szCs w:val="18"/>
          <w:color w:val="auto"/>
        </w:rPr>
        <w:t>. If TESARO fails to satisfy its obligations under Section 8.1 with respect to a Discovery Program or Development Program, or</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discontinues development of all Products within a Discovery Program or Development Program, then all rights to that Discovery Program and/or Development Program, including Development Antibody, Products, data, result, materials and Collaboration IP Rights resulting from such Discovery Program or Development Program shall revert to AnaptysBio in accordance with Sections 14.4(b), 14.4(d) or 14.4(e) without any further obligation to TESARO.</w:t>
      </w:r>
    </w:p>
    <w:p>
      <w:pPr>
        <w:spacing w:after="0" w:line="211"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 Ownership of Inventions; Disclosure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120" w:firstLine="921"/>
        <w:spacing w:after="0" w:line="290" w:lineRule="auto"/>
        <w:tabs>
          <w:tab w:leader="none" w:pos="1168" w:val="left"/>
        </w:tabs>
        <w:numPr>
          <w:ilvl w:val="1"/>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Ownership</w:t>
      </w:r>
      <w:r>
        <w:rPr>
          <w:rFonts w:ascii="Arial" w:cs="Arial" w:eastAsia="Arial" w:hAnsi="Arial"/>
          <w:sz w:val="16"/>
          <w:szCs w:val="16"/>
          <w:color w:val="auto"/>
        </w:rPr>
        <w:t>. Title to all inventions and other intellectual property made by employees of AnaptysBio in the course of performing, or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Discovery Programs shall be owned by AnaptysBio; title to all inventions and other intellectual property made by employees of TESARO in the course of performing, or in connection with, the Discovery Programs or the further development of a Product shall be owned by TESARO; title to all inventions and other intellectual property made jointly by employees of TESARO and AnaptysBio in the course of performing, or in connection with, the Discovery Programs shall be owned jointly by TESARO and AnaptysBio. Inventorship of inventions and other intellectual property made pursuant to this Agreement shall be determined in accordance with the patent laws of the United States. Except as expressly provided in this Agreement, neither Party shall have any obligation to account to the other for profits, or to obtain any approval of the other Party to license or exploit patented jointly-owned subject matter, by reason of joint ownership thereof, and each Party hereby waives any right it may have under the laws of any jurisdiction to require any such consent or accounting. Notwithstanding the foregoing, AnaptysBio is and shall be the sole owner of the AnaptysBio Platform.</w:t>
      </w:r>
    </w:p>
    <w:p>
      <w:pPr>
        <w:spacing w:after="0" w:line="92"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29" w:name="page230"/>
    <w:bookmarkEnd w:id="229"/>
    <w:p>
      <w:pPr>
        <w:ind w:left="1180" w:hanging="259"/>
        <w:spacing w:after="0"/>
        <w:tabs>
          <w:tab w:leader="none" w:pos="1180"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 of Inventions</w:t>
      </w:r>
      <w:r>
        <w:rPr>
          <w:rFonts w:ascii="Arial" w:cs="Arial" w:eastAsia="Arial" w:hAnsi="Arial"/>
          <w:sz w:val="17"/>
          <w:szCs w:val="17"/>
          <w:color w:val="auto"/>
        </w:rPr>
        <w:t>. Each Party shall promptly disclose to the other any inventions made in connection with this Agreement.</w:t>
      </w:r>
    </w:p>
    <w:p>
      <w:pPr>
        <w:spacing w:after="0" w:line="23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b w:val="1"/>
          <w:bCs w:val="1"/>
          <w:color w:val="auto"/>
        </w:rPr>
        <w:t>9.2. Patent Prosecution</w:t>
      </w:r>
      <w:r>
        <w:rPr>
          <w:rFonts w:ascii="Arial" w:cs="Arial" w:eastAsia="Arial" w:hAnsi="Arial"/>
          <w:sz w:val="17"/>
          <w:szCs w:val="17"/>
          <w:color w:val="auto"/>
        </w:rPr>
        <w:t>. Prior to the IND clearance for a Product resulting from a Discovery Program, AnaptysBio shall be responsible, at TESARO’s</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for (i) preparing, filing, prosecuting and maintaining Patent applications and Patents directed to Collaboration Patents claiming the manufacture, composition or use of such Product, and (ii) for conducting any interferences, re-examinations, reissues and oppositions relating thereto (“</w:t>
      </w:r>
      <w:r>
        <w:rPr>
          <w:rFonts w:ascii="Arial" w:cs="Arial" w:eastAsia="Arial" w:hAnsi="Arial"/>
          <w:sz w:val="17"/>
          <w:szCs w:val="17"/>
          <w:b w:val="1"/>
          <w:bCs w:val="1"/>
          <w:color w:val="auto"/>
        </w:rPr>
        <w:t>Prosecute and</w:t>
      </w:r>
      <w:r>
        <w:rPr>
          <w:rFonts w:ascii="Arial" w:cs="Arial" w:eastAsia="Arial" w:hAnsi="Arial"/>
          <w:sz w:val="17"/>
          <w:szCs w:val="17"/>
          <w:color w:val="auto"/>
        </w:rPr>
        <w:t xml:space="preserve"> </w:t>
      </w:r>
      <w:r>
        <w:rPr>
          <w:rFonts w:ascii="Arial" w:cs="Arial" w:eastAsia="Arial" w:hAnsi="Arial"/>
          <w:sz w:val="17"/>
          <w:szCs w:val="17"/>
          <w:b w:val="1"/>
          <w:bCs w:val="1"/>
          <w:color w:val="auto"/>
        </w:rPr>
        <w:t>Maintain</w:t>
      </w:r>
      <w:r>
        <w:rPr>
          <w:rFonts w:ascii="Arial" w:cs="Arial" w:eastAsia="Arial" w:hAnsi="Arial"/>
          <w:sz w:val="17"/>
          <w:szCs w:val="17"/>
          <w:color w:val="auto"/>
        </w:rPr>
        <w:t>”); provided, that TESARO’s financial obligations with respect to any such interference or opposition shall be subject to AnaptysBio obtaining</w:t>
      </w:r>
      <w:r>
        <w:rPr>
          <w:rFonts w:ascii="Arial" w:cs="Arial" w:eastAsia="Arial" w:hAnsi="Arial"/>
          <w:sz w:val="17"/>
          <w:szCs w:val="17"/>
          <w:b w:val="1"/>
          <w:bCs w:val="1"/>
          <w:color w:val="auto"/>
        </w:rPr>
        <w:t xml:space="preserve"> </w:t>
      </w:r>
      <w:r>
        <w:rPr>
          <w:rFonts w:ascii="Arial" w:cs="Arial" w:eastAsia="Arial" w:hAnsi="Arial"/>
          <w:sz w:val="17"/>
          <w:szCs w:val="17"/>
          <w:color w:val="auto"/>
        </w:rPr>
        <w:t>TESARO’s prior written consent with respect to any such action and the associated costs. After IND clearance for a Product resulting from a Discovery Program, TESARO shall be responsible at TESARO’s expense to Prosecute and Maintain the applicable Collaboration Patents. The Party that is tasked to Prosecute and Maintain shall keep the other Party informed with respect to the prosecution and issuance of the Collaboration Patents and provide prompt notice of all material matters related thereto (including upon such Party’s request), and the other Party shall reasonably cooperate with and assist the Party tasked to Prosecute and Maintain in connection with such activities, including without limitation by making scientists and scientific records reasonably available and the execution of all such documents and instruments and the performance of such acts as may be reasonably necessary in order to continue any filing, prosecution, maintenance or extension thereof.</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Enforcement and Defense</w:t>
      </w:r>
      <w:r>
        <w:rPr>
          <w:rFonts w:ascii="Arial" w:cs="Arial" w:eastAsia="Arial" w:hAnsi="Arial"/>
          <w:sz w:val="18"/>
          <w:szCs w:val="18"/>
          <w:color w:val="auto"/>
        </w:rPr>
        <w:t>.</w:t>
      </w:r>
    </w:p>
    <w:p>
      <w:pPr>
        <w:spacing w:after="0" w:line="229" w:lineRule="exact"/>
        <w:rPr>
          <w:sz w:val="20"/>
          <w:szCs w:val="20"/>
          <w:color w:val="auto"/>
        </w:rPr>
      </w:pPr>
    </w:p>
    <w:p>
      <w:pPr>
        <w:ind w:left="1180" w:hanging="259"/>
        <w:spacing w:after="0"/>
        <w:tabs>
          <w:tab w:leader="none" w:pos="1180" w:val="left"/>
        </w:tabs>
        <w:numPr>
          <w:ilvl w:val="0"/>
          <w:numId w:val="163"/>
        </w:numPr>
        <w:rPr>
          <w:rFonts w:ascii="Arial" w:cs="Arial" w:eastAsia="Arial" w:hAnsi="Arial"/>
          <w:sz w:val="16"/>
          <w:szCs w:val="16"/>
          <w:b w:val="1"/>
          <w:bCs w:val="1"/>
          <w:color w:val="auto"/>
        </w:rPr>
      </w:pPr>
      <w:r>
        <w:rPr>
          <w:rFonts w:ascii="Arial" w:cs="Arial" w:eastAsia="Arial" w:hAnsi="Arial"/>
          <w:sz w:val="16"/>
          <w:szCs w:val="16"/>
          <w:color w:val="auto"/>
        </w:rPr>
        <w:t>Each Party shall promptly notify the other of any knowledge it acquires of any potential infringement of the Collaboration Patents by a Third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firstLine="921"/>
        <w:spacing w:after="0" w:line="255" w:lineRule="auto"/>
        <w:tabs>
          <w:tab w:leader="none" w:pos="1178"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If any Patent within the Collaboration Patents is infringed by a Third Party in any country in the Territory in connection with the manufacture, use and sale of a product the same as or substantially similar to a Product in the Field in such country, TESARO shall have the primary right, but not the obligation, to institute, prosecute, and control any action or proceeding with respect to such infringement of such Patent, by counsel of its own choice, and AnaptysBio shall have the right, at its own expense, to be represented in that action by counsel of its own choice. If TESARO fails to bring an action or proceeding within a period of one hundred twenty (120) days after a request by AnaptysBio to do so, AnaptysBio shall have the right to bring and control any such action by counsel of its own choice, and TESARO shall have the right to be represented in any such action by counsel of its own choice at its own expense.</w:t>
      </w:r>
    </w:p>
    <w:p>
      <w:pPr>
        <w:spacing w:after="0" w:line="189" w:lineRule="exact"/>
        <w:rPr>
          <w:rFonts w:ascii="Arial" w:cs="Arial" w:eastAsia="Arial" w:hAnsi="Arial"/>
          <w:sz w:val="18"/>
          <w:szCs w:val="18"/>
          <w:b w:val="1"/>
          <w:bCs w:val="1"/>
          <w:color w:val="auto"/>
        </w:rPr>
      </w:pPr>
    </w:p>
    <w:p>
      <w:pPr>
        <w:ind w:firstLine="921"/>
        <w:spacing w:after="0" w:line="273" w:lineRule="auto"/>
        <w:tabs>
          <w:tab w:leader="none" w:pos="1158" w:val="left"/>
        </w:tabs>
        <w:numPr>
          <w:ilvl w:val="0"/>
          <w:numId w:val="164"/>
        </w:numPr>
        <w:rPr>
          <w:rFonts w:ascii="Arial" w:cs="Arial" w:eastAsia="Arial" w:hAnsi="Arial"/>
          <w:sz w:val="17"/>
          <w:szCs w:val="17"/>
          <w:b w:val="1"/>
          <w:bCs w:val="1"/>
          <w:color w:val="auto"/>
        </w:rPr>
      </w:pPr>
      <w:r>
        <w:rPr>
          <w:rFonts w:ascii="Arial" w:cs="Arial" w:eastAsia="Arial" w:hAnsi="Arial"/>
          <w:sz w:val="17"/>
          <w:szCs w:val="17"/>
          <w:color w:val="auto"/>
        </w:rPr>
        <w:t>If one Party brings an action or proceeding in accordance with Section 9.3(b), the second Party agrees to be joined as a party plaintiff if necessary and to give the first Party reasonable assistance and authority to file and prosecute the suit. The costs and expenses of the Party bringing suit under this Section shall be borne by such Party, and any damages or other monetary awards recovered shall be shared as follows: The amount of such recovery actually received by the Party controlling such action shall first be applied to the out-of- pocket costs of such action, and then (i) if TESARO is the Party that brings such action or proceeding, then AnaptysBio shall be paid an amount equal to the royalties, if any, that would have been due upon sales of the infringing product as if such infringing sales had been Net Sales of a Product sold 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230" w:name="page231"/>
    <w:bookmarkEnd w:id="230"/>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under the authority of TESARO, and the remaining portion of such recovery shall be paid to TESARO, or (ii) if AnaptysBio is the Party that brings such action or proceeding, then the remaining portion of such recovery shall be retained by AnaptysBio. A settlement or consent judgment or other voluntary final disposition of a suit under this Section 9.3 may be entered into without the consent of the Party not bringing the suit. Neither Party shall, however, have the right to enter into any settlement or consent to any claim to the effect that the patent protection offered under any part of the Collaboration Patents would be materially negatively affected, without the consent of the other Party, such consent not to be unreasonably withheld.</w:t>
      </w:r>
    </w:p>
    <w:p>
      <w:pPr>
        <w:spacing w:after="0" w:line="196"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10.1. Confidential Information</w:t>
      </w:r>
      <w:r>
        <w:rPr>
          <w:rFonts w:ascii="Arial" w:cs="Arial" w:eastAsia="Arial" w:hAnsi="Arial"/>
          <w:sz w:val="17"/>
          <w:szCs w:val="17"/>
          <w:color w:val="auto"/>
        </w:rPr>
        <w:t>. Except as otherwise expressly provided herein, the Parties agree that, for the term of this Agreement and for ten</w:t>
      </w:r>
    </w:p>
    <w:p>
      <w:pPr>
        <w:spacing w:after="0" w:line="39" w:lineRule="exact"/>
        <w:rPr>
          <w:sz w:val="20"/>
          <w:szCs w:val="20"/>
          <w:color w:val="auto"/>
        </w:rPr>
      </w:pPr>
    </w:p>
    <w:p>
      <w:pPr>
        <w:ind w:firstLine="8"/>
        <w:spacing w:after="0" w:line="252" w:lineRule="auto"/>
        <w:tabs>
          <w:tab w:leader="none" w:pos="34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years thereafter, the receiving Party shall not, except as expressly provided in this Section 10, disclose to any Third Party any Confidential Information furnished to it by the disclosing Party hereto pursuant to this Agreement, or any results of the Discovery Programs (“</w:t>
      </w:r>
      <w:r>
        <w:rPr>
          <w:rFonts w:ascii="Arial" w:cs="Arial" w:eastAsia="Arial" w:hAnsi="Arial"/>
          <w:sz w:val="18"/>
          <w:szCs w:val="18"/>
          <w:b w:val="1"/>
          <w:bCs w:val="1"/>
          <w:color w:val="auto"/>
        </w:rPr>
        <w:t>Results</w:t>
      </w:r>
      <w:r>
        <w:rPr>
          <w:rFonts w:ascii="Arial" w:cs="Arial" w:eastAsia="Arial" w:hAnsi="Arial"/>
          <w:sz w:val="18"/>
          <w:szCs w:val="18"/>
          <w:color w:val="auto"/>
        </w:rPr>
        <w:t>”). For purposes of this Section 10,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mean any information, samples or other materials, which if disclosed in tangible form is marked “confidential” or with other similar designation to indicate its confidential or proprietary nature, or, if disclosed orally, is indicated orally to be confidential or proprietary at the time of such disclosure and is confirmed in writing as confidential or proprietary within forty-five (45) days after such disclosure. Notwithstanding the foregoing, Confidential Information shall not include any information that can be established by the receiving Party by competent proof that such information:</w:t>
      </w:r>
    </w:p>
    <w:p>
      <w:pPr>
        <w:spacing w:after="0" w:line="193" w:lineRule="exact"/>
        <w:rPr>
          <w:rFonts w:ascii="Arial" w:cs="Arial" w:eastAsia="Arial" w:hAnsi="Arial"/>
          <w:sz w:val="18"/>
          <w:szCs w:val="18"/>
          <w:color w:val="auto"/>
        </w:rPr>
      </w:pPr>
    </w:p>
    <w:p>
      <w:pPr>
        <w:ind w:left="1180" w:hanging="259"/>
        <w:spacing w:after="0"/>
        <w:tabs>
          <w:tab w:leader="none" w:pos="1180"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was already known to the receiving Party, other than under an obligation of confidentiality, at the time of disclosure;</w:t>
      </w:r>
    </w:p>
    <w:p>
      <w:pPr>
        <w:spacing w:after="0" w:line="225" w:lineRule="exact"/>
        <w:rPr>
          <w:rFonts w:ascii="Arial" w:cs="Arial" w:eastAsia="Arial" w:hAnsi="Arial"/>
          <w:sz w:val="18"/>
          <w:szCs w:val="18"/>
          <w:b w:val="1"/>
          <w:bCs w:val="1"/>
          <w:color w:val="auto"/>
        </w:rPr>
      </w:pPr>
    </w:p>
    <w:p>
      <w:pPr>
        <w:ind w:left="1180" w:hanging="259"/>
        <w:spacing w:after="0"/>
        <w:tabs>
          <w:tab w:leader="none" w:pos="1180"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was generally available to the public or otherwise part of the public domain at the time of its disclosure to the receiving Party;</w:t>
      </w:r>
    </w:p>
    <w:p>
      <w:pPr>
        <w:spacing w:after="0" w:line="225" w:lineRule="exact"/>
        <w:rPr>
          <w:rFonts w:ascii="Arial" w:cs="Arial" w:eastAsia="Arial" w:hAnsi="Arial"/>
          <w:sz w:val="18"/>
          <w:szCs w:val="18"/>
          <w:b w:val="1"/>
          <w:bCs w:val="1"/>
          <w:color w:val="auto"/>
        </w:rPr>
      </w:pPr>
    </w:p>
    <w:p>
      <w:pPr>
        <w:ind w:right="160" w:firstLine="921"/>
        <w:spacing w:after="0" w:line="277" w:lineRule="auto"/>
        <w:tabs>
          <w:tab w:leader="none" w:pos="1158"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became generally available to the public or otherwise part of the public domain after its disclosure and other than through any breach of this Agreement by the receiving Party;</w:t>
      </w:r>
    </w:p>
    <w:p>
      <w:pPr>
        <w:spacing w:after="0" w:line="170" w:lineRule="exact"/>
        <w:rPr>
          <w:rFonts w:ascii="Arial" w:cs="Arial" w:eastAsia="Arial" w:hAnsi="Arial"/>
          <w:sz w:val="18"/>
          <w:szCs w:val="18"/>
          <w:b w:val="1"/>
          <w:bCs w:val="1"/>
          <w:color w:val="auto"/>
        </w:rPr>
      </w:pPr>
    </w:p>
    <w:p>
      <w:pPr>
        <w:ind w:right="540" w:firstLine="921"/>
        <w:spacing w:after="0" w:line="277" w:lineRule="auto"/>
        <w:tabs>
          <w:tab w:leader="none" w:pos="1178"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was independently developed by the receiving Party as demonstrated by documented evidence prepared contemporaneously with such independent development; or</w:t>
      </w:r>
    </w:p>
    <w:p>
      <w:pPr>
        <w:spacing w:after="0" w:line="170" w:lineRule="exact"/>
        <w:rPr>
          <w:rFonts w:ascii="Arial" w:cs="Arial" w:eastAsia="Arial" w:hAnsi="Arial"/>
          <w:sz w:val="18"/>
          <w:szCs w:val="18"/>
          <w:b w:val="1"/>
          <w:bCs w:val="1"/>
          <w:color w:val="auto"/>
        </w:rPr>
      </w:pPr>
    </w:p>
    <w:p>
      <w:pPr>
        <w:ind w:right="760" w:firstLine="921"/>
        <w:spacing w:after="0" w:line="277" w:lineRule="auto"/>
        <w:tabs>
          <w:tab w:leader="none" w:pos="1158"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was disclosed to the receiving Party, other than under an obligation of confidentiality, by a Third Party who had no obligation to the disclosing Party not to disclose such information to others.</w:t>
      </w:r>
    </w:p>
    <w:p>
      <w:pPr>
        <w:spacing w:after="0" w:line="166"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10.2. Permitted Use and Disclosures</w:t>
      </w:r>
      <w:r>
        <w:rPr>
          <w:rFonts w:ascii="Arial" w:cs="Arial" w:eastAsia="Arial" w:hAnsi="Arial"/>
          <w:sz w:val="18"/>
          <w:szCs w:val="18"/>
          <w:color w:val="auto"/>
        </w:rPr>
        <w:t>. Each Party hereto may use or disclose Confidential Information disclosed to it by the other Party or Results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such use or disclosure is reasonably necessary and permitted in the exercise of the rights granted hereunder in filing or prosecuting Patent applications, prosecuting or defending litigation, complying with applicable governmental laws, rules, regulations or court order or otherwise submitting information to tax or other governmental authorities, conducting clinical trials, or making a permitted sublicense or otherwise exercising license rights expressly granted by the other Party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31" w:name="page232"/>
    <w:bookmarkEnd w:id="231"/>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it pursuant to the terms of this Agreement; provided, that if a Party is required to make any such disclosure, other than pursuant to a confidentiality agreement, it will give reasonable advance notice to the other Party of such disclosure and, save to the extent inappropriate in the case of Patent applications, will use its reasonable efforts to secure confidential treatment of such information in consultation with the other Party prior to its disclosure (whether through protective orders or otherwise) and disclose only the minimum necessary to comply with such requirements. Nothing in this Article 10 shall restrict TESARO from providing Development Antibodies (and associated related information) to academic and other collaborators to conduct pre-clinical and clinical studies to further the research, development and commercialization of the Development Antibodies.</w:t>
      </w:r>
    </w:p>
    <w:p>
      <w:pPr>
        <w:spacing w:after="0" w:line="201"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PUBLICITY</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11.1. Nondisclosure of Terms</w:t>
      </w:r>
      <w:r>
        <w:rPr>
          <w:rFonts w:ascii="Arial" w:cs="Arial" w:eastAsia="Arial" w:hAnsi="Arial"/>
          <w:sz w:val="16"/>
          <w:szCs w:val="16"/>
          <w:color w:val="auto"/>
        </w:rPr>
        <w:t>. Each of the Parties hereto agrees not to disclose the terms of this Agreement to any Third Party without the prior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consent of the other Party hereto, which consent shall not be unreasonably withheld, except to such Party’s attorneys, advisors, investors, potential investors and other similarly situated Third Parties on a need to know basis under circumstances that reasonably ensure the confidentiality thereof, or to the extent required by law. Notwithstanding the foregoing, the press release attached to the Supplemental Information Package as Exhibit B-1 shall be jointly released by both Parties promptly following the Effective Date, and the press release attached to the Supplemental Information Package as Exhibit B-2 shall be released by AnaptysBio promptly following the Effective Date. Furthermore, it is understood that either Party may be required to issue subsequent press releases or make disclosures required by law (pursuant to filings with the Securities and Exchange Commission or otherwise) relating to the terms of this Agreement or activities hereunder. The Parties agree to consult with each other reasonably and in good faith with respect to the text and timing of all such press releases or other disclosures required by law prior to the issuance thereof, provided that a Party may not unreasonably withhold or delay consent to such releases or disclosures, and that either Party may issue such press releases or make such disclosures as it determines, based on advice of counsel, are reasonably necessary to comply with laws or regulations or for appropriate stock market disclosure. Furthermore, AnaptysBio shall have the right to publicly announce, by press release or otherwise, the occurrence of each significant event under the terms of this Agreement, including the receipt of each milestone payment reference above, provided that AnaptysBio consults with TESARO reasonably and in good faith with respect to the text and timing of such public announcement prior to the issuance thereof, provided that no Confidential Information shall be disclosed without permission of TESARO.</w:t>
      </w:r>
    </w:p>
    <w:p>
      <w:pPr>
        <w:spacing w:after="0" w:line="1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11.2. Publications</w:t>
      </w:r>
      <w:r>
        <w:rPr>
          <w:rFonts w:ascii="Arial" w:cs="Arial" w:eastAsia="Arial" w:hAnsi="Arial"/>
          <w:sz w:val="18"/>
          <w:szCs w:val="18"/>
          <w:color w:val="auto"/>
        </w:rPr>
        <w:t>. With respect to any Discovery Program, each Party shall submit any proposed scientific publication to the other Party that relates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to one or more Development Antibodies or Products, discloses the results of a Discovery Program or includes Confidential Information of the other Party at least thirty (30) days in advance to allow that Party to review such planned public disclosure. The reviewing Party will promptly review such proposed scientific publication and make any objections that it may have to the publication of such results or the Confidential Information of the reviewing Party contained therein. Should the reviewing Party make an objection to the publication of any such results or Confidential Information, then the Parties shall discuss the advantages and disadvantages of publishing such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32" w:name="page233"/>
    <w:bookmarkEnd w:id="23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or Confidential Information. If the Parties are unable to agree on whether to publish the same, the respective Chief Executive Officers of AnaptysBio and TESARO (or, with respect to TESARO, the President) shall reasonably agree on the extent to which the publication of such results or Confidential Information shall be made. AnaptysBio acknowledges that TESARO may enter into agreements with academic and other collaborators to conduct studies with Development Antibodies, including in combination with other compounds, in all cases consistent with the license rights granted hereunder. Notwithstanding the provisions of this Section 11.2 to the contrary, TESARO shall be required only to request such collaborators comply with the provisions of this Section 11.2 with regard to their scientific publications, but TESARO shall not be in violation of this Section 11.2 as a result of the actions of such collaborators with respect thereto.</w:t>
      </w:r>
    </w:p>
    <w:p>
      <w:pPr>
        <w:spacing w:after="0" w:line="18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11.3. Blinded Data</w:t>
      </w:r>
      <w:r>
        <w:rPr>
          <w:rFonts w:ascii="Arial" w:cs="Arial" w:eastAsia="Arial" w:hAnsi="Arial"/>
          <w:sz w:val="18"/>
          <w:szCs w:val="18"/>
          <w:color w:val="auto"/>
        </w:rPr>
        <w:t>. For the purposes of promoting or otherwise highlighting the advantages of the AnaptysBio Platform, AnaptysBio may disclose (or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to be disclosed) to Third Parties, blinded data relating to each of the Discovery Programs at any time during or subsequent to the term of the Agreement, provided that (a) neither TESARO, the Targets or therapeutic area shall be identified, directly or indirectly, in connection therewith, (b) TESARO shall have an opportunity to review each such disclosure at least thirty (30) days prior to the release thereof, and (c) no such disclosure shall include any Confidential Information of TESARO.</w:t>
      </w:r>
    </w:p>
    <w:p>
      <w:pPr>
        <w:spacing w:after="0" w:line="184" w:lineRule="exact"/>
        <w:rPr>
          <w:sz w:val="20"/>
          <w:szCs w:val="20"/>
          <w:color w:val="auto"/>
        </w:rPr>
      </w:pPr>
    </w:p>
    <w:p>
      <w:pPr>
        <w:ind w:right="120" w:firstLine="456"/>
        <w:spacing w:after="0" w:line="295" w:lineRule="auto"/>
        <w:rPr>
          <w:sz w:val="20"/>
          <w:szCs w:val="20"/>
          <w:color w:val="auto"/>
        </w:rPr>
      </w:pPr>
      <w:r>
        <w:rPr>
          <w:rFonts w:ascii="Arial" w:cs="Arial" w:eastAsia="Arial" w:hAnsi="Arial"/>
          <w:sz w:val="16"/>
          <w:szCs w:val="16"/>
          <w:b w:val="1"/>
          <w:bCs w:val="1"/>
          <w:color w:val="auto"/>
        </w:rPr>
        <w:t>11.4. Permitted Disclosures</w:t>
      </w:r>
      <w:r>
        <w:rPr>
          <w:rFonts w:ascii="Arial" w:cs="Arial" w:eastAsia="Arial" w:hAnsi="Arial"/>
          <w:sz w:val="16"/>
          <w:szCs w:val="16"/>
          <w:color w:val="auto"/>
        </w:rPr>
        <w:t>. Notwithstanding anything to the contrary contained in this Agreement or any confidentiality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nothing herein or therein shall prevent a Party from disclosing the terms of this Agreement or such other information a Party reasonably determines, based on advice from its counsel, is necessary or desirable to disclose under applicable law, regulation or legal process (whether in connection with its ongoing disclosure obligations, in connection with a corporate activity or otherwise), including as required by the rules or regulations of the United States Securities and Exchange Commission or similar regulatory agency in a country other than the United States or of any stock exchange or NASDAQ, or in connection with a presentation or disclosure to investors or potential investors subject to customary and appropriate confidentiality restrictions.</w:t>
      </w:r>
    </w:p>
    <w:p>
      <w:pPr>
        <w:spacing w:after="0" w:line="183"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TESARO. TESARO represents and warrants that:</w:t>
      </w:r>
    </w:p>
    <w:p>
      <w:pPr>
        <w:spacing w:after="0" w:line="229" w:lineRule="exact"/>
        <w:rPr>
          <w:rFonts w:ascii="Arial" w:cs="Arial" w:eastAsia="Arial" w:hAnsi="Arial"/>
          <w:sz w:val="18"/>
          <w:szCs w:val="18"/>
          <w:b w:val="1"/>
          <w:bCs w:val="1"/>
          <w:color w:val="auto"/>
        </w:rPr>
      </w:pPr>
    </w:p>
    <w:p>
      <w:pPr>
        <w:ind w:right="140" w:firstLine="921"/>
        <w:spacing w:after="0" w:line="308" w:lineRule="auto"/>
        <w:tabs>
          <w:tab w:leader="none" w:pos="1168" w:val="left"/>
        </w:tabs>
        <w:numPr>
          <w:ilvl w:val="1"/>
          <w:numId w:val="168"/>
        </w:numPr>
        <w:rPr>
          <w:rFonts w:ascii="Arial" w:cs="Arial" w:eastAsia="Arial" w:hAnsi="Arial"/>
          <w:sz w:val="17"/>
          <w:szCs w:val="17"/>
          <w:b w:val="1"/>
          <w:bCs w:val="1"/>
          <w:color w:val="auto"/>
        </w:rPr>
      </w:pPr>
      <w:r>
        <w:rPr>
          <w:rFonts w:ascii="Arial" w:cs="Arial" w:eastAsia="Arial" w:hAnsi="Arial"/>
          <w:sz w:val="17"/>
          <w:szCs w:val="17"/>
          <w:color w:val="auto"/>
        </w:rPr>
        <w:t>it has the legal power, authority and right to enter into this Agreement and to fully perform all of its obligations hereunder, and has taken all necessary action on its part to authorize the execution and delivery of this Agreement and the performance of its obligations hereunder;</w:t>
      </w:r>
    </w:p>
    <w:p>
      <w:pPr>
        <w:spacing w:after="0" w:line="146" w:lineRule="exact"/>
        <w:rPr>
          <w:rFonts w:ascii="Arial" w:cs="Arial" w:eastAsia="Arial" w:hAnsi="Arial"/>
          <w:sz w:val="17"/>
          <w:szCs w:val="17"/>
          <w:b w:val="1"/>
          <w:bCs w:val="1"/>
          <w:color w:val="auto"/>
        </w:rPr>
      </w:pPr>
    </w:p>
    <w:p>
      <w:pPr>
        <w:ind w:right="100" w:firstLine="921"/>
        <w:spacing w:after="0" w:line="277" w:lineRule="auto"/>
        <w:tabs>
          <w:tab w:leader="none" w:pos="1178"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this Agreement is a legal and valid obligation binding upon it and enforceable in accordance with its terms, except as such enforcement may be limited by bankruptcy, insolvency, or other similar laws affecting creditors, generally, or general principles of equity;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33" w:name="page234"/>
    <w:bookmarkEnd w:id="233"/>
    <w:p>
      <w:pPr>
        <w:ind w:left="-100" w:right="160" w:firstLine="921"/>
        <w:spacing w:after="0" w:line="277" w:lineRule="auto"/>
        <w:tabs>
          <w:tab w:leader="none" w:pos="1058"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performance of its obligations hereunder do not conflict with, violate or breach or constitute a default or require any consent under, any agreement, instrument or understanding, or other contractual obligations of TESARO;</w:t>
      </w:r>
    </w:p>
    <w:p>
      <w:pPr>
        <w:spacing w:after="0" w:line="170" w:lineRule="exact"/>
        <w:rPr>
          <w:rFonts w:ascii="Arial" w:cs="Arial" w:eastAsia="Arial" w:hAnsi="Arial"/>
          <w:sz w:val="18"/>
          <w:szCs w:val="18"/>
          <w:b w:val="1"/>
          <w:bCs w:val="1"/>
          <w:color w:val="auto"/>
        </w:rPr>
      </w:pPr>
    </w:p>
    <w:p>
      <w:pPr>
        <w:ind w:left="-100" w:firstLine="921"/>
        <w:spacing w:after="0" w:line="264" w:lineRule="auto"/>
        <w:tabs>
          <w:tab w:leader="none" w:pos="1078"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no government authorization, consent, approval, license, exemption of or filing or registration with any court or governmental authority, is necessary for the transactions contemplated by this Agreement or any other agreement or instrument executed in connection herewith, or for the performance by it of its obligations under this Agreement; and</w:t>
      </w:r>
    </w:p>
    <w:p>
      <w:pPr>
        <w:spacing w:after="0" w:line="181" w:lineRule="exact"/>
        <w:rPr>
          <w:rFonts w:ascii="Arial" w:cs="Arial" w:eastAsia="Arial" w:hAnsi="Arial"/>
          <w:sz w:val="18"/>
          <w:szCs w:val="18"/>
          <w:b w:val="1"/>
          <w:bCs w:val="1"/>
          <w:color w:val="auto"/>
        </w:rPr>
      </w:pPr>
    </w:p>
    <w:p>
      <w:pPr>
        <w:ind w:left="-100" w:right="160" w:firstLine="921"/>
        <w:spacing w:after="0" w:line="279" w:lineRule="auto"/>
        <w:tabs>
          <w:tab w:leader="none" w:pos="1058" w:val="left"/>
        </w:tabs>
        <w:numPr>
          <w:ilvl w:val="0"/>
          <w:numId w:val="169"/>
        </w:numPr>
        <w:rPr>
          <w:rFonts w:ascii="Arial" w:cs="Arial" w:eastAsia="Arial" w:hAnsi="Arial"/>
          <w:sz w:val="17"/>
          <w:szCs w:val="17"/>
          <w:b w:val="1"/>
          <w:bCs w:val="1"/>
          <w:color w:val="auto"/>
        </w:rPr>
      </w:pPr>
      <w:r>
        <w:rPr>
          <w:rFonts w:ascii="Arial" w:cs="Arial" w:eastAsia="Arial" w:hAnsi="Arial"/>
          <w:sz w:val="17"/>
          <w:szCs w:val="17"/>
          <w:color w:val="auto"/>
        </w:rPr>
        <w:t>TESARO has not and shall not employ (or use any Subcontractor or consultant that employs) any individual or entity debarred by the FDA (or subject to a similar sanction of the EMA), or any individual who or entity which is the subject of an FDA debarment investigation or proceeding (or similar proceeding of EMA), or is convicted of a crime for which an individual or entity could be debarred under 21 U.S.C. Section 335a or its foreign equivalent or has been under indictment for a crime for which a person or entity could be debarred under such provision.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12.2. AnaptysBio</w:t>
      </w:r>
      <w:r>
        <w:rPr>
          <w:rFonts w:ascii="Arial" w:cs="Arial" w:eastAsia="Arial" w:hAnsi="Arial"/>
          <w:sz w:val="18"/>
          <w:szCs w:val="18"/>
          <w:color w:val="auto"/>
        </w:rPr>
        <w:t>. AnaptysBio represents and warrants that:</w:t>
      </w:r>
    </w:p>
    <w:p>
      <w:pPr>
        <w:spacing w:after="0" w:line="229" w:lineRule="exact"/>
        <w:rPr>
          <w:sz w:val="20"/>
          <w:szCs w:val="20"/>
          <w:color w:val="auto"/>
        </w:rPr>
      </w:pPr>
    </w:p>
    <w:p>
      <w:pPr>
        <w:ind w:left="-100" w:right="100" w:firstLine="921"/>
        <w:spacing w:after="0" w:line="308" w:lineRule="auto"/>
        <w:tabs>
          <w:tab w:leader="none" w:pos="1068" w:val="left"/>
        </w:tabs>
        <w:numPr>
          <w:ilvl w:val="0"/>
          <w:numId w:val="170"/>
        </w:numPr>
        <w:rPr>
          <w:rFonts w:ascii="Arial" w:cs="Arial" w:eastAsia="Arial" w:hAnsi="Arial"/>
          <w:sz w:val="17"/>
          <w:szCs w:val="17"/>
          <w:b w:val="1"/>
          <w:bCs w:val="1"/>
          <w:color w:val="auto"/>
        </w:rPr>
      </w:pPr>
      <w:r>
        <w:rPr>
          <w:rFonts w:ascii="Arial" w:cs="Arial" w:eastAsia="Arial" w:hAnsi="Arial"/>
          <w:sz w:val="17"/>
          <w:szCs w:val="17"/>
          <w:color w:val="auto"/>
        </w:rPr>
        <w:t>it has the legal power, authority and right to enter into this Agreement and to fully perform all of its obligations hereunder, and has taken all necessary action on its part to authorize the execution and delivery of this Agreement and the performance of its obligations hereunder;</w:t>
      </w:r>
    </w:p>
    <w:p>
      <w:pPr>
        <w:spacing w:after="0" w:line="146" w:lineRule="exact"/>
        <w:rPr>
          <w:rFonts w:ascii="Arial" w:cs="Arial" w:eastAsia="Arial" w:hAnsi="Arial"/>
          <w:sz w:val="17"/>
          <w:szCs w:val="17"/>
          <w:b w:val="1"/>
          <w:bCs w:val="1"/>
          <w:color w:val="auto"/>
        </w:rPr>
      </w:pPr>
    </w:p>
    <w:p>
      <w:pPr>
        <w:ind w:left="-100" w:right="60" w:firstLine="921"/>
        <w:spacing w:after="0" w:line="277" w:lineRule="auto"/>
        <w:tabs>
          <w:tab w:leader="none" w:pos="1078"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this Agreement is a legal and valid obligation binding upon it and enforceable in accordance with its terms, except as such enforcement may be limited by bankruptcy, insolvency, or other similar laws affecting creditors, generally, or general principles of equity;</w:t>
      </w:r>
    </w:p>
    <w:p>
      <w:pPr>
        <w:spacing w:after="0" w:line="170" w:lineRule="exact"/>
        <w:rPr>
          <w:rFonts w:ascii="Arial" w:cs="Arial" w:eastAsia="Arial" w:hAnsi="Arial"/>
          <w:sz w:val="18"/>
          <w:szCs w:val="18"/>
          <w:b w:val="1"/>
          <w:bCs w:val="1"/>
          <w:color w:val="auto"/>
        </w:rPr>
      </w:pPr>
    </w:p>
    <w:p>
      <w:pPr>
        <w:ind w:left="-100" w:right="160" w:firstLine="921"/>
        <w:spacing w:after="0" w:line="277" w:lineRule="auto"/>
        <w:tabs>
          <w:tab w:leader="none" w:pos="1058"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the performance of its obligations hereunder do not conflict with, violate or breach or constitute a default or require any consent under, any agreement, instrument or understanding, or other contractual obligations of AnaptysBio;</w:t>
      </w:r>
    </w:p>
    <w:p>
      <w:pPr>
        <w:spacing w:after="0" w:line="170" w:lineRule="exact"/>
        <w:rPr>
          <w:rFonts w:ascii="Arial" w:cs="Arial" w:eastAsia="Arial" w:hAnsi="Arial"/>
          <w:sz w:val="18"/>
          <w:szCs w:val="18"/>
          <w:b w:val="1"/>
          <w:bCs w:val="1"/>
          <w:color w:val="auto"/>
        </w:rPr>
      </w:pPr>
    </w:p>
    <w:p>
      <w:pPr>
        <w:ind w:left="-100" w:firstLine="921"/>
        <w:spacing w:after="0" w:line="264" w:lineRule="auto"/>
        <w:tabs>
          <w:tab w:leader="none" w:pos="1078"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no government authorization, consent, approval, license, exemption of or filing or registration with any court or governmental authority, is necessary for the transactions contemplated by this Agreement or any other agreement or instrument executed in connection herewith, or for the performance by it of its obligations under this Agreement;</w:t>
      </w:r>
    </w:p>
    <w:p>
      <w:pPr>
        <w:spacing w:after="0" w:line="181" w:lineRule="exact"/>
        <w:rPr>
          <w:rFonts w:ascii="Arial" w:cs="Arial" w:eastAsia="Arial" w:hAnsi="Arial"/>
          <w:sz w:val="18"/>
          <w:szCs w:val="18"/>
          <w:b w:val="1"/>
          <w:bCs w:val="1"/>
          <w:color w:val="auto"/>
        </w:rPr>
      </w:pPr>
    </w:p>
    <w:p>
      <w:pPr>
        <w:ind w:left="1060" w:hanging="239"/>
        <w:spacing w:after="0"/>
        <w:tabs>
          <w:tab w:leader="none" w:pos="106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AnaptysBio Controls the AnaptysBio Know-How and AnaptysBio Patents existing as of the Effective Date;</w:t>
      </w:r>
    </w:p>
    <w:p>
      <w:pPr>
        <w:spacing w:after="0" w:line="225" w:lineRule="exact"/>
        <w:rPr>
          <w:rFonts w:ascii="Arial" w:cs="Arial" w:eastAsia="Arial" w:hAnsi="Arial"/>
          <w:sz w:val="18"/>
          <w:szCs w:val="18"/>
          <w:b w:val="1"/>
          <w:bCs w:val="1"/>
          <w:color w:val="auto"/>
        </w:rPr>
      </w:pPr>
    </w:p>
    <w:p>
      <w:pPr>
        <w:ind w:left="-100" w:right="680" w:firstLine="921"/>
        <w:spacing w:after="0" w:line="277" w:lineRule="auto"/>
        <w:tabs>
          <w:tab w:leader="none" w:pos="1038"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AnaptysBio has the right to grant all rights and licenses it purports to grant to TESARO with respect to the AnaptysBio Know-How, AnaptysBio Patents and AnaptysBio Platform under this Agreement;</w:t>
      </w:r>
    </w:p>
    <w:p>
      <w:pPr>
        <w:spacing w:after="0" w:line="170" w:lineRule="exact"/>
        <w:rPr>
          <w:rFonts w:ascii="Arial" w:cs="Arial" w:eastAsia="Arial" w:hAnsi="Arial"/>
          <w:sz w:val="18"/>
          <w:szCs w:val="18"/>
          <w:b w:val="1"/>
          <w:bCs w:val="1"/>
          <w:color w:val="auto"/>
        </w:rPr>
      </w:pPr>
    </w:p>
    <w:p>
      <w:pPr>
        <w:ind w:left="-100" w:right="220" w:firstLine="921"/>
        <w:spacing w:after="0" w:line="277" w:lineRule="auto"/>
        <w:tabs>
          <w:tab w:leader="none" w:pos="1068"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AnaptysBio has no present knowledge that any settled, pending or threatened claim or lawsuit or legal proceeding of a Third Party against AnaptysBio or any other person alleging that the AnaptysBio Know-How, AnaptysBio Patents or AnaptysBio Platform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40" w:top="274" w:right="31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misappropriates or infringes, in part or in whole, the intellectual property or intellectual property rights of such Third Party;</w:t>
      </w:r>
    </w:p>
    <w:p>
      <w:pPr>
        <w:spacing w:after="0" w:line="225" w:lineRule="exact"/>
        <w:rPr>
          <w:sz w:val="20"/>
          <w:szCs w:val="20"/>
          <w:color w:val="auto"/>
        </w:rPr>
      </w:pPr>
    </w:p>
    <w:p>
      <w:pPr>
        <w:ind w:right="360" w:firstLine="921"/>
        <w:spacing w:after="0" w:line="342" w:lineRule="auto"/>
        <w:tabs>
          <w:tab w:leader="none" w:pos="1178" w:val="left"/>
        </w:tabs>
        <w:numPr>
          <w:ilvl w:val="0"/>
          <w:numId w:val="171"/>
        </w:numPr>
        <w:rPr>
          <w:rFonts w:ascii="Arial" w:cs="Arial" w:eastAsia="Arial" w:hAnsi="Arial"/>
          <w:sz w:val="16"/>
          <w:szCs w:val="16"/>
          <w:b w:val="1"/>
          <w:bCs w:val="1"/>
          <w:color w:val="auto"/>
        </w:rPr>
      </w:pPr>
      <w:r>
        <w:rPr>
          <w:rFonts w:ascii="Arial" w:cs="Arial" w:eastAsia="Arial" w:hAnsi="Arial"/>
          <w:sz w:val="16"/>
          <w:szCs w:val="16"/>
          <w:color w:val="auto"/>
        </w:rPr>
        <w:t>AnaptysBio has not granted any right or license to any Third Party relating to any of the AnaptysBio Know-How, AnaptysBio Patents or AnaptysBio Platform that would conflict or interfere with any of the rights or licenses granted or purported to be granted to TESARO hereunder;</w:t>
      </w:r>
    </w:p>
    <w:p>
      <w:pPr>
        <w:spacing w:after="0" w:line="123" w:lineRule="exact"/>
        <w:rPr>
          <w:rFonts w:ascii="Arial" w:cs="Arial" w:eastAsia="Arial" w:hAnsi="Arial"/>
          <w:sz w:val="16"/>
          <w:szCs w:val="16"/>
          <w:b w:val="1"/>
          <w:bCs w:val="1"/>
          <w:color w:val="auto"/>
        </w:rPr>
      </w:pPr>
    </w:p>
    <w:p>
      <w:pPr>
        <w:ind w:right="20" w:firstLine="921"/>
        <w:spacing w:after="0" w:line="302" w:lineRule="auto"/>
        <w:tabs>
          <w:tab w:leader="none" w:pos="1128" w:val="left"/>
        </w:tabs>
        <w:numPr>
          <w:ilvl w:val="0"/>
          <w:numId w:val="171"/>
        </w:numPr>
        <w:rPr>
          <w:rFonts w:ascii="Arial" w:cs="Arial" w:eastAsia="Arial" w:hAnsi="Arial"/>
          <w:sz w:val="16"/>
          <w:szCs w:val="16"/>
          <w:b w:val="1"/>
          <w:bCs w:val="1"/>
          <w:color w:val="auto"/>
        </w:rPr>
      </w:pPr>
      <w:r>
        <w:rPr>
          <w:rFonts w:ascii="Arial" w:cs="Arial" w:eastAsia="Arial" w:hAnsi="Arial"/>
          <w:sz w:val="16"/>
          <w:szCs w:val="16"/>
          <w:color w:val="auto"/>
        </w:rPr>
        <w:t>Schedule 12.2(i) attached hereto sets forth a complete and accurate list of the AnaptysBio Patents as of the Effective Date, indicating the owner or co-owners thereof if such AnaptysBio Patent is not solely owned by AnaptysBio. AnaptysBio has disclosed to TESARO all material information received by AnaptysBio as of the Effective Date concerning the institution of any interference, opposition, reexamination, reissue, revocation, nullification or any official proceeding involving any AnaptysBio Patent or Patent included in the AnaptysBio Platform anywhere in the Territory;</w:t>
      </w:r>
    </w:p>
    <w:p>
      <w:pPr>
        <w:spacing w:after="0" w:line="154" w:lineRule="exact"/>
        <w:rPr>
          <w:rFonts w:ascii="Arial" w:cs="Arial" w:eastAsia="Arial" w:hAnsi="Arial"/>
          <w:sz w:val="16"/>
          <w:szCs w:val="16"/>
          <w:b w:val="1"/>
          <w:bCs w:val="1"/>
          <w:color w:val="auto"/>
        </w:rPr>
      </w:pPr>
    </w:p>
    <w:p>
      <w:pPr>
        <w:ind w:right="360" w:firstLine="921"/>
        <w:spacing w:after="0" w:line="277" w:lineRule="auto"/>
        <w:tabs>
          <w:tab w:leader="none" w:pos="1138"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To the best of AnaptysBio’s knowledge as of the Effective Date, Exhibit C attached to the Supplemental Information Package sets forth a complete and accurate list of all Target Antagonists owned or Controlled by AnaptysBio as of the Effective Date;</w:t>
      </w:r>
    </w:p>
    <w:p>
      <w:pPr>
        <w:spacing w:after="0" w:line="170" w:lineRule="exact"/>
        <w:rPr>
          <w:rFonts w:ascii="Arial" w:cs="Arial" w:eastAsia="Arial" w:hAnsi="Arial"/>
          <w:sz w:val="18"/>
          <w:szCs w:val="18"/>
          <w:b w:val="1"/>
          <w:bCs w:val="1"/>
          <w:color w:val="auto"/>
        </w:rPr>
      </w:pPr>
    </w:p>
    <w:p>
      <w:pPr>
        <w:ind w:firstLine="921"/>
        <w:spacing w:after="0" w:line="264" w:lineRule="auto"/>
        <w:tabs>
          <w:tab w:leader="none" w:pos="1175"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To the best of AnaptysBio’s knowledge as of the Effective Date, TESARO will not be required to obtain a license or sublicense under any Third Party In-License for TESARO to research, develop, make, have made, use, sell, offer for sale, import and export Products for use in the Field and in the Territory pursuant to the rights and licenses granted to it under this Agreement;</w:t>
      </w:r>
    </w:p>
    <w:p>
      <w:pPr>
        <w:spacing w:after="0" w:line="181" w:lineRule="exact"/>
        <w:rPr>
          <w:rFonts w:ascii="Arial" w:cs="Arial" w:eastAsia="Arial" w:hAnsi="Arial"/>
          <w:sz w:val="18"/>
          <w:szCs w:val="18"/>
          <w:b w:val="1"/>
          <w:bCs w:val="1"/>
          <w:color w:val="auto"/>
        </w:rPr>
      </w:pPr>
    </w:p>
    <w:p>
      <w:pPr>
        <w:ind w:right="60" w:firstLine="921"/>
        <w:spacing w:after="0" w:line="279" w:lineRule="auto"/>
        <w:tabs>
          <w:tab w:leader="none" w:pos="1128" w:val="left"/>
        </w:tabs>
        <w:numPr>
          <w:ilvl w:val="0"/>
          <w:numId w:val="171"/>
        </w:numPr>
        <w:rPr>
          <w:rFonts w:ascii="Arial" w:cs="Arial" w:eastAsia="Arial" w:hAnsi="Arial"/>
          <w:sz w:val="17"/>
          <w:szCs w:val="17"/>
          <w:b w:val="1"/>
          <w:bCs w:val="1"/>
          <w:color w:val="auto"/>
        </w:rPr>
      </w:pPr>
      <w:r>
        <w:rPr>
          <w:rFonts w:ascii="Arial" w:cs="Arial" w:eastAsia="Arial" w:hAnsi="Arial"/>
          <w:sz w:val="17"/>
          <w:szCs w:val="17"/>
          <w:color w:val="auto"/>
        </w:rPr>
        <w:t>AnaptysBio has not and shall not employ (or use any Subcontractor or consultant that employs) any individual or entity debarred by the FDA (or subject to a similar sanction of the EMA), or any individual who or entity which is the subject of an FDA debarment investigation or proceeding (or similar proceeding of EMA), or is convicted of a crime for which an individual or entity could be debarred under 21 U.S.C. Section 335a or its foreign equivalent or has been under indictment for a crime for which a person or entity could be debarred under such provision; and</w:t>
      </w:r>
    </w:p>
    <w:p>
      <w:pPr>
        <w:spacing w:after="0" w:line="171" w:lineRule="exact"/>
        <w:rPr>
          <w:rFonts w:ascii="Arial" w:cs="Arial" w:eastAsia="Arial" w:hAnsi="Arial"/>
          <w:sz w:val="17"/>
          <w:szCs w:val="17"/>
          <w:b w:val="1"/>
          <w:bCs w:val="1"/>
          <w:color w:val="auto"/>
        </w:rPr>
      </w:pPr>
    </w:p>
    <w:p>
      <w:pPr>
        <w:ind w:right="20" w:firstLine="921"/>
        <w:spacing w:after="0" w:line="255" w:lineRule="auto"/>
        <w:tabs>
          <w:tab w:leader="none" w:pos="1228"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AnaptysBio acknowledges that, in entering into this Agreement, TESARO has relied upon information supplied by AnaptysBio and information which AnaptysBio has caused to be supplied to TESARO by AnaptysBio’s agents and/or representatives (all of such information being hereinafter referred to collectively as “</w:t>
      </w:r>
      <w:r>
        <w:rPr>
          <w:rFonts w:ascii="Arial" w:cs="Arial" w:eastAsia="Arial" w:hAnsi="Arial"/>
          <w:sz w:val="18"/>
          <w:szCs w:val="18"/>
          <w:b w:val="1"/>
          <w:bCs w:val="1"/>
          <w:color w:val="auto"/>
        </w:rPr>
        <w:t>Product Information</w:t>
      </w:r>
      <w:r>
        <w:rPr>
          <w:rFonts w:ascii="Arial" w:cs="Arial" w:eastAsia="Arial" w:hAnsi="Arial"/>
          <w:sz w:val="18"/>
          <w:szCs w:val="18"/>
          <w:color w:val="auto"/>
        </w:rPr>
        <w:t>”). To the knowledge of AnaptysBio as of the Effective Date, the Product Information is accurate in all material respects. AnaptysBio has not, as of the Effective Date, intentionally omitted to furnish TESARO with any material information known to AnaptysBio concerning the AnaptysBio IP Rights, AnaptysBio Platform or Development Antibodies, or the transactions contemplated by this Agreement, which would reasonably be considered to be material to TESARO’s decision to enter into this Agreement and to undertake the commitments and obligations set forth herein.</w:t>
      </w:r>
    </w:p>
    <w:p>
      <w:pPr>
        <w:spacing w:after="0" w:line="18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12.3. Disclaimer</w:t>
      </w:r>
      <w:r>
        <w:rPr>
          <w:rFonts w:ascii="Arial" w:cs="Arial" w:eastAsia="Arial" w:hAnsi="Arial"/>
          <w:sz w:val="18"/>
          <w:szCs w:val="18"/>
          <w:color w:val="auto"/>
        </w:rPr>
        <w:t>. TESARO and AnaptysBio specifically disclaim any guarantee that the Discovery Programs will be successful,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The failure of the Parties 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235" w:name="page236"/>
    <w:bookmarkEnd w:id="235"/>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successfully develop Products will not constitute a breach of any representation or warranty or other obligation under this Agreement. EXCEPT AS OTHERWISE EXPRESSLY SET FORTH IN THIS AGREEMENT, ANAPTYSBIO AND TESARO MAKE NO REPRESENTATIONS AND EXTEND NO WARRANTIES OR CONDITIONS OF ANY KIND, EITHER EXPRESS OR IMPLIED, WITH RESPECT TO THE ANAPTYSBIO IP RIGHTS, INFORMATION DISCLOSED HEREUNDER OR PRODUCTS INCLUDING, BUT NOT LIMITED TO, WARRANTIES OF MERCHANTABILITY, FITNESS FOR A PARTICULAR PURPOSE, OR NONINFRINGEMENT OF THE INTELLECTUAL PROPERTY RIGHTS OF THIRD PARTIES.</w:t>
      </w:r>
    </w:p>
    <w:p>
      <w:pPr>
        <w:spacing w:after="0" w:line="196"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13.1. TESARO</w:t>
      </w:r>
      <w:r>
        <w:rPr>
          <w:rFonts w:ascii="Arial" w:cs="Arial" w:eastAsia="Arial" w:hAnsi="Arial"/>
          <w:sz w:val="17"/>
          <w:szCs w:val="17"/>
          <w:color w:val="auto"/>
        </w:rPr>
        <w:t>. TESARO agrees to indemnify, defend and hold AnaptysBio and its Affiliates and their respective directors, officers,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and their respective successors, heirs and assigns (the “</w:t>
      </w:r>
      <w:r>
        <w:rPr>
          <w:rFonts w:ascii="Arial" w:cs="Arial" w:eastAsia="Arial" w:hAnsi="Arial"/>
          <w:sz w:val="17"/>
          <w:szCs w:val="17"/>
          <w:b w:val="1"/>
          <w:bCs w:val="1"/>
          <w:color w:val="auto"/>
        </w:rPr>
        <w:t>AnaptysBio Indemnitees</w:t>
      </w:r>
      <w:r>
        <w:rPr>
          <w:rFonts w:ascii="Arial" w:cs="Arial" w:eastAsia="Arial" w:hAnsi="Arial"/>
          <w:sz w:val="17"/>
          <w:szCs w:val="17"/>
          <w:color w:val="auto"/>
        </w:rPr>
        <w:t>”) harmless from and against any losses, costs, claims, damages, liabilities or expense (including reasonable attorneys’ and professional fees and other expenses of litigation) (collectively, “</w:t>
      </w:r>
      <w:r>
        <w:rPr>
          <w:rFonts w:ascii="Arial" w:cs="Arial" w:eastAsia="Arial" w:hAnsi="Arial"/>
          <w:sz w:val="17"/>
          <w:szCs w:val="17"/>
          <w:b w:val="1"/>
          <w:bCs w:val="1"/>
          <w:color w:val="auto"/>
        </w:rPr>
        <w:t>Liabilities</w:t>
      </w:r>
      <w:r>
        <w:rPr>
          <w:rFonts w:ascii="Arial" w:cs="Arial" w:eastAsia="Arial" w:hAnsi="Arial"/>
          <w:sz w:val="17"/>
          <w:szCs w:val="17"/>
          <w:color w:val="auto"/>
        </w:rPr>
        <w:t>”) arising, directly or indirectly out of or in connection with Third Party claims, suits, actions, demands or judgments, relating to (i) any breach by TESARO of the representations and warranties made in this Agreement, or (ii) the development or commercialization of a Product, except, in each case, to the extent such Liabilities result from the gross negligence or intentional misconduct of AnaptysBio.</w:t>
      </w:r>
    </w:p>
    <w:p>
      <w:pPr>
        <w:spacing w:after="0" w:line="174" w:lineRule="exact"/>
        <w:rPr>
          <w:sz w:val="20"/>
          <w:szCs w:val="20"/>
          <w:color w:val="auto"/>
        </w:rPr>
      </w:pPr>
    </w:p>
    <w:p>
      <w:pPr>
        <w:ind w:right="160" w:firstLine="456"/>
        <w:spacing w:after="0" w:line="303" w:lineRule="auto"/>
        <w:rPr>
          <w:sz w:val="20"/>
          <w:szCs w:val="20"/>
          <w:color w:val="auto"/>
        </w:rPr>
      </w:pPr>
      <w:r>
        <w:rPr>
          <w:rFonts w:ascii="Arial" w:cs="Arial" w:eastAsia="Arial" w:hAnsi="Arial"/>
          <w:sz w:val="16"/>
          <w:szCs w:val="16"/>
          <w:b w:val="1"/>
          <w:bCs w:val="1"/>
          <w:color w:val="auto"/>
        </w:rPr>
        <w:t>13.2. AnaptysBio</w:t>
      </w:r>
      <w:r>
        <w:rPr>
          <w:rFonts w:ascii="Arial" w:cs="Arial" w:eastAsia="Arial" w:hAnsi="Arial"/>
          <w:sz w:val="16"/>
          <w:szCs w:val="16"/>
          <w:color w:val="auto"/>
        </w:rPr>
        <w:t>. AnaptysBio agrees to indemnify, defend and hold TESARO and its Affiliates and their respective directors, officers,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agents and their respective successors, heirs and assigns (the “</w:t>
      </w:r>
      <w:r>
        <w:rPr>
          <w:rFonts w:ascii="Arial" w:cs="Arial" w:eastAsia="Arial" w:hAnsi="Arial"/>
          <w:sz w:val="16"/>
          <w:szCs w:val="16"/>
          <w:b w:val="1"/>
          <w:bCs w:val="1"/>
          <w:color w:val="auto"/>
        </w:rPr>
        <w:t>TESARO Indemnitees</w:t>
      </w:r>
      <w:r>
        <w:rPr>
          <w:rFonts w:ascii="Arial" w:cs="Arial" w:eastAsia="Arial" w:hAnsi="Arial"/>
          <w:sz w:val="16"/>
          <w:szCs w:val="16"/>
          <w:color w:val="auto"/>
        </w:rPr>
        <w:t>”) harmless from and against any Liabilities arising, directly or indirectly out of or in connection with Third Party claims, suits, actions, demands or judgments, relating to any breach by AnaptysBio of its representations and warranties made in this Agreement, except to the extent such Liabilities result from the gross negligence or intentional misconduct of TESARO.</w:t>
      </w:r>
    </w:p>
    <w:p>
      <w:pPr>
        <w:spacing w:after="0" w:line="15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13.3. Indemnification Procedure</w:t>
      </w:r>
      <w:r>
        <w:rPr>
          <w:rFonts w:ascii="Arial" w:cs="Arial" w:eastAsia="Arial" w:hAnsi="Arial"/>
          <w:sz w:val="17"/>
          <w:szCs w:val="17"/>
          <w:color w:val="auto"/>
        </w:rPr>
        <w:t>. A Party that intends to claim indemnification (the “Indemnitee”) under this Section 13 shall promptly notify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Party (the “</w:t>
      </w:r>
      <w:r>
        <w:rPr>
          <w:rFonts w:ascii="Arial" w:cs="Arial" w:eastAsia="Arial" w:hAnsi="Arial"/>
          <w:sz w:val="17"/>
          <w:szCs w:val="17"/>
          <w:b w:val="1"/>
          <w:bCs w:val="1"/>
          <w:color w:val="auto"/>
        </w:rPr>
        <w:t>Indemnitor</w:t>
      </w:r>
      <w:r>
        <w:rPr>
          <w:rFonts w:ascii="Arial" w:cs="Arial" w:eastAsia="Arial" w:hAnsi="Arial"/>
          <w:sz w:val="17"/>
          <w:szCs w:val="17"/>
          <w:color w:val="auto"/>
        </w:rPr>
        <w:t>”) in writing of any claim, complaint, suit, proceeding or cause of action with respect to which the Indemnitee intends to claim such indemnification (for purposes of this Section 13.3, each a “</w:t>
      </w:r>
      <w:r>
        <w:rPr>
          <w:rFonts w:ascii="Arial" w:cs="Arial" w:eastAsia="Arial" w:hAnsi="Arial"/>
          <w:sz w:val="17"/>
          <w:szCs w:val="17"/>
          <w:b w:val="1"/>
          <w:bCs w:val="1"/>
          <w:color w:val="auto"/>
        </w:rPr>
        <w:t>Claim</w:t>
      </w:r>
      <w:r>
        <w:rPr>
          <w:rFonts w:ascii="Arial" w:cs="Arial" w:eastAsia="Arial" w:hAnsi="Arial"/>
          <w:sz w:val="17"/>
          <w:szCs w:val="17"/>
          <w:color w:val="auto"/>
        </w:rPr>
        <w:t>”), and the Indemnitor shall have sole control of the defense and/or settlement thereof; provided that the Indemnitee shall have the right to participate, at its own expense, with counsel of its own choosing in the defense and/or settlement of such Claim. The indemnification obligations of the Parties under this Section 13 shall not apply to amounts paid in settlement of any Claim if such settlement is effected without the consent of the Indemnitor, which consent shall not be withheld or delayed unreasonably. The failure to deliver written notice to the Indemnitor within a reasonable time after the commencement of any such Claim, if prejudicial to its ability to defend such action, shall relieve such Indemnitor of any liability to the Indemnitee under this Section 13, but the omission so to deliver written notice to the Indemnitor shall not relieve the Indemnitor of any liability to any Indemnitee otherwise than under this Section 13. The Indemnitee under this Section 13, and its employees, at the Indemnitor’s request and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236" w:name="page237"/>
    <w:bookmarkEnd w:id="236"/>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 shall provide full information and reasonable assistance to Indemnitor and its legal representatives with respect to such Claims covered by this indemnification.</w:t>
      </w:r>
    </w:p>
    <w:p>
      <w:pPr>
        <w:spacing w:after="0" w:line="16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13.4. LIMITATION OF LIABILITY</w:t>
      </w:r>
      <w:r>
        <w:rPr>
          <w:rFonts w:ascii="Arial" w:cs="Arial" w:eastAsia="Arial" w:hAnsi="Arial"/>
          <w:sz w:val="18"/>
          <w:szCs w:val="18"/>
          <w:color w:val="auto"/>
        </w:rPr>
        <w:t>. EXCEPT FOR A BREACH OF ARTICLES 10 OR 11, OR FOR ACTS OF GROSS NEGLIGENCE OR</w:t>
      </w:r>
      <w:r>
        <w:rPr>
          <w:rFonts w:ascii="Arial" w:cs="Arial" w:eastAsia="Arial" w:hAnsi="Arial"/>
          <w:sz w:val="18"/>
          <w:szCs w:val="18"/>
          <w:b w:val="1"/>
          <w:bCs w:val="1"/>
          <w:color w:val="auto"/>
        </w:rPr>
        <w:t xml:space="preserve"> </w:t>
      </w:r>
      <w:r>
        <w:rPr>
          <w:rFonts w:ascii="Arial" w:cs="Arial" w:eastAsia="Arial" w:hAnsi="Arial"/>
          <w:sz w:val="18"/>
          <w:szCs w:val="18"/>
          <w:color w:val="auto"/>
        </w:rPr>
        <w:t>WRONGFUL INTENTIONAL ACTS OR OMISSIONS, NEITHER TESARO NOR ANAPTYSBIO, NOR ANY OF THEIR RESPECTIVE AFFILIATES OR SUBLICENSEES, SHALL BE LIABLE TO THE OTHER PARTY, ITS AFFILIATES OR ANY OF THEIR SUBLICENSEES FOR ANY INDIRECT, INCIDENTAL, CONSEQUENTIAL, SPECIAL, RELIANCE OR PUNITIVE DAMAGES OR LOST OR IMPUTED PROFITS,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 PROVIDED, THAT THIS LIMITATION WILL NOT LIMIT THE INDEMNIFICATION OBLIGATION OF A PARTY UNDER THE PROVISIONS OF ARTICLE 13 FOR SUCH DAMAGES CLAIMED BY A THIRD PARTY.</w:t>
      </w:r>
    </w:p>
    <w:p>
      <w:pPr>
        <w:spacing w:after="0" w:line="216"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b w:val="1"/>
          <w:bCs w:val="1"/>
          <w:color w:val="auto"/>
        </w:rPr>
        <w:t>14.1. Term</w:t>
      </w:r>
      <w:r>
        <w:rPr>
          <w:rFonts w:ascii="Arial" w:cs="Arial" w:eastAsia="Arial" w:hAnsi="Arial"/>
          <w:sz w:val="16"/>
          <w:szCs w:val="16"/>
          <w:color w:val="auto"/>
        </w:rPr>
        <w:t>. Unless earlier terminated, the Agreement will continue in full force and effect, on a Product-by-Product, Discovery Program-by-Discovery</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Development Program-by-Development Program and country-by-country basis until the date no further payments are due under Section 6 above.</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14.2. Termination for Breach</w:t>
      </w:r>
      <w:r>
        <w:rPr>
          <w:rFonts w:ascii="Arial" w:cs="Arial" w:eastAsia="Arial" w:hAnsi="Arial"/>
          <w:sz w:val="18"/>
          <w:szCs w:val="18"/>
          <w:color w:val="auto"/>
        </w:rPr>
        <w:t>. Either Party to this Agreement may terminate one or more Discovery Program(s), Development Program(s) and/or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the event the other Party hereto shall have materially breached or defaulted in any of its representations or warranties or the performance of any of its obligations hereunder, and such default shall have continued for sixty (60) days after written notice thereof was provided to the breaching Party by the non-breaching Party. Any termination shall become effective at the end of such sixty (60) day period unless the breaching Party (or any other Party on its behalf) has cured any such breach or default prior to the expiration of the sixty (60) day period; provided, however, in the case of a failure to pay any amount due hereunder, such default may be the basis of termination ten (10) business days following the date that notice of such default was provided to the breaching Party.</w:t>
      </w:r>
    </w:p>
    <w:p>
      <w:pPr>
        <w:spacing w:after="0" w:line="189"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b w:val="1"/>
          <w:bCs w:val="1"/>
          <w:color w:val="auto"/>
        </w:rPr>
        <w:t>14.3. Termination without cause by TESARO</w:t>
      </w:r>
      <w:r>
        <w:rPr>
          <w:rFonts w:ascii="Arial" w:cs="Arial" w:eastAsia="Arial" w:hAnsi="Arial"/>
          <w:sz w:val="16"/>
          <w:szCs w:val="16"/>
          <w:color w:val="auto"/>
        </w:rPr>
        <w:t>. TESARO may terminate this Agreement in its entirety or on a Discovery Program-by-Discovery</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or Development Program-by-Development Program basis without cause upon ninety (90) days prior written notice to AnaptysBio.</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14.4. Effect of Breach or Termination</w:t>
      </w:r>
      <w:r>
        <w:rPr>
          <w:rFonts w:ascii="Arial" w:cs="Arial" w:eastAsia="Arial" w:hAnsi="Arial"/>
          <w:sz w:val="18"/>
          <w:szCs w:val="18"/>
          <w:color w:val="auto"/>
        </w:rPr>
        <w:t>.</w:t>
      </w:r>
    </w:p>
    <w:p>
      <w:pPr>
        <w:spacing w:after="0" w:line="225" w:lineRule="exact"/>
        <w:rPr>
          <w:sz w:val="20"/>
          <w:szCs w:val="20"/>
          <w:color w:val="auto"/>
        </w:rPr>
      </w:pPr>
    </w:p>
    <w:p>
      <w:pPr>
        <w:ind w:right="120" w:firstLine="921"/>
        <w:spacing w:after="0" w:line="282" w:lineRule="auto"/>
        <w:tabs>
          <w:tab w:leader="none" w:pos="1168"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Accrued Rights and Obligations</w:t>
      </w:r>
      <w:r>
        <w:rPr>
          <w:rFonts w:ascii="Arial" w:cs="Arial" w:eastAsia="Arial" w:hAnsi="Arial"/>
          <w:sz w:val="18"/>
          <w:szCs w:val="18"/>
          <w:color w:val="auto"/>
        </w:rPr>
        <w:t>. Termination of this Agreement, or any portion hereof, for any reason shall not release either Party hereto</w:t>
      </w:r>
      <w:r>
        <w:rPr>
          <w:rFonts w:ascii="Arial" w:cs="Arial" w:eastAsia="Arial" w:hAnsi="Arial"/>
          <w:sz w:val="18"/>
          <w:szCs w:val="18"/>
          <w:b w:val="1"/>
          <w:bCs w:val="1"/>
          <w:color w:val="auto"/>
        </w:rPr>
        <w:t xml:space="preserve"> </w:t>
      </w:r>
      <w:r>
        <w:rPr>
          <w:rFonts w:ascii="Arial" w:cs="Arial" w:eastAsia="Arial" w:hAnsi="Arial"/>
          <w:sz w:val="18"/>
          <w:szCs w:val="18"/>
          <w:color w:val="auto"/>
        </w:rPr>
        <w:t>from any liability which, at the time of such termination, has already accrued to the other Party or which is attributable to a</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237" w:name="page238"/>
    <w:bookmarkEnd w:id="237"/>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prior to such termination nor preclude either Party from pursuing any rights and remedies it may have hereunder or at law or in equity with respect to any breach of this Agreement.</w:t>
      </w:r>
    </w:p>
    <w:p>
      <w:pPr>
        <w:spacing w:after="0" w:line="170" w:lineRule="exact"/>
        <w:rPr>
          <w:sz w:val="20"/>
          <w:szCs w:val="20"/>
          <w:color w:val="auto"/>
        </w:rPr>
      </w:pPr>
    </w:p>
    <w:p>
      <w:pPr>
        <w:ind w:right="220" w:firstLine="921"/>
        <w:spacing w:after="0" w:line="276" w:lineRule="auto"/>
        <w:tabs>
          <w:tab w:leader="none" w:pos="1178" w:val="left"/>
        </w:tabs>
        <w:numPr>
          <w:ilvl w:val="0"/>
          <w:numId w:val="175"/>
        </w:numPr>
        <w:rPr>
          <w:rFonts w:ascii="Arial" w:cs="Arial" w:eastAsia="Arial" w:hAnsi="Arial"/>
          <w:sz w:val="17"/>
          <w:szCs w:val="17"/>
          <w:b w:val="1"/>
          <w:bCs w:val="1"/>
          <w:color w:val="auto"/>
        </w:rPr>
      </w:pPr>
      <w:r>
        <w:rPr>
          <w:rFonts w:ascii="Arial" w:cs="Arial" w:eastAsia="Arial" w:hAnsi="Arial"/>
          <w:sz w:val="17"/>
          <w:szCs w:val="17"/>
          <w:color w:val="auto"/>
        </w:rPr>
        <w:t>Return of Materials. Upon a termination of this Agreement, in its entirety, TESARO and AnaptysBio shall promptly return to the other all Confidential Information of the other Party, except one copy of which may be retained for archival purposes. Upon termination of this Agreement, a Discovery Program or a Development Program by TESARO pursuant to Section 14.3, or by AnaptysBio pursuant to Section 14.2, TESARO shall return to AnaptysBio copies of records received by TESARO pursuant to Section 2.9 or, if only a Discovery Program or a Development Program is terminated, then those records received by TESARO pursuant to Section 2.9, with respect to the terminated program.</w:t>
      </w:r>
    </w:p>
    <w:p>
      <w:pPr>
        <w:spacing w:after="0" w:line="172" w:lineRule="exact"/>
        <w:rPr>
          <w:rFonts w:ascii="Arial" w:cs="Arial" w:eastAsia="Arial" w:hAnsi="Arial"/>
          <w:sz w:val="17"/>
          <w:szCs w:val="17"/>
          <w:b w:val="1"/>
          <w:bCs w:val="1"/>
          <w:color w:val="auto"/>
        </w:rPr>
      </w:pPr>
    </w:p>
    <w:p>
      <w:pPr>
        <w:ind w:firstLine="921"/>
        <w:spacing w:after="0" w:line="264" w:lineRule="auto"/>
        <w:tabs>
          <w:tab w:leader="none" w:pos="1158"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Effect of Termination of Agreement by TESARO Without Cause or by AnaptysBio for Breach by TESARO. If TESARO terminates this Agreement in its entirety without cause pursuant to Section 14.3 or if AnaptysBio terminates this Agreement in its entirety pursuant to Section 14.2 for breach by TESARO, then:</w:t>
      </w:r>
    </w:p>
    <w:p>
      <w:pPr>
        <w:spacing w:after="0" w:line="181" w:lineRule="exact"/>
        <w:rPr>
          <w:rFonts w:ascii="Arial" w:cs="Arial" w:eastAsia="Arial" w:hAnsi="Arial"/>
          <w:sz w:val="18"/>
          <w:szCs w:val="18"/>
          <w:b w:val="1"/>
          <w:bCs w:val="1"/>
          <w:color w:val="auto"/>
        </w:rPr>
      </w:pPr>
    </w:p>
    <w:p>
      <w:pPr>
        <w:ind w:right="60" w:firstLine="1492"/>
        <w:spacing w:after="0" w:line="259" w:lineRule="auto"/>
        <w:tabs>
          <w:tab w:leader="none" w:pos="1698" w:val="left"/>
        </w:tabs>
        <w:numPr>
          <w:ilvl w:val="1"/>
          <w:numId w:val="175"/>
        </w:numPr>
        <w:rPr>
          <w:rFonts w:ascii="Arial" w:cs="Arial" w:eastAsia="Arial" w:hAnsi="Arial"/>
          <w:sz w:val="18"/>
          <w:szCs w:val="18"/>
          <w:b w:val="1"/>
          <w:bCs w:val="1"/>
          <w:color w:val="auto"/>
        </w:rPr>
      </w:pPr>
      <w:r>
        <w:rPr>
          <w:rFonts w:ascii="Arial" w:cs="Arial" w:eastAsia="Arial" w:hAnsi="Arial"/>
          <w:sz w:val="18"/>
          <w:szCs w:val="18"/>
          <w:color w:val="auto"/>
        </w:rPr>
        <w:t>all licenses and rights to TESARO under Section 5.1 shall concurrently terminate, and TESARO and its Affiliates and sublicensees shall immediately cease all manufacture, development and commercialization of Products; provided, that TESARO and its Affiliates, sublicensees and distributors shall be entitled, during the twelve (12) month period immediately following the effective date of termination, to finish any work-in-progress and to sell any Products remaining in inventory, in accordance with the terms of this Agreement;</w:t>
      </w:r>
    </w:p>
    <w:p>
      <w:pPr>
        <w:spacing w:after="0" w:line="186" w:lineRule="exact"/>
        <w:rPr>
          <w:rFonts w:ascii="Arial" w:cs="Arial" w:eastAsia="Arial" w:hAnsi="Arial"/>
          <w:sz w:val="18"/>
          <w:szCs w:val="18"/>
          <w:b w:val="1"/>
          <w:bCs w:val="1"/>
          <w:color w:val="auto"/>
        </w:rPr>
      </w:pPr>
    </w:p>
    <w:p>
      <w:pPr>
        <w:ind w:right="20" w:firstLine="1492"/>
        <w:spacing w:after="0" w:line="264" w:lineRule="auto"/>
        <w:tabs>
          <w:tab w:leader="none" w:pos="1748" w:val="left"/>
        </w:tabs>
        <w:numPr>
          <w:ilvl w:val="1"/>
          <w:numId w:val="175"/>
        </w:numPr>
        <w:rPr>
          <w:rFonts w:ascii="Arial" w:cs="Arial" w:eastAsia="Arial" w:hAnsi="Arial"/>
          <w:sz w:val="18"/>
          <w:szCs w:val="18"/>
          <w:b w:val="1"/>
          <w:bCs w:val="1"/>
          <w:color w:val="auto"/>
        </w:rPr>
      </w:pPr>
      <w:r>
        <w:rPr>
          <w:rFonts w:ascii="Arial" w:cs="Arial" w:eastAsia="Arial" w:hAnsi="Arial"/>
          <w:sz w:val="18"/>
          <w:szCs w:val="18"/>
          <w:color w:val="auto"/>
        </w:rPr>
        <w:t>TESARO hereby grants to AnaptysBio an irrevocable, non- exclusive, worldwide license, with the right to grant and authorize sublicenses, under TESARO’s interest in the Collaboration IP Rights, TESARO Patents and TESARO Know-How, to make, have made, use, sell, offer to sell and import Products;</w:t>
      </w:r>
    </w:p>
    <w:p>
      <w:pPr>
        <w:spacing w:after="0" w:line="181" w:lineRule="exact"/>
        <w:rPr>
          <w:rFonts w:ascii="Arial" w:cs="Arial" w:eastAsia="Arial" w:hAnsi="Arial"/>
          <w:sz w:val="18"/>
          <w:szCs w:val="18"/>
          <w:b w:val="1"/>
          <w:bCs w:val="1"/>
          <w:color w:val="auto"/>
        </w:rPr>
      </w:pPr>
    </w:p>
    <w:p>
      <w:pPr>
        <w:ind w:firstLine="1492"/>
        <w:spacing w:after="0" w:line="312" w:lineRule="auto"/>
        <w:tabs>
          <w:tab w:leader="none" w:pos="1798" w:val="left"/>
        </w:tabs>
        <w:numPr>
          <w:ilvl w:val="1"/>
          <w:numId w:val="175"/>
        </w:numPr>
        <w:rPr>
          <w:rFonts w:ascii="Arial" w:cs="Arial" w:eastAsia="Arial" w:hAnsi="Arial"/>
          <w:sz w:val="16"/>
          <w:szCs w:val="16"/>
          <w:b w:val="1"/>
          <w:bCs w:val="1"/>
          <w:color w:val="auto"/>
        </w:rPr>
      </w:pPr>
      <w:r>
        <w:rPr>
          <w:rFonts w:ascii="Arial" w:cs="Arial" w:eastAsia="Arial" w:hAnsi="Arial"/>
          <w:sz w:val="16"/>
          <w:szCs w:val="16"/>
          <w:color w:val="auto"/>
        </w:rPr>
        <w:t>To the extent permitted by applicable regulatory authorities, TESARO shall and hereby does transfer to AnaptysBio all regulatory filings and regulatory approvals for the Products held by TESARO, its Affiliates or sublicensees, or if the foregoing transfer is not permitted by the applicable regulatory authority, TESARO hereby permit AnaptysBio to cross-reference and rely upon any such regulatory approvals and regulatory filings;</w:t>
      </w:r>
    </w:p>
    <w:p>
      <w:pPr>
        <w:spacing w:after="0" w:line="146" w:lineRule="exact"/>
        <w:rPr>
          <w:rFonts w:ascii="Arial" w:cs="Arial" w:eastAsia="Arial" w:hAnsi="Arial"/>
          <w:sz w:val="16"/>
          <w:szCs w:val="16"/>
          <w:b w:val="1"/>
          <w:bCs w:val="1"/>
          <w:color w:val="auto"/>
        </w:rPr>
      </w:pPr>
    </w:p>
    <w:p>
      <w:pPr>
        <w:ind w:left="1800" w:hanging="308"/>
        <w:spacing w:after="0"/>
        <w:tabs>
          <w:tab w:leader="none" w:pos="1800" w:val="left"/>
        </w:tabs>
        <w:numPr>
          <w:ilvl w:val="1"/>
          <w:numId w:val="175"/>
        </w:numPr>
        <w:rPr>
          <w:rFonts w:ascii="Arial" w:cs="Arial" w:eastAsia="Arial" w:hAnsi="Arial"/>
          <w:sz w:val="18"/>
          <w:szCs w:val="18"/>
          <w:b w:val="1"/>
          <w:bCs w:val="1"/>
          <w:color w:val="auto"/>
        </w:rPr>
      </w:pPr>
      <w:r>
        <w:rPr>
          <w:rFonts w:ascii="Arial" w:cs="Arial" w:eastAsia="Arial" w:hAnsi="Arial"/>
          <w:sz w:val="18"/>
          <w:szCs w:val="18"/>
          <w:color w:val="auto"/>
        </w:rPr>
        <w:t>AnaptysBio shall have the sole right to Prosecute and Maintain, and to solely enforce, all Collaboration IP Rights; and</w:t>
      </w:r>
    </w:p>
    <w:p>
      <w:pPr>
        <w:spacing w:after="0" w:line="225" w:lineRule="exact"/>
        <w:rPr>
          <w:rFonts w:ascii="Arial" w:cs="Arial" w:eastAsia="Arial" w:hAnsi="Arial"/>
          <w:sz w:val="18"/>
          <w:szCs w:val="18"/>
          <w:b w:val="1"/>
          <w:bCs w:val="1"/>
          <w:color w:val="auto"/>
        </w:rPr>
      </w:pPr>
    </w:p>
    <w:p>
      <w:pPr>
        <w:ind w:firstLine="1492"/>
        <w:spacing w:after="0" w:line="276" w:lineRule="auto"/>
        <w:tabs>
          <w:tab w:leader="none" w:pos="1738" w:val="left"/>
        </w:tabs>
        <w:numPr>
          <w:ilvl w:val="1"/>
          <w:numId w:val="175"/>
        </w:numPr>
        <w:rPr>
          <w:rFonts w:ascii="Arial" w:cs="Arial" w:eastAsia="Arial" w:hAnsi="Arial"/>
          <w:sz w:val="17"/>
          <w:szCs w:val="17"/>
          <w:b w:val="1"/>
          <w:bCs w:val="1"/>
          <w:color w:val="auto"/>
        </w:rPr>
      </w:pPr>
      <w:r>
        <w:rPr>
          <w:rFonts w:ascii="Arial" w:cs="Arial" w:eastAsia="Arial" w:hAnsi="Arial"/>
          <w:sz w:val="17"/>
          <w:szCs w:val="17"/>
          <w:color w:val="auto"/>
        </w:rPr>
        <w:t>Upon AnaptysBio’s request, TESARO shall continue all on-going development for the Products for a mutually agreed upon migration period after termination of this Agreement (“</w:t>
      </w:r>
      <w:r>
        <w:rPr>
          <w:rFonts w:ascii="Arial" w:cs="Arial" w:eastAsia="Arial" w:hAnsi="Arial"/>
          <w:sz w:val="17"/>
          <w:szCs w:val="17"/>
          <w:b w:val="1"/>
          <w:bCs w:val="1"/>
          <w:color w:val="auto"/>
        </w:rPr>
        <w:t>Migration Period</w:t>
      </w:r>
      <w:r>
        <w:rPr>
          <w:rFonts w:ascii="Arial" w:cs="Arial" w:eastAsia="Arial" w:hAnsi="Arial"/>
          <w:sz w:val="17"/>
          <w:szCs w:val="17"/>
          <w:color w:val="auto"/>
        </w:rPr>
        <w:t>”). During such Migration Period, TESARO shall provide such knowledge transfer and other training to AnaptysBio as reasonably necessary for AnaptysBio to continue such activities. In connection with such transfer, TESARO shall, subject to subsection (i) above: (A) transfer to AnaptysBio all quantities of Products manufactured by TESARO in TESARO’s control as of the effective date of termination, (B) assign to AnaptysBio any agreements with Third Parties with respect to the development or commercialization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38" w:name="page239"/>
    <w:bookmarkEnd w:id="23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(to the extent assignable) and (C) continue funding FTEs (equivalent to the number of FTEs being funded upon the date of notice of termination) for a mutually agreed period not to exceed the remaining portion of the then-current calendar quarter and one (1) full calendar quarter following the effective date of termination.</w:t>
      </w:r>
    </w:p>
    <w:p>
      <w:pPr>
        <w:spacing w:after="0" w:line="177" w:lineRule="exact"/>
        <w:rPr>
          <w:sz w:val="20"/>
          <w:szCs w:val="20"/>
          <w:color w:val="auto"/>
        </w:rPr>
      </w:pPr>
    </w:p>
    <w:p>
      <w:pPr>
        <w:ind w:right="540" w:firstLine="921"/>
        <w:spacing w:after="0" w:line="282" w:lineRule="auto"/>
        <w:tabs>
          <w:tab w:leader="none" w:pos="1178"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Discovery Program</w:t>
      </w:r>
      <w:r>
        <w:rPr>
          <w:rFonts w:ascii="Arial" w:cs="Arial" w:eastAsia="Arial" w:hAnsi="Arial"/>
          <w:sz w:val="18"/>
          <w:szCs w:val="18"/>
          <w:color w:val="auto"/>
        </w:rPr>
        <w:t>. If AnaptysBio terminates a Discovery Program pursuant to Section 14.2 for breach by</w:t>
      </w:r>
      <w:r>
        <w:rPr>
          <w:rFonts w:ascii="Arial" w:cs="Arial" w:eastAsia="Arial" w:hAnsi="Arial"/>
          <w:sz w:val="18"/>
          <w:szCs w:val="18"/>
          <w:b w:val="1"/>
          <w:bCs w:val="1"/>
          <w:color w:val="auto"/>
        </w:rPr>
        <w:t xml:space="preserve"> </w:t>
      </w:r>
      <w:r>
        <w:rPr>
          <w:rFonts w:ascii="Arial" w:cs="Arial" w:eastAsia="Arial" w:hAnsi="Arial"/>
          <w:sz w:val="18"/>
          <w:szCs w:val="18"/>
          <w:color w:val="auto"/>
        </w:rPr>
        <w:t>TESARO, or TESARO discontinues a Discovery Program in accordance with Section 8.2, then:</w:t>
      </w:r>
    </w:p>
    <w:p>
      <w:pPr>
        <w:spacing w:after="0" w:line="165" w:lineRule="exact"/>
        <w:rPr>
          <w:rFonts w:ascii="Arial" w:cs="Arial" w:eastAsia="Arial" w:hAnsi="Arial"/>
          <w:sz w:val="18"/>
          <w:szCs w:val="18"/>
          <w:b w:val="1"/>
          <w:bCs w:val="1"/>
          <w:color w:val="auto"/>
        </w:rPr>
      </w:pPr>
    </w:p>
    <w:p>
      <w:pPr>
        <w:ind w:right="100" w:firstLine="1492"/>
        <w:spacing w:after="0" w:line="277" w:lineRule="auto"/>
        <w:tabs>
          <w:tab w:leader="none" w:pos="1698"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AnaptysBio’s obligations to conduct further activities under the applicable Discovery Program shall terminate as of the effective date of such termination; and</w:t>
      </w:r>
    </w:p>
    <w:p>
      <w:pPr>
        <w:spacing w:after="0" w:line="170" w:lineRule="exact"/>
        <w:rPr>
          <w:rFonts w:ascii="Arial" w:cs="Arial" w:eastAsia="Arial" w:hAnsi="Arial"/>
          <w:sz w:val="18"/>
          <w:szCs w:val="18"/>
          <w:b w:val="1"/>
          <w:bCs w:val="1"/>
          <w:color w:val="auto"/>
        </w:rPr>
      </w:pPr>
    </w:p>
    <w:p>
      <w:pPr>
        <w:ind w:right="180" w:firstLine="1492"/>
        <w:spacing w:after="0" w:line="342" w:lineRule="auto"/>
        <w:tabs>
          <w:tab w:leader="none" w:pos="1748" w:val="left"/>
        </w:tabs>
        <w:numPr>
          <w:ilvl w:val="1"/>
          <w:numId w:val="176"/>
        </w:numPr>
        <w:rPr>
          <w:rFonts w:ascii="Arial" w:cs="Arial" w:eastAsia="Arial" w:hAnsi="Arial"/>
          <w:sz w:val="16"/>
          <w:szCs w:val="16"/>
          <w:b w:val="1"/>
          <w:bCs w:val="1"/>
          <w:color w:val="auto"/>
        </w:rPr>
      </w:pPr>
      <w:r>
        <w:rPr>
          <w:rFonts w:ascii="Arial" w:cs="Arial" w:eastAsia="Arial" w:hAnsi="Arial"/>
          <w:sz w:val="16"/>
          <w:szCs w:val="16"/>
          <w:color w:val="auto"/>
        </w:rPr>
        <w:t>all licenses and rights to TESARO under Section 5.1 for the Products resulting from such Discovery Program shall concurrently terminate, and TESARO and its Affiliates and sublicensees shall immediately cease all manufacture, development and commercialization of such Products;</w:t>
      </w:r>
    </w:p>
    <w:p>
      <w:pPr>
        <w:spacing w:after="0" w:line="123" w:lineRule="exact"/>
        <w:rPr>
          <w:rFonts w:ascii="Arial" w:cs="Arial" w:eastAsia="Arial" w:hAnsi="Arial"/>
          <w:sz w:val="16"/>
          <w:szCs w:val="16"/>
          <w:b w:val="1"/>
          <w:bCs w:val="1"/>
          <w:color w:val="auto"/>
        </w:rPr>
      </w:pPr>
    </w:p>
    <w:p>
      <w:pPr>
        <w:ind w:right="20" w:firstLine="1492"/>
        <w:spacing w:after="0" w:line="264" w:lineRule="auto"/>
        <w:tabs>
          <w:tab w:leader="none" w:pos="1798"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TESARO hereby grants to AnaptysBio an irrevocable, non- exclusive, worldwide license, with the right to grant and authorize sublicenses, under TESARO’s interest in the Collaboration IP Rights, TESARO Patents and TESARO Know-How, to make, have made, use, sell, offer to sell and import Products resulting from such Discovery Program;</w:t>
      </w:r>
    </w:p>
    <w:p>
      <w:pPr>
        <w:spacing w:after="0" w:line="181" w:lineRule="exact"/>
        <w:rPr>
          <w:rFonts w:ascii="Arial" w:cs="Arial" w:eastAsia="Arial" w:hAnsi="Arial"/>
          <w:sz w:val="18"/>
          <w:szCs w:val="18"/>
          <w:b w:val="1"/>
          <w:bCs w:val="1"/>
          <w:color w:val="auto"/>
        </w:rPr>
      </w:pPr>
    </w:p>
    <w:p>
      <w:pPr>
        <w:jc w:val="both"/>
        <w:ind w:right="220" w:firstLine="1492"/>
        <w:spacing w:after="0" w:line="259" w:lineRule="auto"/>
        <w:tabs>
          <w:tab w:leader="none" w:pos="1788"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regulatory authorities, TESARO shall and hereby does transfer to AnaptysBio all regulatory filings and regulatory approvals for the Product resulting from such Discovery Program held by TESARO, its Affiliates or sublicensees, or if the foregoing transfer is not permitted by the applicable regulatory authority, TESARO hereby permit AnaptysBio to cross-reference and rely upon any such regulatory approvals and regulatory filings;</w:t>
      </w:r>
    </w:p>
    <w:p>
      <w:pPr>
        <w:spacing w:after="0" w:line="186" w:lineRule="exact"/>
        <w:rPr>
          <w:rFonts w:ascii="Arial" w:cs="Arial" w:eastAsia="Arial" w:hAnsi="Arial"/>
          <w:sz w:val="18"/>
          <w:szCs w:val="18"/>
          <w:b w:val="1"/>
          <w:bCs w:val="1"/>
          <w:color w:val="auto"/>
        </w:rPr>
      </w:pPr>
    </w:p>
    <w:p>
      <w:pPr>
        <w:ind w:right="100" w:firstLine="1492"/>
        <w:spacing w:after="0" w:line="277" w:lineRule="auto"/>
        <w:tabs>
          <w:tab w:leader="none" w:pos="1738"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AnaptysBio shall have the sole right to Prosecute and Maintain, and to solely enforce, all Collaboration IP Rights that are the subject of such Discovery Program; and</w:t>
      </w:r>
    </w:p>
    <w:p>
      <w:pPr>
        <w:spacing w:after="0" w:line="170" w:lineRule="exact"/>
        <w:rPr>
          <w:rFonts w:ascii="Arial" w:cs="Arial" w:eastAsia="Arial" w:hAnsi="Arial"/>
          <w:sz w:val="18"/>
          <w:szCs w:val="18"/>
          <w:b w:val="1"/>
          <w:bCs w:val="1"/>
          <w:color w:val="auto"/>
        </w:rPr>
      </w:pPr>
    </w:p>
    <w:p>
      <w:pPr>
        <w:ind w:right="100" w:firstLine="1492"/>
        <w:spacing w:after="0" w:line="254" w:lineRule="auto"/>
        <w:tabs>
          <w:tab w:leader="none" w:pos="1788"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Upon AnaptysBio’s request, TESARO shall continue all on-going development for the Products resulting from such Discovery Program for a mutually agreed upon Migration Period after termination of this Agreement. During such Migration Period, TESARO shall provide such knowledge transfer and other training to AnaptysBio as reasonably necessary for AnaptysBio to continue such activities. In connection with such transfer, TESARO shall: (A) transfer to AnaptysBio all quantities of Product resulting from such Discovery Program generated by TESARO in TESARO’s control as of the effective date of termination, (B) assign to AnaptysBio any agreements with Third Parties with respect to the development or commercialization of such Products (to the extent assignable), and (C) continue funding FTEs (equivalent to the number of FTEs being funded upon the date of notice of termination) for a mutually agreed period not to exceed the remaining portion of the then current calendar quarter and one (1) full calendar quarter following the effective date of termination.</w:t>
      </w:r>
    </w:p>
    <w:p>
      <w:pPr>
        <w:spacing w:after="0" w:line="188" w:lineRule="exact"/>
        <w:rPr>
          <w:rFonts w:ascii="Arial" w:cs="Arial" w:eastAsia="Arial" w:hAnsi="Arial"/>
          <w:sz w:val="18"/>
          <w:szCs w:val="18"/>
          <w:b w:val="1"/>
          <w:bCs w:val="1"/>
          <w:color w:val="auto"/>
        </w:rPr>
      </w:pPr>
    </w:p>
    <w:p>
      <w:pPr>
        <w:ind w:right="80" w:firstLine="921"/>
        <w:spacing w:after="0" w:line="282" w:lineRule="auto"/>
        <w:tabs>
          <w:tab w:leader="none" w:pos="1158"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Development Program</w:t>
      </w:r>
      <w:r>
        <w:rPr>
          <w:rFonts w:ascii="Arial" w:cs="Arial" w:eastAsia="Arial" w:hAnsi="Arial"/>
          <w:sz w:val="18"/>
          <w:szCs w:val="18"/>
          <w:color w:val="auto"/>
        </w:rPr>
        <w:t>. If AnaptysBio terminates a Development Program pursuant to Section 14.2 for breach by</w:t>
      </w:r>
      <w:r>
        <w:rPr>
          <w:rFonts w:ascii="Arial" w:cs="Arial" w:eastAsia="Arial" w:hAnsi="Arial"/>
          <w:sz w:val="18"/>
          <w:szCs w:val="18"/>
          <w:b w:val="1"/>
          <w:bCs w:val="1"/>
          <w:color w:val="auto"/>
        </w:rPr>
        <w:t xml:space="preserve"> </w:t>
      </w:r>
      <w:r>
        <w:rPr>
          <w:rFonts w:ascii="Arial" w:cs="Arial" w:eastAsia="Arial" w:hAnsi="Arial"/>
          <w:sz w:val="18"/>
          <w:szCs w:val="18"/>
          <w:color w:val="auto"/>
        </w:rPr>
        <w:t>TESARO, or TESARO discontinues a Development Program in accordance with Section 8.2, then:</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39" w:name="page240"/>
    <w:bookmarkEnd w:id="239"/>
    <w:p>
      <w:pPr>
        <w:jc w:val="both"/>
        <w:ind w:left="-520" w:right="180" w:firstLine="1492"/>
        <w:spacing w:after="0" w:line="342" w:lineRule="auto"/>
        <w:tabs>
          <w:tab w:leader="none" w:pos="1178" w:val="left"/>
        </w:tabs>
        <w:numPr>
          <w:ilvl w:val="1"/>
          <w:numId w:val="17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licenses and rights to TESARO under Section 5.1 for the Products resulting from such Development Program shall concurrently terminate, and TESARO and its Affiliates and sublicensees shall immediately cease all manufacture, development and commercialization of such Products;</w:t>
      </w:r>
    </w:p>
    <w:p>
      <w:pPr>
        <w:spacing w:after="0" w:line="123" w:lineRule="exact"/>
        <w:rPr>
          <w:rFonts w:ascii="Arial" w:cs="Arial" w:eastAsia="Arial" w:hAnsi="Arial"/>
          <w:sz w:val="16"/>
          <w:szCs w:val="16"/>
          <w:b w:val="1"/>
          <w:bCs w:val="1"/>
          <w:color w:val="auto"/>
        </w:rPr>
      </w:pPr>
    </w:p>
    <w:p>
      <w:pPr>
        <w:ind w:left="-520" w:right="20" w:firstLine="1492"/>
        <w:spacing w:after="0" w:line="264" w:lineRule="auto"/>
        <w:tabs>
          <w:tab w:leader="none" w:pos="1228" w:val="left"/>
        </w:tabs>
        <w:numPr>
          <w:ilvl w:val="1"/>
          <w:numId w:val="177"/>
        </w:numPr>
        <w:rPr>
          <w:rFonts w:ascii="Arial" w:cs="Arial" w:eastAsia="Arial" w:hAnsi="Arial"/>
          <w:sz w:val="18"/>
          <w:szCs w:val="18"/>
          <w:b w:val="1"/>
          <w:bCs w:val="1"/>
          <w:color w:val="auto"/>
        </w:rPr>
      </w:pPr>
      <w:r>
        <w:rPr>
          <w:rFonts w:ascii="Arial" w:cs="Arial" w:eastAsia="Arial" w:hAnsi="Arial"/>
          <w:sz w:val="18"/>
          <w:szCs w:val="18"/>
          <w:color w:val="auto"/>
        </w:rPr>
        <w:t>TESARO hereby grants to AnaptysBio an irrevocable, non- exclusive, worldwide license, with the right to grant and authorize sublicenses, under TESARO’s interest in the Collaboration IP Rights, TESARO Patents and TESARO Know-How, to make, have made, use, sell, offer to sell and import Products resulting from such Development Program;</w:t>
      </w:r>
    </w:p>
    <w:p>
      <w:pPr>
        <w:spacing w:after="0" w:line="181" w:lineRule="exact"/>
        <w:rPr>
          <w:rFonts w:ascii="Arial" w:cs="Arial" w:eastAsia="Arial" w:hAnsi="Arial"/>
          <w:sz w:val="18"/>
          <w:szCs w:val="18"/>
          <w:b w:val="1"/>
          <w:bCs w:val="1"/>
          <w:color w:val="auto"/>
        </w:rPr>
      </w:pPr>
    </w:p>
    <w:p>
      <w:pPr>
        <w:ind w:left="-520" w:firstLine="1492"/>
        <w:spacing w:after="0" w:line="259" w:lineRule="auto"/>
        <w:tabs>
          <w:tab w:leader="none" w:pos="1278" w:val="left"/>
        </w:tabs>
        <w:numPr>
          <w:ilvl w:val="1"/>
          <w:numId w:val="177"/>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regulatory authorities, TESARO shall and hereby does transfer to AnaptysBio all regulatory filings and regulatory approvals for the Product resulting from such Development Program held by TESARO, its Affiliates or sublicensees, or if the foregoing transfer is not permitted by the applicable regulatory authority, TESARO hereby permit AnaptysBio to cross-reference and rely upon any such regulatory approvals and regulatory filings;</w:t>
      </w:r>
    </w:p>
    <w:p>
      <w:pPr>
        <w:spacing w:after="0" w:line="186" w:lineRule="exact"/>
        <w:rPr>
          <w:rFonts w:ascii="Arial" w:cs="Arial" w:eastAsia="Arial" w:hAnsi="Arial"/>
          <w:sz w:val="18"/>
          <w:szCs w:val="18"/>
          <w:b w:val="1"/>
          <w:bCs w:val="1"/>
          <w:color w:val="auto"/>
        </w:rPr>
      </w:pPr>
    </w:p>
    <w:p>
      <w:pPr>
        <w:ind w:left="-520" w:right="40" w:firstLine="1492"/>
        <w:spacing w:after="0" w:line="277" w:lineRule="auto"/>
        <w:tabs>
          <w:tab w:leader="none" w:pos="1268" w:val="left"/>
        </w:tabs>
        <w:numPr>
          <w:ilvl w:val="1"/>
          <w:numId w:val="177"/>
        </w:numPr>
        <w:rPr>
          <w:rFonts w:ascii="Arial" w:cs="Arial" w:eastAsia="Arial" w:hAnsi="Arial"/>
          <w:sz w:val="18"/>
          <w:szCs w:val="18"/>
          <w:b w:val="1"/>
          <w:bCs w:val="1"/>
          <w:color w:val="auto"/>
        </w:rPr>
      </w:pPr>
      <w:r>
        <w:rPr>
          <w:rFonts w:ascii="Arial" w:cs="Arial" w:eastAsia="Arial" w:hAnsi="Arial"/>
          <w:sz w:val="18"/>
          <w:szCs w:val="18"/>
          <w:color w:val="auto"/>
        </w:rPr>
        <w:t>AnaptysBio shall have the sole right to Prosecute and Maintain, and to solely enforce, all Collaboration IP Rights that are the subject of such Development Program; and</w:t>
      </w:r>
    </w:p>
    <w:p>
      <w:pPr>
        <w:spacing w:after="0" w:line="170" w:lineRule="exact"/>
        <w:rPr>
          <w:rFonts w:ascii="Arial" w:cs="Arial" w:eastAsia="Arial" w:hAnsi="Arial"/>
          <w:sz w:val="18"/>
          <w:szCs w:val="18"/>
          <w:b w:val="1"/>
          <w:bCs w:val="1"/>
          <w:color w:val="auto"/>
        </w:rPr>
      </w:pPr>
    </w:p>
    <w:p>
      <w:pPr>
        <w:ind w:left="-520" w:firstLine="1492"/>
        <w:spacing w:after="0" w:line="254" w:lineRule="auto"/>
        <w:tabs>
          <w:tab w:leader="none" w:pos="1218" w:val="left"/>
        </w:tabs>
        <w:numPr>
          <w:ilvl w:val="1"/>
          <w:numId w:val="177"/>
        </w:numPr>
        <w:rPr>
          <w:rFonts w:ascii="Arial" w:cs="Arial" w:eastAsia="Arial" w:hAnsi="Arial"/>
          <w:sz w:val="18"/>
          <w:szCs w:val="18"/>
          <w:b w:val="1"/>
          <w:bCs w:val="1"/>
          <w:color w:val="auto"/>
        </w:rPr>
      </w:pPr>
      <w:r>
        <w:rPr>
          <w:rFonts w:ascii="Arial" w:cs="Arial" w:eastAsia="Arial" w:hAnsi="Arial"/>
          <w:sz w:val="18"/>
          <w:szCs w:val="18"/>
          <w:color w:val="auto"/>
        </w:rPr>
        <w:t>Upon AnaptysBio’s request, TESARO shall continue all on-going development for the Products resulting from such Development Program for a mutually agreed upon Migration Period after termination of this Agreement. During such Migration Period, TESARO shall provide such knowledge transfer and other training to AnaptysBio as reasonably necessary for AnaptysBio to continue such activities. In connection with such transfer, TESARO shall: (A) transfer to AnaptysBio all quantities of Product resulting from such Discovery Program manufactured by TESARO in TESARO’s control as of the effective date of termination, (B) assign to AnaptysBio any agreements with Third Parties with respect to the development or commercialization of such Products (to the extent assignable), and (C) continue funding FTEs (equivalent to the number of FTEs being funded upon the date of notice of termination) for a mutually agreed period not to exceed the remaining portion of the then-current calendar quarter and one (1) full calendar quarter following the effective date of termination.</w:t>
      </w:r>
    </w:p>
    <w:p>
      <w:pPr>
        <w:spacing w:after="0" w:line="188" w:lineRule="exact"/>
        <w:rPr>
          <w:rFonts w:ascii="Arial" w:cs="Arial" w:eastAsia="Arial" w:hAnsi="Arial"/>
          <w:sz w:val="18"/>
          <w:szCs w:val="18"/>
          <w:b w:val="1"/>
          <w:bCs w:val="1"/>
          <w:color w:val="auto"/>
        </w:rPr>
      </w:pPr>
    </w:p>
    <w:p>
      <w:pPr>
        <w:ind w:left="-520" w:right="680" w:firstLine="921"/>
        <w:spacing w:after="0" w:line="282" w:lineRule="auto"/>
        <w:tabs>
          <w:tab w:leader="none" w:pos="618"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by TESARO With Cause or by TESARO for Breach by AnaptysBio</w:t>
      </w:r>
      <w:r>
        <w:rPr>
          <w:rFonts w:ascii="Arial" w:cs="Arial" w:eastAsia="Arial" w:hAnsi="Arial"/>
          <w:sz w:val="18"/>
          <w:szCs w:val="18"/>
          <w:color w:val="auto"/>
        </w:rPr>
        <w:t>. If TESARO terminates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Programs or this Agreement pursuant to Section 14.2 for breach by AnaptysBio, then:</w:t>
      </w:r>
    </w:p>
    <w:p>
      <w:pPr>
        <w:spacing w:after="0" w:line="165" w:lineRule="exact"/>
        <w:rPr>
          <w:rFonts w:ascii="Arial" w:cs="Arial" w:eastAsia="Arial" w:hAnsi="Arial"/>
          <w:sz w:val="18"/>
          <w:szCs w:val="18"/>
          <w:b w:val="1"/>
          <w:bCs w:val="1"/>
          <w:color w:val="auto"/>
        </w:rPr>
      </w:pPr>
    </w:p>
    <w:p>
      <w:pPr>
        <w:ind w:left="-520" w:right="200" w:firstLine="1492"/>
        <w:spacing w:after="0" w:line="257" w:lineRule="auto"/>
        <w:tabs>
          <w:tab w:leader="none" w:pos="1178" w:val="left"/>
        </w:tabs>
        <w:numPr>
          <w:ilvl w:val="1"/>
          <w:numId w:val="178"/>
        </w:numPr>
        <w:rPr>
          <w:rFonts w:ascii="Arial" w:cs="Arial" w:eastAsia="Arial" w:hAnsi="Arial"/>
          <w:sz w:val="18"/>
          <w:szCs w:val="18"/>
          <w:b w:val="1"/>
          <w:bCs w:val="1"/>
          <w:color w:val="auto"/>
        </w:rPr>
      </w:pPr>
      <w:r>
        <w:rPr>
          <w:rFonts w:ascii="Arial" w:cs="Arial" w:eastAsia="Arial" w:hAnsi="Arial"/>
          <w:sz w:val="18"/>
          <w:szCs w:val="18"/>
          <w:color w:val="auto"/>
        </w:rPr>
        <w:t>all licenses and rights to TESARO under Section 5.1 with respect to the applicable Discovery Program(s), Development Program(s) and Products shall automatically become perpetual and irrevocable; provided, that the payment obligations under Sections 6.3 and 6.4 shall continue; provided, however, that if TESARO terminated this Agreement pursuant to AnaptysBio’s uncured material breach of Article 5, then without limiting any other rights or remedies available to TESARO, TESARO shall continue to make payments to AnaptysBio under Sections 6.3 and 6.4 but at fifty percent (50%) of the amounts set forth therein when and if they become due;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80"/>
          </w:cols>
          <w:pgMar w:left="760" w:top="274" w:right="259" w:bottom="1440" w:gutter="0" w:footer="0" w:header="0"/>
        </w:sectPr>
      </w:pPr>
    </w:p>
    <w:bookmarkStart w:id="240" w:name="page241"/>
    <w:bookmarkEnd w:id="240"/>
    <w:p>
      <w:pPr>
        <w:ind w:right="220" w:firstLine="1492"/>
        <w:spacing w:after="0" w:line="277" w:lineRule="auto"/>
        <w:tabs>
          <w:tab w:leader="none" w:pos="1748"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AnaptysBio and its Affiliates and sublicensees shall immediately cease all research, development or other activities with respect to applicable Development Antibodies and Products resulting from such Discovery Program;</w:t>
      </w:r>
    </w:p>
    <w:p>
      <w:pPr>
        <w:spacing w:after="0" w:line="170" w:lineRule="exact"/>
        <w:rPr>
          <w:rFonts w:ascii="Arial" w:cs="Arial" w:eastAsia="Arial" w:hAnsi="Arial"/>
          <w:sz w:val="18"/>
          <w:szCs w:val="18"/>
          <w:b w:val="1"/>
          <w:bCs w:val="1"/>
          <w:color w:val="auto"/>
        </w:rPr>
      </w:pPr>
    </w:p>
    <w:p>
      <w:pPr>
        <w:jc w:val="both"/>
        <w:ind w:right="20" w:firstLine="1492"/>
        <w:spacing w:after="0" w:line="259" w:lineRule="auto"/>
        <w:tabs>
          <w:tab w:leader="none" w:pos="1798"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regulatory authorities, AnaptysBio shall and hereby does transfer to TESARO all regulatory filings and regulatory approvals for the applicable Products resulting from such Discovery Program held by AnaptysBio, its Affiliates or sublicensees, or if the foregoing transfer is not permitted by the applicable regulatory authority, AnaptysBio shall, and hereby does, permit TESARO to cross- reference and rely upon any such regulatory approvals and regulatory filings;</w:t>
      </w:r>
    </w:p>
    <w:p>
      <w:pPr>
        <w:spacing w:after="0" w:line="186" w:lineRule="exact"/>
        <w:rPr>
          <w:rFonts w:ascii="Arial" w:cs="Arial" w:eastAsia="Arial" w:hAnsi="Arial"/>
          <w:sz w:val="18"/>
          <w:szCs w:val="18"/>
          <w:b w:val="1"/>
          <w:bCs w:val="1"/>
          <w:color w:val="auto"/>
        </w:rPr>
      </w:pPr>
    </w:p>
    <w:p>
      <w:pPr>
        <w:ind w:left="1800" w:hanging="308"/>
        <w:spacing w:after="0"/>
        <w:tabs>
          <w:tab w:leader="none" w:pos="1800" w:val="left"/>
        </w:tabs>
        <w:numPr>
          <w:ilvl w:val="0"/>
          <w:numId w:val="179"/>
        </w:numPr>
        <w:rPr>
          <w:rFonts w:ascii="Arial" w:cs="Arial" w:eastAsia="Arial" w:hAnsi="Arial"/>
          <w:sz w:val="17"/>
          <w:szCs w:val="17"/>
          <w:b w:val="1"/>
          <w:bCs w:val="1"/>
          <w:color w:val="auto"/>
        </w:rPr>
      </w:pPr>
      <w:r>
        <w:rPr>
          <w:rFonts w:ascii="Arial" w:cs="Arial" w:eastAsia="Arial" w:hAnsi="Arial"/>
          <w:sz w:val="17"/>
          <w:szCs w:val="17"/>
          <w:color w:val="auto"/>
        </w:rPr>
        <w:t>TESARO shall have the sole right to Prosecute and Maintain, and to solely enforce, all Collaboration IP Rights specific to such</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Discovery Program; and</w:t>
      </w:r>
    </w:p>
    <w:p>
      <w:pPr>
        <w:spacing w:after="0" w:line="210" w:lineRule="exact"/>
        <w:rPr>
          <w:rFonts w:ascii="Arial" w:cs="Arial" w:eastAsia="Arial" w:hAnsi="Arial"/>
          <w:sz w:val="17"/>
          <w:szCs w:val="17"/>
          <w:b w:val="1"/>
          <w:bCs w:val="1"/>
          <w:color w:val="auto"/>
        </w:rPr>
      </w:pPr>
    </w:p>
    <w:p>
      <w:pPr>
        <w:ind w:right="100" w:firstLine="1492"/>
        <w:spacing w:after="0" w:line="293" w:lineRule="auto"/>
        <w:tabs>
          <w:tab w:leader="none" w:pos="1738" w:val="left"/>
        </w:tabs>
        <w:numPr>
          <w:ilvl w:val="0"/>
          <w:numId w:val="179"/>
        </w:numPr>
        <w:rPr>
          <w:rFonts w:ascii="Arial" w:cs="Arial" w:eastAsia="Arial" w:hAnsi="Arial"/>
          <w:sz w:val="16"/>
          <w:szCs w:val="16"/>
          <w:b w:val="1"/>
          <w:bCs w:val="1"/>
          <w:color w:val="auto"/>
        </w:rPr>
      </w:pPr>
      <w:r>
        <w:rPr>
          <w:rFonts w:ascii="Arial" w:cs="Arial" w:eastAsia="Arial" w:hAnsi="Arial"/>
          <w:sz w:val="16"/>
          <w:szCs w:val="16"/>
          <w:color w:val="auto"/>
        </w:rPr>
        <w:t>Upon TESARO’s request, AnaptysBio shall continue all on-going development under such Discovery Program and for applicable Products for a mutually agreed upon Migration Period after termination of this Agreement. During such Migration Period, AnaptysBio shall provide such knowledge transfer and other training to TESARO or its designees as reasonably necessary for TESARO to continue such activities. In connection with such transfer, AnaptysBio shall transfer to TESARO all quantities of applicable Development Antibodies and Products manufactured by or on behalf of AnaptysBio and in the possession or control of AnaptysBio or its affiliates or contractors as of the effective date of termination, and assign to TESARO any agreements with Third Parties with respect to the research, development or commercialization of applicable Development Antibodies or Products.</w:t>
      </w:r>
    </w:p>
    <w:p>
      <w:pPr>
        <w:spacing w:after="0" w:line="161"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14.5. Expiration</w:t>
      </w:r>
      <w:r>
        <w:rPr>
          <w:rFonts w:ascii="Arial" w:cs="Arial" w:eastAsia="Arial" w:hAnsi="Arial"/>
          <w:sz w:val="18"/>
          <w:szCs w:val="18"/>
          <w:color w:val="auto"/>
        </w:rPr>
        <w:t>. Upon the expiration of the last to expire Royalty Term for Products resulting from a Discovery Program and Development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all licenses and rights to TESARO under Section 5.1 with respect to such Discovery Program and Development Program and Products shall automatically become fully paid up, perpetual and irrevocable.</w:t>
      </w:r>
    </w:p>
    <w:p>
      <w:pPr>
        <w:spacing w:after="0" w:line="176"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14.6. Survival Sections</w:t>
      </w:r>
      <w:r>
        <w:rPr>
          <w:rFonts w:ascii="Arial" w:cs="Arial" w:eastAsia="Arial" w:hAnsi="Arial"/>
          <w:sz w:val="18"/>
          <w:szCs w:val="18"/>
          <w:color w:val="auto"/>
        </w:rPr>
        <w:t>. Sections 7, 9, 10, 13, 14.4, 14.5, 14.6, 14.7 and 15 shall survive the expiration or termination of this Agreement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w:t>
      </w:r>
    </w:p>
    <w:p>
      <w:pPr>
        <w:spacing w:after="0" w:line="162"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14.7. Termination Not Sole Remedy</w:t>
      </w:r>
      <w:r>
        <w:rPr>
          <w:rFonts w:ascii="Arial" w:cs="Arial" w:eastAsia="Arial" w:hAnsi="Arial"/>
          <w:sz w:val="18"/>
          <w:szCs w:val="18"/>
          <w:color w:val="auto"/>
        </w:rPr>
        <w:t>. Termination is not the sole remedy under this Agreement and, whether or not termination is effected,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will remain available except as agreed to otherwise herein.</w:t>
      </w:r>
    </w:p>
    <w:p>
      <w:pPr>
        <w:spacing w:after="0" w:line="189"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15.1. Governing Laws</w:t>
      </w:r>
      <w:r>
        <w:rPr>
          <w:rFonts w:ascii="Arial" w:cs="Arial" w:eastAsia="Arial" w:hAnsi="Arial"/>
          <w:sz w:val="18"/>
          <w:szCs w:val="18"/>
          <w:color w:val="auto"/>
        </w:rPr>
        <w:t>. This Agreement and any dispute arising from the construction, performance or breach hereof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reference to conflicts of laws principles thereof that would result in the application of any other law.</w:t>
      </w:r>
    </w:p>
    <w:p>
      <w:pPr>
        <w:spacing w:after="0" w:line="176"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15.2. Waiver</w:t>
      </w:r>
      <w:r>
        <w:rPr>
          <w:rFonts w:ascii="Arial" w:cs="Arial" w:eastAsia="Arial" w:hAnsi="Arial"/>
          <w:sz w:val="18"/>
          <w:szCs w:val="18"/>
          <w:color w:val="auto"/>
        </w:rPr>
        <w:t>. It is agreed that no waiver by either Party hereto of any breach or default of any of the covenants or agreements herein set forth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 waiver as to any subsequent and/or similar breach or default.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41" w:name="page242"/>
    <w:bookmarkEnd w:id="241"/>
    <w:p>
      <w:pPr>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15.3. Assignment</w:t>
      </w:r>
      <w:r>
        <w:rPr>
          <w:rFonts w:ascii="Arial" w:cs="Arial" w:eastAsia="Arial" w:hAnsi="Arial"/>
          <w:sz w:val="18"/>
          <w:szCs w:val="18"/>
          <w:color w:val="auto"/>
        </w:rPr>
        <w:t>. This Agreement shall not be assignable by either Party to any Third Party hereto without the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any attempted assignment shall be null and void. Notwithstanding the foregoing, either Party may assign this Agreement, without such consent, to an entity that acquires all or substantially all of the business or assets of such Party to which this Agreement pertains, whether by merger, reorganization, acquisition, sale, or otherwise. This Agreement shall be binding upon and accrue to the benefit any permitted assignee, and any such assignee shall agree to perform the obligations of the assignor.</w:t>
      </w:r>
    </w:p>
    <w:p>
      <w:pPr>
        <w:spacing w:after="0" w:line="184" w:lineRule="exact"/>
        <w:rPr>
          <w:sz w:val="20"/>
          <w:szCs w:val="20"/>
          <w:color w:val="auto"/>
        </w:rPr>
      </w:pPr>
    </w:p>
    <w:p>
      <w:pPr>
        <w:ind w:right="420" w:firstLine="456"/>
        <w:spacing w:after="0" w:line="347" w:lineRule="auto"/>
        <w:rPr>
          <w:sz w:val="20"/>
          <w:szCs w:val="20"/>
          <w:color w:val="auto"/>
        </w:rPr>
      </w:pPr>
      <w:r>
        <w:rPr>
          <w:rFonts w:ascii="Arial" w:cs="Arial" w:eastAsia="Arial" w:hAnsi="Arial"/>
          <w:sz w:val="16"/>
          <w:szCs w:val="16"/>
          <w:b w:val="1"/>
          <w:bCs w:val="1"/>
          <w:color w:val="auto"/>
        </w:rPr>
        <w:t>15.4. Independent Contractors</w:t>
      </w:r>
      <w:r>
        <w:rPr>
          <w:rFonts w:ascii="Arial" w:cs="Arial" w:eastAsia="Arial" w:hAnsi="Arial"/>
          <w:sz w:val="16"/>
          <w:szCs w:val="16"/>
          <w:color w:val="auto"/>
        </w:rPr>
        <w:t>. The relationship of the Parties hereto is that of independent contractors. The Parties hereto are not deemed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agents, partners or joint venturers of the others for any purpose as a result of this Agreement or the transactions contemplated thereby.</w:t>
      </w:r>
    </w:p>
    <w:p>
      <w:pPr>
        <w:spacing w:after="0" w:line="11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15.5. Compliance with Laws</w:t>
      </w:r>
      <w:r>
        <w:rPr>
          <w:rFonts w:ascii="Arial" w:cs="Arial" w:eastAsia="Arial" w:hAnsi="Arial"/>
          <w:sz w:val="18"/>
          <w:szCs w:val="18"/>
          <w:color w:val="auto"/>
        </w:rPr>
        <w:t>. In exercising their rights under this license, the Parties shall fully comply in all material respects with the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any and all applicable laws, regulations, rules and orders of any governmental body having jurisdiction over the exercise of rights under this license including, without limitation, those applicable to the discovery, development, manufacture, distribution, import and export and sale of Products pursuant to this Agreement.</w:t>
      </w:r>
    </w:p>
    <w:p>
      <w:pPr>
        <w:spacing w:after="0" w:line="180"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15.6. Notices</w:t>
      </w:r>
      <w:r>
        <w:rPr>
          <w:rFonts w:ascii="Arial" w:cs="Arial" w:eastAsia="Arial" w:hAnsi="Arial"/>
          <w:sz w:val="18"/>
          <w:szCs w:val="18"/>
          <w:color w:val="auto"/>
        </w:rPr>
        <w:t>. All notices, requests and other communications hereunder shall be in writing and shall be personally delivered or by registered or</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mail, return receipt requested, postage prepaid, in each case to the respective address specified below, or such other address as may be specified in writing to the other Parties hereto and shall be deemed to have been given upon receipt:</w:t>
      </w:r>
    </w:p>
    <w:p>
      <w:pPr>
        <w:spacing w:after="0" w:line="207" w:lineRule="exact"/>
        <w:rPr>
          <w:sz w:val="20"/>
          <w:szCs w:val="20"/>
          <w:color w:val="auto"/>
        </w:rPr>
      </w:pPr>
    </w:p>
    <w:p>
      <w:pPr>
        <w:ind w:left="920"/>
        <w:spacing w:after="0"/>
        <w:tabs>
          <w:tab w:leader="none" w:pos="3320" w:val="left"/>
        </w:tabs>
        <w:rPr>
          <w:sz w:val="20"/>
          <w:szCs w:val="20"/>
          <w:color w:val="auto"/>
        </w:rPr>
      </w:pPr>
      <w:r>
        <w:rPr>
          <w:rFonts w:ascii="Arial" w:cs="Arial" w:eastAsia="Arial" w:hAnsi="Arial"/>
          <w:sz w:val="18"/>
          <w:szCs w:val="18"/>
          <w:color w:val="auto"/>
        </w:rPr>
        <w:t>If to TESARO:</w:t>
      </w:r>
      <w:r>
        <w:rPr>
          <w:sz w:val="20"/>
          <w:szCs w:val="20"/>
          <w:color w:val="auto"/>
        </w:rPr>
        <w:tab/>
      </w:r>
      <w:r>
        <w:rPr>
          <w:rFonts w:ascii="Arial" w:cs="Arial" w:eastAsia="Arial" w:hAnsi="Arial"/>
          <w:sz w:val="16"/>
          <w:szCs w:val="16"/>
          <w:color w:val="auto"/>
        </w:rPr>
        <w:t>TESARO, Inc.</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1000 Winter Street, Suite 3300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Waltham, Massachusetts 02541</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Attention:</w:t>
        <w:tab/>
        <w:t>Leon O. Moulder, Jr.,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Facsimile:</w:t>
        <w:tab/>
        <w:t>339-230-3961</w:t>
      </w:r>
    </w:p>
    <w:p>
      <w:pPr>
        <w:spacing w:after="0" w:line="21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and</w:t>
      </w:r>
    </w:p>
    <w:p>
      <w:pPr>
        <w:sectPr>
          <w:pgSz w:w="11900" w:h="16838" w:orient="portrait"/>
          <w:cols w:equalWidth="0" w:num="1">
            <w:col w:w="11380"/>
          </w:cols>
          <w:pgMar w:left="240" w:top="27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920"/>
        <w:spacing w:after="0" w:line="342"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TESARO Development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Clarendon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 HM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Attention:</w:t>
        <w:tab/>
        <w:t>Corporate Secretary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Hogan Lovells US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 International Drive, Suite 2000</w:t>
      </w:r>
    </w:p>
    <w:p>
      <w:pPr>
        <w:spacing w:after="0" w:line="166"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2700" w:space="640"/>
            <w:col w:w="8040"/>
          </w:cols>
          <w:pgMar w:left="240" w:top="270" w:right="279" w:bottom="1440" w:gutter="0" w:footer="0" w:header="0"/>
          <w:type w:val="continuous"/>
        </w:sectPr>
      </w:pPr>
    </w:p>
    <w:bookmarkStart w:id="242" w:name="page243"/>
    <w:bookmarkEnd w:id="242"/>
    <w:p>
      <w:pPr>
        <w:ind w:left="3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Baltimore, MD 21202</w:t>
      </w:r>
    </w:p>
    <w:p>
      <w:pPr>
        <w:spacing w:after="0" w:line="23"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Attention:</w:t>
        <w:tab/>
        <w:t>Asher M. Rubin</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Facsimile:</w:t>
        <w:tab/>
        <w:t>410-659 2701</w:t>
      </w:r>
    </w:p>
    <w:p>
      <w:pPr>
        <w:spacing w:after="0" w:line="211" w:lineRule="exact"/>
        <w:rPr>
          <w:sz w:val="20"/>
          <w:szCs w:val="20"/>
          <w:color w:val="auto"/>
        </w:rPr>
      </w:pPr>
    </w:p>
    <w:p>
      <w:pPr>
        <w:ind w:left="920"/>
        <w:spacing w:after="0"/>
        <w:tabs>
          <w:tab w:leader="none" w:pos="3320" w:val="left"/>
        </w:tabs>
        <w:rPr>
          <w:sz w:val="20"/>
          <w:szCs w:val="20"/>
          <w:color w:val="auto"/>
        </w:rPr>
      </w:pPr>
      <w:r>
        <w:rPr>
          <w:rFonts w:ascii="Arial" w:cs="Arial" w:eastAsia="Arial" w:hAnsi="Arial"/>
          <w:sz w:val="18"/>
          <w:szCs w:val="18"/>
          <w:color w:val="auto"/>
        </w:rPr>
        <w:t>If to AnaptysBio:</w:t>
      </w:r>
      <w:r>
        <w:rPr>
          <w:sz w:val="20"/>
          <w:szCs w:val="20"/>
          <w:color w:val="auto"/>
        </w:rPr>
        <w:tab/>
      </w:r>
      <w:r>
        <w:rPr>
          <w:rFonts w:ascii="Arial" w:cs="Arial" w:eastAsia="Arial" w:hAnsi="Arial"/>
          <w:sz w:val="16"/>
          <w:szCs w:val="16"/>
          <w:color w:val="auto"/>
        </w:rPr>
        <w:t>AnaptysBio, Inc.</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10421 Pacific Center Court, Suite 200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6"/>
          <w:szCs w:val="16"/>
          <w:color w:val="auto"/>
        </w:rPr>
        <w:t>Attention:</w:t>
        <w:tab/>
        <w:t>Hamza Suria, Chief Executive Officer</w:t>
      </w:r>
    </w:p>
    <w:p>
      <w:pPr>
        <w:spacing w:after="0" w:line="32"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Facsimile:</w:t>
        <w:tab/>
        <w:t>858-366-9055</w:t>
      </w:r>
    </w:p>
    <w:p>
      <w:pPr>
        <w:sectPr>
          <w:pgSz w:w="11900" w:h="16838" w:orient="portrait"/>
          <w:cols w:equalWidth="0" w:num="1">
            <w:col w:w="11360"/>
          </w:cols>
          <w:pgMar w:left="240" w:top="274" w:right="299" w:bottom="1440" w:gutter="0" w:footer="0" w:header="0"/>
        </w:sectPr>
      </w:pPr>
    </w:p>
    <w:p>
      <w:pPr>
        <w:spacing w:after="0" w:line="211" w:lineRule="exact"/>
        <w:rPr>
          <w:sz w:val="20"/>
          <w:szCs w:val="20"/>
          <w:color w:val="auto"/>
        </w:rPr>
      </w:pPr>
    </w:p>
    <w:p>
      <w:pPr>
        <w:jc w:val="both"/>
        <w:ind w:left="920"/>
        <w:spacing w:after="0" w:line="342"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Fenwick &amp; West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1191 Second Avenue, 10th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Attention:</w:t>
        <w:tab/>
        <w:t>Effie Toshav</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Facsimile:</w:t>
        <w:tab/>
        <w:t>206-389-4511</w:t>
      </w:r>
    </w:p>
    <w:p>
      <w:pPr>
        <w:spacing w:after="0" w:line="200" w:lineRule="exact"/>
        <w:rPr>
          <w:sz w:val="20"/>
          <w:szCs w:val="20"/>
          <w:color w:val="auto"/>
        </w:rPr>
      </w:pPr>
    </w:p>
    <w:p>
      <w:pPr>
        <w:sectPr>
          <w:pgSz w:w="11900" w:h="16838" w:orient="portrait"/>
          <w:cols w:equalWidth="0" w:num="2">
            <w:col w:w="2700" w:space="640"/>
            <w:col w:w="8020"/>
          </w:cols>
          <w:pgMar w:left="240" w:top="274" w:right="299" w:bottom="1440" w:gutter="0" w:footer="0" w:header="0"/>
          <w:type w:val="continuous"/>
        </w:sectPr>
      </w:pPr>
    </w:p>
    <w:p>
      <w:pPr>
        <w:spacing w:after="0" w:line="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15.7. Severability</w:t>
      </w:r>
      <w:r>
        <w:rPr>
          <w:rFonts w:ascii="Arial" w:cs="Arial" w:eastAsia="Arial" w:hAnsi="Arial"/>
          <w:sz w:val="17"/>
          <w:szCs w:val="17"/>
          <w:color w:val="auto"/>
        </w:rPr>
        <w:t>. Each Party hereby agrees that it does not intend to violate any public policy, statutory or common laws, rules, regulations, treaty or</w:t>
      </w:r>
      <w:r>
        <w:rPr>
          <w:rFonts w:ascii="Arial" w:cs="Arial" w:eastAsia="Arial" w:hAnsi="Arial"/>
          <w:sz w:val="17"/>
          <w:szCs w:val="17"/>
          <w:b w:val="1"/>
          <w:bCs w:val="1"/>
          <w:color w:val="auto"/>
        </w:rPr>
        <w:t xml:space="preserve"> </w:t>
      </w:r>
      <w:r>
        <w:rPr>
          <w:rFonts w:ascii="Arial" w:cs="Arial" w:eastAsia="Arial" w:hAnsi="Arial"/>
          <w:sz w:val="17"/>
          <w:szCs w:val="17"/>
          <w:color w:val="auto"/>
        </w:rPr>
        <w:t>decision of any government agency or executive body thereof of any country or community or association of countries. Should one or more provisions of this Agreement be or become invalid, the Parties hereto shall substitute, by mutual consent, valid provisions for such invalid provisions which valid provisions in their economic effect are sufficiently similar to the invalid provisions that it can be reasonably assumed that the Parties would have entered into this Agreement with such valid provisions. In the event a Party seeks to avoid a material provision of this Agreement upon an assertion that such provision is invalid, illegal or otherwise unenforceable, the other Party shall have the right to terminate this Agreement upon sixty (60) days prior written notice to the asserting Party, unless such assertion is eliminated and cured within such sixty (60) day period. Such a termination shall be deemed a termination by such Party for breach pursuant to Section 14.2.</w:t>
      </w:r>
    </w:p>
    <w:p>
      <w:pPr>
        <w:spacing w:after="0" w:line="17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color w:val="auto"/>
        </w:rPr>
        <w:t>15.8. Force Majeure</w:t>
      </w:r>
      <w:r>
        <w:rPr>
          <w:rFonts w:ascii="Arial" w:cs="Arial" w:eastAsia="Arial" w:hAnsi="Arial"/>
          <w:sz w:val="16"/>
          <w:szCs w:val="16"/>
          <w:color w:val="auto"/>
        </w:rPr>
        <w:t>. Neither Party shall lose any rights hereunder or be liable to the other Party for damages or losses (except for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on account of failure of performance by the defaulting Party if the failure is occasioned by war, strike, fire, Act of God, earthquake, flood, lockout, embargo, governmental acts or orders or restrictions, failure of suppliers, or any other reason where failure to perform is beyond the reasonable control and not caused by the negligence, intentional conduct or misconduct of the non-performing Party and such Party has exerted all reasonable efforts to avoid or remedy such force majeure; provided, however, that in no event shall a Party be required to settle any labor dispute or disturbance.</w:t>
      </w:r>
    </w:p>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color w:val="auto"/>
        </w:rPr>
        <w:t>15.9. Complete Agreement</w:t>
      </w:r>
      <w:r>
        <w:rPr>
          <w:rFonts w:ascii="Arial" w:cs="Arial" w:eastAsia="Arial" w:hAnsi="Arial"/>
          <w:sz w:val="16"/>
          <w:szCs w:val="16"/>
          <w:color w:val="auto"/>
        </w:rPr>
        <w:t>. This Agreement and the Supplemental Information Package, constitute the entire agreement, both written and oral,</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Parties with respect to the subject matter hereof, and all prior agreements respecting the subject matter hereof, either written or oral, express or implied, shall be abrogated, canceled, and are null and void and of no effect. No amendment or change hereof or addition hereto shall be effective or binding on either of the Parties hereto unless reduced to writing and executed by the respective duly authorized representatives of AnaptysBio and TESARO. TESARO, Inc., and TESARO Development, Ltd shall be jointly and severally liable for all obligations of TESARO under this Agreement.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74" w:right="299" w:bottom="1440" w:gutter="0" w:footer="0" w:header="0"/>
          <w:type w:val="continuous"/>
        </w:sectPr>
      </w:pPr>
    </w:p>
    <w:bookmarkStart w:id="243" w:name="page244"/>
    <w:bookmarkEnd w:id="243"/>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15.10. Headings</w:t>
      </w:r>
      <w:r>
        <w:rPr>
          <w:rFonts w:ascii="Arial" w:cs="Arial" w:eastAsia="Arial" w:hAnsi="Arial"/>
          <w:sz w:val="18"/>
          <w:szCs w:val="18"/>
          <w:color w:val="auto"/>
        </w:rPr>
        <w:t>. The captions to the several Sections hereof are not a part of this Agreement, but are included merely for convenience of reference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its meaning or interpretation.</w:t>
      </w:r>
    </w:p>
    <w:p>
      <w:pPr>
        <w:spacing w:after="0" w:line="162"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15.11. Counterparts</w:t>
      </w:r>
      <w:r>
        <w:rPr>
          <w:rFonts w:ascii="Arial" w:cs="Arial" w:eastAsia="Arial" w:hAnsi="Arial"/>
          <w:sz w:val="18"/>
          <w:szCs w:val="18"/>
          <w:color w:val="auto"/>
        </w:rPr>
        <w:t>. This Agreement may be executed in counterparts, each of which shall be deemed to be an original and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one and the same agreement.</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0" w:right="259" w:bottom="1440" w:gutter="0" w:footer="0" w:header="0"/>
        </w:sectPr>
      </w:pPr>
    </w:p>
    <w:bookmarkStart w:id="244" w:name="page245"/>
    <w:bookmarkEnd w:id="244"/>
    <w:p>
      <w:pPr>
        <w:ind w:right="7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Collaboration and Exclusive License Agreement to be duly executed by their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and delivered in duplicate originals effective as of the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TESARO, INC.</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ANAPTYSBIO,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w w:val="86"/>
              </w:rPr>
              <w:t>Name: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ind w:left="220"/>
              <w:spacing w:after="0"/>
              <w:rPr>
                <w:sz w:val="20"/>
                <w:szCs w:val="20"/>
                <w:color w:val="auto"/>
              </w:rPr>
            </w:pPr>
            <w:r>
              <w:rPr>
                <w:rFonts w:ascii="Arial" w:cs="Arial" w:eastAsia="Arial" w:hAnsi="Arial"/>
                <w:sz w:val="18"/>
                <w:szCs w:val="18"/>
                <w:color w:val="auto"/>
              </w:rPr>
              <w:t>Title: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President &amp; CEO</w:t>
            </w:r>
          </w:p>
        </w:tc>
      </w:tr>
      <w:tr>
        <w:trPr>
          <w:trHeight w:val="412"/>
        </w:trPr>
        <w:tc>
          <w:tcPr>
            <w:tcW w:w="5720" w:type="dxa"/>
            <w:vAlign w:val="bottom"/>
            <w:gridSpan w:val="2"/>
          </w:tcPr>
          <w:p>
            <w:pPr>
              <w:spacing w:after="0"/>
              <w:rPr>
                <w:sz w:val="20"/>
                <w:szCs w:val="20"/>
                <w:color w:val="auto"/>
              </w:rPr>
            </w:pPr>
            <w:r>
              <w:rPr>
                <w:rFonts w:ascii="Arial" w:cs="Arial" w:eastAsia="Arial" w:hAnsi="Arial"/>
                <w:sz w:val="18"/>
                <w:szCs w:val="18"/>
                <w:color w:val="auto"/>
              </w:rPr>
              <w:t>TESARO DEVELOPMENT, LTD.</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Collaboration and Exclusive License Agreement</w:t>
      </w:r>
    </w:p>
    <w:p>
      <w:pPr>
        <w:sectPr>
          <w:pgSz w:w="11900" w:h="16838" w:orient="portrait"/>
          <w:cols w:equalWidth="0" w:num="1">
            <w:col w:w="11420"/>
          </w:cols>
          <w:pgMar w:left="240" w:top="270" w:right="2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12.2(i)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AnaptysBio Patents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COLLABORATION AND EXCLUSIVE LICENSE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Amendment No. 1 to the Collaboration and Exclusive License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effective as of November </w:t>
      </w:r>
      <w:r>
        <w:rPr>
          <w:rFonts w:ascii="Arial" w:cs="Arial" w:eastAsia="Arial" w:hAnsi="Arial"/>
          <w:sz w:val="17"/>
          <w:szCs w:val="17"/>
          <w:u w:val="single" w:color="auto"/>
          <w:color w:val="auto"/>
        </w:rPr>
        <w:t>28</w:t>
      </w:r>
      <w:r>
        <w:rPr>
          <w:rFonts w:ascii="Arial" w:cs="Arial" w:eastAsia="Arial" w:hAnsi="Arial"/>
          <w:sz w:val="17"/>
          <w:szCs w:val="17"/>
          <w:color w:val="auto"/>
        </w:rPr>
        <w:t>, 2014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Amendment Date</w:t>
      </w:r>
      <w:r>
        <w:rPr>
          <w:rFonts w:ascii="Arial" w:cs="Arial" w:eastAsia="Arial" w:hAnsi="Arial"/>
          <w:sz w:val="17"/>
          <w:szCs w:val="17"/>
          <w:color w:val="auto"/>
        </w:rPr>
        <w:t xml:space="preserve">”), is entered into is made by and between (i) </w:t>
      </w:r>
      <w:r>
        <w:rPr>
          <w:rFonts w:ascii="Arial" w:cs="Arial" w:eastAsia="Arial" w:hAnsi="Arial"/>
          <w:sz w:val="17"/>
          <w:szCs w:val="17"/>
          <w:b w:val="1"/>
          <w:bCs w:val="1"/>
          <w:color w:val="auto"/>
        </w:rPr>
        <w:t>AnaptysBio, Inc.</w:t>
      </w:r>
      <w:r>
        <w:rPr>
          <w:rFonts w:ascii="Arial" w:cs="Arial" w:eastAsia="Arial" w:hAnsi="Arial"/>
          <w:sz w:val="17"/>
          <w:szCs w:val="17"/>
          <w:color w:val="auto"/>
        </w:rPr>
        <w:t>, a Delaware corporation, having a place of business at 10421 Pacific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Center Court, Suite 200, San Diego, California 92121 (“</w:t>
      </w:r>
      <w:r>
        <w:rPr>
          <w:rFonts w:ascii="Arial" w:cs="Arial" w:eastAsia="Arial" w:hAnsi="Arial"/>
          <w:sz w:val="16"/>
          <w:szCs w:val="16"/>
          <w:b w:val="1"/>
          <w:bCs w:val="1"/>
          <w:color w:val="auto"/>
        </w:rPr>
        <w:t>AnaptysBio</w:t>
      </w:r>
      <w:r>
        <w:rPr>
          <w:rFonts w:ascii="Arial" w:cs="Arial" w:eastAsia="Arial" w:hAnsi="Arial"/>
          <w:sz w:val="16"/>
          <w:szCs w:val="16"/>
          <w:color w:val="auto"/>
        </w:rPr>
        <w:t xml:space="preserve">”), and (ii) </w:t>
      </w:r>
      <w:r>
        <w:rPr>
          <w:rFonts w:ascii="Arial" w:cs="Arial" w:eastAsia="Arial" w:hAnsi="Arial"/>
          <w:sz w:val="16"/>
          <w:szCs w:val="16"/>
          <w:b w:val="1"/>
          <w:bCs w:val="1"/>
          <w:color w:val="auto"/>
        </w:rPr>
        <w:t>TESARO, Inc.</w:t>
      </w:r>
      <w:r>
        <w:rPr>
          <w:rFonts w:ascii="Arial" w:cs="Arial" w:eastAsia="Arial" w:hAnsi="Arial"/>
          <w:sz w:val="16"/>
          <w:szCs w:val="16"/>
          <w:color w:val="auto"/>
        </w:rPr>
        <w:t>, a Delaware corporation, having a place of business at 1000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Winter Street, Suite 3300, Waltham, Massachusetts 02541 (“</w:t>
      </w:r>
      <w:r>
        <w:rPr>
          <w:rFonts w:ascii="Arial" w:cs="Arial" w:eastAsia="Arial" w:hAnsi="Arial"/>
          <w:sz w:val="16"/>
          <w:szCs w:val="16"/>
          <w:b w:val="1"/>
          <w:bCs w:val="1"/>
          <w:color w:val="auto"/>
        </w:rPr>
        <w:t>TESARO US</w:t>
      </w:r>
      <w:r>
        <w:rPr>
          <w:rFonts w:ascii="Arial" w:cs="Arial" w:eastAsia="Arial" w:hAnsi="Arial"/>
          <w:sz w:val="16"/>
          <w:szCs w:val="16"/>
          <w:color w:val="auto"/>
        </w:rPr>
        <w:t xml:space="preserve">”) and </w:t>
      </w:r>
      <w:r>
        <w:rPr>
          <w:rFonts w:ascii="Arial" w:cs="Arial" w:eastAsia="Arial" w:hAnsi="Arial"/>
          <w:sz w:val="16"/>
          <w:szCs w:val="16"/>
          <w:b w:val="1"/>
          <w:bCs w:val="1"/>
          <w:color w:val="auto"/>
        </w:rPr>
        <w:t>TESARO Development, Ltd.</w:t>
      </w:r>
      <w:r>
        <w:rPr>
          <w:rFonts w:ascii="Arial" w:cs="Arial" w:eastAsia="Arial" w:hAnsi="Arial"/>
          <w:sz w:val="16"/>
          <w:szCs w:val="16"/>
          <w:color w:val="auto"/>
        </w:rPr>
        <w:t>, a Bermuda corporation, having its principal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 at Clarendon House, 2 Church Street, Hamilton HM 11, Bermuda (together with TESARO US, “</w:t>
      </w:r>
      <w:r>
        <w:rPr>
          <w:rFonts w:ascii="Arial" w:cs="Arial" w:eastAsia="Arial" w:hAnsi="Arial"/>
          <w:sz w:val="18"/>
          <w:szCs w:val="18"/>
          <w:b w:val="1"/>
          <w:bCs w:val="1"/>
          <w:color w:val="auto"/>
        </w:rPr>
        <w:t>TESARO</w:t>
      </w:r>
      <w:r>
        <w:rPr>
          <w:rFonts w:ascii="Arial" w:cs="Arial" w:eastAsia="Arial" w:hAnsi="Arial"/>
          <w:sz w:val="18"/>
          <w:szCs w:val="18"/>
          <w:color w:val="auto"/>
        </w:rPr>
        <w:t>”).</w:t>
      </w:r>
    </w:p>
    <w:p>
      <w:pPr>
        <w:spacing w:after="0" w:line="211"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WHEREAS, the parties previously entered into that certain Collaboration and Exclusive License Agreement dated as of March 10, 2014 (the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amend the Agreement in certain respects on the terms and conditions set forth herein.</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NOW THEREFORE, capitalized terms not defined in this Amendment shall have the meaning ascribed in the Agreement, and the parties hereby agree as follows:</w:t>
      </w:r>
    </w:p>
    <w:p>
      <w:pPr>
        <w:spacing w:after="0" w:line="170" w:lineRule="exact"/>
        <w:rPr>
          <w:sz w:val="20"/>
          <w:szCs w:val="20"/>
          <w:color w:val="auto"/>
        </w:rPr>
      </w:pPr>
    </w:p>
    <w:p>
      <w:pPr>
        <w:ind w:right="220" w:firstLine="464"/>
        <w:spacing w:after="0" w:line="277" w:lineRule="auto"/>
        <w:tabs>
          <w:tab w:leader="none" w:pos="636" w:val="left"/>
        </w:tabs>
        <w:numPr>
          <w:ilvl w:val="0"/>
          <w:numId w:val="181"/>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 License Fee</w:t>
      </w:r>
      <w:r>
        <w:rPr>
          <w:rFonts w:ascii="Arial" w:cs="Arial" w:eastAsia="Arial" w:hAnsi="Arial"/>
          <w:sz w:val="18"/>
          <w:szCs w:val="18"/>
          <w:color w:val="auto"/>
        </w:rPr>
        <w:t>. Within ten (10) business days following the Amendment Date, TESARO shall pay to AnaptysBio a non-creditable, non-refundable license fee of two million dollars (USD $2,000,000.00).</w:t>
      </w:r>
    </w:p>
    <w:p>
      <w:pPr>
        <w:spacing w:after="0" w:line="170" w:lineRule="exact"/>
        <w:rPr>
          <w:rFonts w:ascii="Arial" w:cs="Arial" w:eastAsia="Arial" w:hAnsi="Arial"/>
          <w:sz w:val="18"/>
          <w:szCs w:val="18"/>
          <w:b w:val="1"/>
          <w:bCs w:val="1"/>
          <w:color w:val="auto"/>
        </w:rPr>
      </w:pPr>
    </w:p>
    <w:p>
      <w:pPr>
        <w:ind w:left="640" w:hanging="176"/>
        <w:spacing w:after="0"/>
        <w:tabs>
          <w:tab w:leader="none" w:pos="640" w:val="left"/>
        </w:tabs>
        <w:numPr>
          <w:ilvl w:val="0"/>
          <w:numId w:val="181"/>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following Sections of the Agreement are hereby amended and replaced in their entirety as follows: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Section 1 of the Agreement is amended to add the following new definitions:</w:t>
      </w:r>
    </w:p>
    <w:p>
      <w:pPr>
        <w:spacing w:after="0" w:line="225" w:lineRule="exact"/>
        <w:rPr>
          <w:sz w:val="20"/>
          <w:szCs w:val="20"/>
          <w:color w:val="auto"/>
        </w:rPr>
      </w:pPr>
    </w:p>
    <w:p>
      <w:pPr>
        <w:ind w:left="1740" w:hanging="248"/>
        <w:spacing w:after="0"/>
        <w:tabs>
          <w:tab w:leader="none" w:pos="1740"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1.51 “</w:t>
      </w:r>
      <w:r>
        <w:rPr>
          <w:rFonts w:ascii="Arial" w:cs="Arial" w:eastAsia="Arial" w:hAnsi="Arial"/>
          <w:sz w:val="18"/>
          <w:szCs w:val="18"/>
          <w:b w:val="1"/>
          <w:bCs w:val="1"/>
          <w:color w:val="auto"/>
        </w:rPr>
        <w:t>[*]</w:t>
      </w:r>
      <w:r>
        <w:rPr>
          <w:rFonts w:ascii="Arial" w:cs="Arial" w:eastAsia="Arial" w:hAnsi="Arial"/>
          <w:sz w:val="18"/>
          <w:szCs w:val="18"/>
          <w:color w:val="auto"/>
        </w:rPr>
        <w:t>” shall mean [*].</w:t>
      </w:r>
    </w:p>
    <w:p>
      <w:pPr>
        <w:spacing w:after="0" w:line="225" w:lineRule="exact"/>
        <w:rPr>
          <w:rFonts w:ascii="Arial" w:cs="Arial" w:eastAsia="Arial" w:hAnsi="Arial"/>
          <w:sz w:val="18"/>
          <w:szCs w:val="18"/>
          <w:b w:val="1"/>
          <w:bCs w:val="1"/>
          <w:color w:val="auto"/>
        </w:rPr>
      </w:pPr>
    </w:p>
    <w:p>
      <w:pPr>
        <w:ind w:right="200" w:firstLine="1492"/>
        <w:spacing w:after="0" w:line="282" w:lineRule="auto"/>
        <w:tabs>
          <w:tab w:leader="none" w:pos="1748"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1.52 “</w:t>
      </w:r>
      <w:r>
        <w:rPr>
          <w:rFonts w:ascii="Arial" w:cs="Arial" w:eastAsia="Arial" w:hAnsi="Arial"/>
          <w:sz w:val="18"/>
          <w:szCs w:val="18"/>
          <w:b w:val="1"/>
          <w:bCs w:val="1"/>
          <w:color w:val="auto"/>
        </w:rPr>
        <w:t>[*]</w:t>
      </w:r>
      <w:r>
        <w:rPr>
          <w:rFonts w:ascii="Arial" w:cs="Arial" w:eastAsia="Arial" w:hAnsi="Arial"/>
          <w:sz w:val="18"/>
          <w:szCs w:val="18"/>
          <w:color w:val="auto"/>
        </w:rPr>
        <w:t>” shall mean both [*] and shall be used with respect to a Development Antibody that is specifically designed to cross-react and antagonize both [*].</w:t>
      </w:r>
    </w:p>
    <w:p>
      <w:pPr>
        <w:spacing w:after="0" w:line="161" w:lineRule="exact"/>
        <w:rPr>
          <w:rFonts w:ascii="Arial" w:cs="Arial" w:eastAsia="Arial" w:hAnsi="Arial"/>
          <w:sz w:val="18"/>
          <w:szCs w:val="18"/>
          <w:b w:val="1"/>
          <w:bCs w:val="1"/>
          <w:color w:val="auto"/>
        </w:rPr>
      </w:pPr>
    </w:p>
    <w:p>
      <w:pPr>
        <w:ind w:right="620" w:firstLine="1492"/>
        <w:spacing w:after="0" w:line="282" w:lineRule="auto"/>
        <w:tabs>
          <w:tab w:leader="none" w:pos="1728"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1.53 “</w:t>
      </w:r>
      <w:r>
        <w:rPr>
          <w:rFonts w:ascii="Arial" w:cs="Arial" w:eastAsia="Arial" w:hAnsi="Arial"/>
          <w:sz w:val="18"/>
          <w:szCs w:val="18"/>
          <w:b w:val="1"/>
          <w:bCs w:val="1"/>
          <w:color w:val="auto"/>
        </w:rPr>
        <w:t>[*] Development Program</w:t>
      </w:r>
      <w:r>
        <w:rPr>
          <w:rFonts w:ascii="Arial" w:cs="Arial" w:eastAsia="Arial" w:hAnsi="Arial"/>
          <w:sz w:val="18"/>
          <w:szCs w:val="18"/>
          <w:color w:val="auto"/>
        </w:rPr>
        <w:t>” shall mean the development program to be conducted in accordance with Section 3 for the development of Development Antibodies generated under the [*] Discovery Program.</w:t>
      </w:r>
    </w:p>
    <w:p>
      <w:pPr>
        <w:spacing w:after="0" w:line="161" w:lineRule="exact"/>
        <w:rPr>
          <w:rFonts w:ascii="Arial" w:cs="Arial" w:eastAsia="Arial" w:hAnsi="Arial"/>
          <w:sz w:val="18"/>
          <w:szCs w:val="18"/>
          <w:b w:val="1"/>
          <w:bCs w:val="1"/>
          <w:color w:val="auto"/>
        </w:rPr>
      </w:pPr>
    </w:p>
    <w:p>
      <w:pPr>
        <w:ind w:right="120" w:firstLine="1492"/>
        <w:spacing w:after="0" w:line="282" w:lineRule="auto"/>
        <w:tabs>
          <w:tab w:leader="none" w:pos="1748"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1.54 “</w:t>
      </w:r>
      <w:r>
        <w:rPr>
          <w:rFonts w:ascii="Arial" w:cs="Arial" w:eastAsia="Arial" w:hAnsi="Arial"/>
          <w:sz w:val="18"/>
          <w:szCs w:val="18"/>
          <w:b w:val="1"/>
          <w:bCs w:val="1"/>
          <w:color w:val="auto"/>
        </w:rPr>
        <w:t>[*] Discovery Program</w:t>
      </w:r>
      <w:r>
        <w:rPr>
          <w:rFonts w:ascii="Arial" w:cs="Arial" w:eastAsia="Arial" w:hAnsi="Arial"/>
          <w:sz w:val="18"/>
          <w:szCs w:val="18"/>
          <w:color w:val="auto"/>
        </w:rPr>
        <w:t>” shall mean the discovery program to be conducted in accordance with Section 2 for the development of antibodies directed to antagonize both [*].</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Section 1.14, the definition of “Development Programs”, is amended to add the [*] Development Program.</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47" w:name="page248"/>
    <w:bookmarkEnd w:id="247"/>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8"/>
          <w:szCs w:val="18"/>
          <w:color w:val="auto"/>
        </w:rPr>
        <w:t>Section 1.15, the definition of “Discovery Plan”, is amended to add Exhibit A-4 to the Supplemental Information Package.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Section 1.16, the definition of “Discovery Programs”, is amended to add the [*] Discovery Program.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Section 1.41, the definition of “Target(s)”, is amended to include [*].</w:t>
      </w:r>
    </w:p>
    <w:p>
      <w:pPr>
        <w:spacing w:after="0" w:line="225" w:lineRule="exact"/>
        <w:rPr>
          <w:sz w:val="20"/>
          <w:szCs w:val="20"/>
          <w:color w:val="auto"/>
        </w:rPr>
      </w:pPr>
    </w:p>
    <w:p>
      <w:pPr>
        <w:ind w:right="420" w:firstLine="913"/>
        <w:spacing w:after="0" w:line="313" w:lineRule="auto"/>
        <w:rPr>
          <w:sz w:val="20"/>
          <w:szCs w:val="20"/>
          <w:color w:val="auto"/>
        </w:rPr>
      </w:pPr>
      <w:r>
        <w:rPr>
          <w:rFonts w:ascii="Arial" w:cs="Arial" w:eastAsia="Arial" w:hAnsi="Arial"/>
          <w:sz w:val="17"/>
          <w:szCs w:val="17"/>
          <w:b w:val="1"/>
          <w:bCs w:val="1"/>
          <w:color w:val="auto"/>
        </w:rPr>
        <w:t xml:space="preserve">2.6. </w:t>
      </w:r>
      <w:r>
        <w:rPr>
          <w:rFonts w:ascii="Arial" w:cs="Arial" w:eastAsia="Arial" w:hAnsi="Arial"/>
          <w:sz w:val="17"/>
          <w:szCs w:val="17"/>
          <w:color w:val="auto"/>
        </w:rPr>
        <w:t>Section 2.4 is hereby amended by adding the following new sentence immediately following the end of Section 2.4: “Exhibit A-4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Supplemental Information Package is hereby added as an additional Discovery Program to be carried out in accordance with this Agreement.”</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color w:val="auto"/>
        </w:rPr>
        <w:t>Section 5.3(a) of the Agreement is hereby amended by adding the following new sentence immediately following the end of Section 5.3(a):</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40" w:hanging="176"/>
        <w:spacing w:after="0"/>
        <w:tabs>
          <w:tab w:leader="none" w:pos="640"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TESARO shall pay AnaptysBio each of the milestone payments set forth in Section 6.3 of the License Agreement [*].</w:t>
      </w:r>
    </w:p>
    <w:p>
      <w:pPr>
        <w:spacing w:after="0" w:line="225" w:lineRule="exact"/>
        <w:rPr>
          <w:rFonts w:ascii="Arial" w:cs="Arial" w:eastAsia="Arial" w:hAnsi="Arial"/>
          <w:sz w:val="18"/>
          <w:szCs w:val="18"/>
          <w:b w:val="1"/>
          <w:bCs w:val="1"/>
          <w:color w:val="auto"/>
        </w:rPr>
      </w:pPr>
    </w:p>
    <w:p>
      <w:pPr>
        <w:ind w:left="640" w:hanging="176"/>
        <w:spacing w:after="0"/>
        <w:tabs>
          <w:tab w:leader="none" w:pos="640" w:val="left"/>
        </w:tabs>
        <w:numPr>
          <w:ilvl w:val="0"/>
          <w:numId w:val="183"/>
        </w:numPr>
        <w:rPr>
          <w:rFonts w:ascii="Arial" w:cs="Arial" w:eastAsia="Arial" w:hAnsi="Arial"/>
          <w:sz w:val="16"/>
          <w:szCs w:val="16"/>
          <w:b w:val="1"/>
          <w:bCs w:val="1"/>
          <w:color w:val="auto"/>
        </w:rPr>
      </w:pPr>
      <w:r>
        <w:rPr>
          <w:rFonts w:ascii="Arial" w:cs="Arial" w:eastAsia="Arial" w:hAnsi="Arial"/>
          <w:sz w:val="16"/>
          <w:szCs w:val="16"/>
          <w:u w:val="single" w:color="auto"/>
          <w:color w:val="auto"/>
        </w:rPr>
        <w:t>Discovery Plan</w:t>
      </w:r>
      <w:r>
        <w:rPr>
          <w:rFonts w:ascii="Arial" w:cs="Arial" w:eastAsia="Arial" w:hAnsi="Arial"/>
          <w:sz w:val="16"/>
          <w:szCs w:val="16"/>
          <w:color w:val="auto"/>
        </w:rPr>
        <w:t>. The Discovery Plan for the [*] Discovery Program shall be added to the Supplemental Information Package as Exhibit A-4, thereto.</w:t>
      </w:r>
    </w:p>
    <w:p>
      <w:pPr>
        <w:spacing w:after="0" w:line="248" w:lineRule="exact"/>
        <w:rPr>
          <w:rFonts w:ascii="Arial" w:cs="Arial" w:eastAsia="Arial" w:hAnsi="Arial"/>
          <w:sz w:val="16"/>
          <w:szCs w:val="16"/>
          <w:b w:val="1"/>
          <w:bCs w:val="1"/>
          <w:color w:val="auto"/>
        </w:rPr>
      </w:pPr>
    </w:p>
    <w:p>
      <w:pPr>
        <w:ind w:right="240" w:firstLine="464"/>
        <w:spacing w:after="0" w:line="277" w:lineRule="auto"/>
        <w:tabs>
          <w:tab w:leader="none" w:pos="636" w:val="left"/>
        </w:tabs>
        <w:numPr>
          <w:ilvl w:val="0"/>
          <w:numId w:val="183"/>
        </w:numPr>
        <w:rPr>
          <w:rFonts w:ascii="Arial" w:cs="Arial" w:eastAsia="Arial" w:hAnsi="Arial"/>
          <w:sz w:val="18"/>
          <w:szCs w:val="18"/>
          <w:b w:val="1"/>
          <w:bCs w:val="1"/>
          <w:color w:val="auto"/>
        </w:rPr>
      </w:pPr>
      <w:r>
        <w:rPr>
          <w:rFonts w:ascii="Arial" w:cs="Arial" w:eastAsia="Arial" w:hAnsi="Arial"/>
          <w:sz w:val="18"/>
          <w:szCs w:val="18"/>
          <w:u w:val="single" w:color="auto"/>
          <w:color w:val="auto"/>
        </w:rPr>
        <w:t>Press Release</w:t>
      </w:r>
      <w:r>
        <w:rPr>
          <w:rFonts w:ascii="Arial" w:cs="Arial" w:eastAsia="Arial" w:hAnsi="Arial"/>
          <w:sz w:val="18"/>
          <w:szCs w:val="18"/>
          <w:color w:val="auto"/>
        </w:rPr>
        <w:t>. Disclosure of the terms of this Amendment are subject to Section 11.1 of the Agreement, provided that the press release attached to this Amendment as Appendix A shall be jointly released by both Parties promptly following the Amendment Date.</w:t>
      </w:r>
    </w:p>
    <w:p>
      <w:pPr>
        <w:spacing w:after="0" w:line="170" w:lineRule="exact"/>
        <w:rPr>
          <w:rFonts w:ascii="Arial" w:cs="Arial" w:eastAsia="Arial" w:hAnsi="Arial"/>
          <w:sz w:val="18"/>
          <w:szCs w:val="18"/>
          <w:b w:val="1"/>
          <w:bCs w:val="1"/>
          <w:color w:val="auto"/>
        </w:rPr>
      </w:pPr>
    </w:p>
    <w:p>
      <w:pPr>
        <w:ind w:right="120" w:firstLine="464"/>
        <w:spacing w:after="0" w:line="264" w:lineRule="auto"/>
        <w:tabs>
          <w:tab w:leader="none" w:pos="636" w:val="left"/>
        </w:tabs>
        <w:numPr>
          <w:ilvl w:val="0"/>
          <w:numId w:val="183"/>
        </w:numPr>
        <w:rPr>
          <w:rFonts w:ascii="Arial" w:cs="Arial" w:eastAsia="Arial" w:hAnsi="Arial"/>
          <w:sz w:val="18"/>
          <w:szCs w:val="18"/>
          <w:b w:val="1"/>
          <w:bCs w:val="1"/>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Amendment shall be effective for all purposes as of the Amendment Date. Except as expressly modified herein, the Agreement shall continue to remain in full force and effect in accordance with its terms. This Amendment may be executed in counterparts, each of which shall be deemed to be an original and together shall be deemed to be one and the same document.</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48" w:name="page249"/>
    <w:bookmarkEnd w:id="248"/>
    <w:p>
      <w:pPr>
        <w:ind w:right="2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Amendment to be executed by their respective duly authorized representatives effective as of the Amendment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TESARO, INC.</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ANAPTYSBIO,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w w:val="86"/>
              </w:rPr>
              <w:t>Name: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ind w:left="220"/>
              <w:spacing w:after="0"/>
              <w:rPr>
                <w:sz w:val="20"/>
                <w:szCs w:val="20"/>
                <w:color w:val="auto"/>
              </w:rPr>
            </w:pPr>
            <w:r>
              <w:rPr>
                <w:rFonts w:ascii="Arial" w:cs="Arial" w:eastAsia="Arial" w:hAnsi="Arial"/>
                <w:sz w:val="18"/>
                <w:szCs w:val="18"/>
                <w:color w:val="auto"/>
              </w:rPr>
              <w:t>Title: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President &amp; CEO</w:t>
            </w:r>
          </w:p>
        </w:tc>
      </w:tr>
      <w:tr>
        <w:trPr>
          <w:trHeight w:val="412"/>
        </w:trPr>
        <w:tc>
          <w:tcPr>
            <w:tcW w:w="5720" w:type="dxa"/>
            <w:vAlign w:val="bottom"/>
            <w:gridSpan w:val="2"/>
          </w:tcPr>
          <w:p>
            <w:pPr>
              <w:spacing w:after="0"/>
              <w:rPr>
                <w:sz w:val="20"/>
                <w:szCs w:val="20"/>
                <w:color w:val="auto"/>
              </w:rPr>
            </w:pPr>
            <w:r>
              <w:rPr>
                <w:rFonts w:ascii="Arial" w:cs="Arial" w:eastAsia="Arial" w:hAnsi="Arial"/>
                <w:sz w:val="18"/>
                <w:szCs w:val="18"/>
                <w:color w:val="auto"/>
              </w:rPr>
              <w:t>TESARO DEVELOPMENT, LTD.</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Press Release</w:t>
      </w:r>
    </w:p>
    <w:p>
      <w:pPr>
        <w:sectPr>
          <w:pgSz w:w="11900" w:h="16838" w:orient="portrait"/>
          <w:cols w:equalWidth="0" w:num="1">
            <w:col w:w="9019"/>
          </w:cols>
          <w:pgMar w:left="1440" w:top="270" w:right="1440"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RELEASE ON DECEMBER 2, 2014 AT 5:15 AM ET</w:t>
      </w:r>
    </w:p>
    <w:p>
      <w:pPr>
        <w:spacing w:after="0" w:line="225" w:lineRule="exact"/>
        <w:rPr>
          <w:sz w:val="20"/>
          <w:szCs w:val="20"/>
          <w:color w:val="auto"/>
        </w:rPr>
      </w:pPr>
    </w:p>
    <w:p>
      <w:pPr>
        <w:jc w:val="center"/>
        <w:ind w:left="260" w:right="300"/>
        <w:spacing w:after="0" w:line="282" w:lineRule="auto"/>
        <w:rPr>
          <w:sz w:val="20"/>
          <w:szCs w:val="20"/>
          <w:color w:val="auto"/>
        </w:rPr>
      </w:pPr>
      <w:r>
        <w:rPr>
          <w:rFonts w:ascii="Arial" w:cs="Arial" w:eastAsia="Arial" w:hAnsi="Arial"/>
          <w:sz w:val="18"/>
          <w:szCs w:val="18"/>
          <w:b w:val="1"/>
          <w:bCs w:val="1"/>
          <w:color w:val="auto"/>
        </w:rPr>
        <w:t>TESARO AND ANAPTYSBIO EXPAND IMMUNO-ONCOLOGY COLLABORATION TO INCLUDE NOVEL BISPECIFIC ANTIBODY CANDIDATE</w:t>
      </w:r>
    </w:p>
    <w:p>
      <w:pPr>
        <w:spacing w:after="0" w:line="162" w:lineRule="exact"/>
        <w:rPr>
          <w:sz w:val="20"/>
          <w:szCs w:val="20"/>
          <w:color w:val="auto"/>
        </w:rPr>
      </w:pPr>
    </w:p>
    <w:p>
      <w:pPr>
        <w:ind w:right="4520"/>
        <w:spacing w:after="0" w:line="282" w:lineRule="auto"/>
        <w:rPr>
          <w:sz w:val="20"/>
          <w:szCs w:val="20"/>
          <w:color w:val="auto"/>
        </w:rPr>
      </w:pPr>
      <w:r>
        <w:rPr>
          <w:rFonts w:ascii="Arial" w:cs="Arial" w:eastAsia="Arial" w:hAnsi="Arial"/>
          <w:sz w:val="18"/>
          <w:szCs w:val="18"/>
          <w:b w:val="1"/>
          <w:bCs w:val="1"/>
          <w:color w:val="auto"/>
        </w:rPr>
        <w:t>—Candidate Will Target Two Undisclosed Immune Checkpoints —Anti-TIM-3 Antibody Data to be Presented Today at the AACR Conference in Orlando</w:t>
      </w:r>
    </w:p>
    <w:p>
      <w:pPr>
        <w:spacing w:after="0" w:line="166"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WALTHAM, MA, and SAN DIEGO, CA – December 2, 2014 – TESARO, Inc. (NASDAQ: TSRO), an oncology-focused biopharmaceutical company, and AnaptysBio, Inc., a privately-held therapeutic antibody company, today announced an expansion of their immuno-oncology collaboration and exclusive license agreement to include development of a novel bispecific antibody candidate designed to target two undisclosed immune checkpoints.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AnaptysBio and TESARO first initiated their collaboration in March of 2014, and have together focused on the development of monospecific antibody drug candidates targeting TIM-3, LAG-3 and PD-1 and dual reactive antibody drug candidates targeting PD-1/TIM-3 and PD-1/LAG-3. Since the beginning of this partnership, Investigational New Drug (IND) enabling preclinical studies of TSR-042 (anti-PD-1 antibody candidate) have been initiated, and additional clinical candidates have been identified, including lead candidates targeting TIM-3 and LAG-3.</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“Through our collaboration with AnaptysBio, we are employing a variety of approaches, including monospecific, bispecific and dual specific antibodies, to address some of the most validated and promising immune checkpoint targets,” said Mary Lynne Hedley, president and COO of TESARO. “We are committed to advancing the science of immuno-oncology in order to potentially transform the care of patients with cancer. Our team looks forward to continued collaboration with AnaptysBio on these programs and to the presentation of data describing our anti-TIM-3 antibody candidate at the AACR conference later today in Orlando.”</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“AnaptysBio continues to focus on the development of therapeutic antibodies for unmet medical needs in immuno-oncology, inflammation and fibrosis. Our strategic advantage is the ability to rapidly discover and develop therapeutic antibodies against emerging biological targets using the natural somatic hypermutation mechanism encoded within the human immune system,” said Hamza Suria, president and CEO of AnaptysBio. “We are pleased to expand our collaboration with TESARO, and look forward to advancing multiple immuno-oncology antibodies into the clinic.”</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the terms of this expansion, TESARO will pay AnaptysBio an undisclosed upfront fee and will provide funding for all costs incurred by AnaptysBio related to the development of a clinical antibody candidate. For each program within the collaboration, AnaptysBio is eligible to receive milestone payments if certain research and development events are achieved and additional payments for achievement of certain U.S. and ex-U.S. regulatory submissions and approvals in multiple indications. AnaptysBio will also be eligible to receive royalties related to worldwide net sales of products developed under the collaboration, and may earn certain commercial milestone payments if specified levels of annual worldwide net sales are attained. AnaptysBio and TESARO will together complete preclinical development of the antibody candidates, with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TESARO being solely responsible for all clinical development, manufacturing, regulatory and commercial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AACR Poster Presentation Details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AACR Conference: Tumor Immunology and Immunotherapy: A New Chapter (Orlando) Tuesday, December 2, 2014, 1:15 PM to 3:30 PM, Poster Session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Abstract title: </w:t>
      </w:r>
      <w:r>
        <w:rPr>
          <w:rFonts w:ascii="Arial" w:cs="Arial" w:eastAsia="Arial" w:hAnsi="Arial"/>
          <w:sz w:val="18"/>
          <w:szCs w:val="18"/>
          <w:i w:val="1"/>
          <w:iCs w:val="1"/>
          <w:color w:val="auto"/>
        </w:rPr>
        <w:t>Identification and characterization of a potent anti-human TIM-3 antagonist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poster will be available following its presentation at: </w:t>
      </w:r>
      <w:r>
        <w:rPr>
          <w:rFonts w:ascii="Arial" w:cs="Arial" w:eastAsia="Arial" w:hAnsi="Arial"/>
          <w:sz w:val="18"/>
          <w:szCs w:val="18"/>
          <w:u w:val="single" w:color="auto"/>
          <w:color w:val="auto"/>
        </w:rPr>
        <w:t>http://www.tesarobio.com/documents/AACRDec2014.pdf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AnaptysBio</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AnaptysBio is a privately-held antibody development company advancing first-in-class programs in immuno-oncology, inflammation and fibrosis. AnaptysBio’s proprietary SHM-XEL™ platform, which couples fully human antibody libraries with in vitro somatic hypermutation in mammalian cells to generate high affinity antibodies. replicates key features of the human immune system and overcomes limitations of prior antibody technologies. Multiple antibodies emanating from the AnaptysBio pipeline are currently undergoing IND-enabling studies with potentially transformative clinical read-outs during the 2016-2017 timeframe. For more information, visit </w:t>
      </w:r>
      <w:r>
        <w:rPr>
          <w:rFonts w:ascii="Arial" w:cs="Arial" w:eastAsia="Arial" w:hAnsi="Arial"/>
          <w:sz w:val="18"/>
          <w:szCs w:val="18"/>
          <w:u w:val="single" w:color="auto"/>
          <w:color w:val="auto"/>
        </w:rPr>
        <w:t>www.anaptysbio.com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TESARO</w:t>
      </w:r>
    </w:p>
    <w:p>
      <w:pPr>
        <w:spacing w:after="0" w:line="121"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 xml:space="preserve">TESARO is an oncology-focused biopharmaceutical company dedicated to improving the lives of cancer patients by acquiring, developing and commercializing safer and more effective therapeutics. For more information, visit </w:t>
      </w:r>
      <w:r>
        <w:rPr>
          <w:rFonts w:ascii="Arial" w:cs="Arial" w:eastAsia="Arial" w:hAnsi="Arial"/>
          <w:sz w:val="18"/>
          <w:szCs w:val="18"/>
          <w:u w:val="single" w:color="auto"/>
          <w:color w:val="auto"/>
        </w:rPr>
        <w:t>www.tesarobio.com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TESARO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Jennifer Davis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Development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+1.781.325.1116 or </w:t>
      </w:r>
      <w:r>
        <w:rPr>
          <w:rFonts w:ascii="Arial" w:cs="Arial" w:eastAsia="Arial" w:hAnsi="Arial"/>
          <w:sz w:val="18"/>
          <w:szCs w:val="18"/>
          <w:u w:val="single" w:color="auto"/>
          <w:color w:val="auto"/>
        </w:rPr>
        <w:t>jdavis@tesarobio.com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AnaptysBio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Rathbun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+1.206.769.9219 or </w:t>
      </w:r>
      <w:r>
        <w:rPr>
          <w:rFonts w:ascii="Arial" w:cs="Arial" w:eastAsia="Arial" w:hAnsi="Arial"/>
          <w:sz w:val="18"/>
          <w:szCs w:val="18"/>
          <w:u w:val="single" w:color="auto"/>
          <w:color w:val="auto"/>
        </w:rPr>
        <w:t>julie@rathbuncomm.com</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To the extent that statements contained in this press release are not descriptions of historical facts regarding TESARO, they are forward-looking statements reflecting the current beliefs and expectations of management made pursuant to the safe harbor provisions of the Private Securities Litigation Reform Act of 1995. Words such as “may,” “will,” “expect,” “anticipate,” “estimate,” “intend,” and similar expressions (as well as other words or expressions referencing future events, conditions or circumstances) are intended to identify forward-looking statements. Examples of forward looking statements contained in this press release include, among others, statements regarding our expectations regarding the timing of both the selection of clinical candidates from the programs and the commencement of clinical testing, our development plans for any antibody therapeutic candidates individually and in combination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52" w:name="page253"/>
    <w:bookmarkEnd w:id="252"/>
    <w:p>
      <w:pPr>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products and product candidates, and our ability to form partnerships in the future in support of our overall oncology strategy. Forward-looking statements in this release involve substantial risks and uncertainties that could cause our research and pre-clinical development programs, clinical development programs, future results, performance or achievements to differ significantly from those expressed or implied by the forward-looking statements. Such risks and uncertainties include, among others. the uncertainties inherent in the research and development of therapeutic antibodies, including the selection, pre-clinical testing and manufacturing of antibodies, initiation of future clinical trials, availability of data from ongoing clinical trials, expectations for regulatory approvals, and other matters that could affect the availability or commercial potential of our drug candidates. TESARO undertakes no obligation to update or revise any forward-looking statements. For a further description of the risks and uncertainties that could cause actual results to differ from those expressed in these forward-looking statements, as well as risks relating to the business of the Company in general, see TESARO’s Annual Report on Form 10-K for the year ended December 31, 2013, and Quarterly Report on Form 10-Q for the quarter ended September 30, 2014.</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53" w:name="page254"/>
    <w:bookmarkEnd w:id="25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COLLABORATION AND EXCLUSIVE LICENSE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Amendment No. 2 to the Collaboration and Exclusive License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effective as of February 29, 2016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Amendment Date</w:t>
      </w:r>
      <w:r>
        <w:rPr>
          <w:rFonts w:ascii="Arial" w:cs="Arial" w:eastAsia="Arial" w:hAnsi="Arial"/>
          <w:sz w:val="16"/>
          <w:szCs w:val="16"/>
          <w:color w:val="auto"/>
        </w:rPr>
        <w:t xml:space="preserve">”), is entered into is made by and between (i) </w:t>
      </w:r>
      <w:r>
        <w:rPr>
          <w:rFonts w:ascii="Arial" w:cs="Arial" w:eastAsia="Arial" w:hAnsi="Arial"/>
          <w:sz w:val="16"/>
          <w:szCs w:val="16"/>
          <w:b w:val="1"/>
          <w:bCs w:val="1"/>
          <w:color w:val="auto"/>
        </w:rPr>
        <w:t>AnaptysBio, Inc</w:t>
      </w:r>
      <w:r>
        <w:rPr>
          <w:rFonts w:ascii="Arial" w:cs="Arial" w:eastAsia="Arial" w:hAnsi="Arial"/>
          <w:sz w:val="16"/>
          <w:szCs w:val="16"/>
          <w:color w:val="auto"/>
        </w:rPr>
        <w:t>., a Delaware corporation, having a place of business at 10421 Pacific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Center Court, Suite 200, San Diego, California 92121 (“</w:t>
      </w:r>
      <w:r>
        <w:rPr>
          <w:rFonts w:ascii="Arial" w:cs="Arial" w:eastAsia="Arial" w:hAnsi="Arial"/>
          <w:sz w:val="16"/>
          <w:szCs w:val="16"/>
          <w:b w:val="1"/>
          <w:bCs w:val="1"/>
          <w:color w:val="auto"/>
        </w:rPr>
        <w:t>AnaptysBio</w:t>
      </w:r>
      <w:r>
        <w:rPr>
          <w:rFonts w:ascii="Arial" w:cs="Arial" w:eastAsia="Arial" w:hAnsi="Arial"/>
          <w:sz w:val="16"/>
          <w:szCs w:val="16"/>
          <w:color w:val="auto"/>
        </w:rPr>
        <w:t xml:space="preserve">”), and (ii) </w:t>
      </w:r>
      <w:r>
        <w:rPr>
          <w:rFonts w:ascii="Arial" w:cs="Arial" w:eastAsia="Arial" w:hAnsi="Arial"/>
          <w:sz w:val="16"/>
          <w:szCs w:val="16"/>
          <w:b w:val="1"/>
          <w:bCs w:val="1"/>
          <w:color w:val="auto"/>
        </w:rPr>
        <w:t>TESARO, Inc</w:t>
      </w:r>
      <w:r>
        <w:rPr>
          <w:rFonts w:ascii="Arial" w:cs="Arial" w:eastAsia="Arial" w:hAnsi="Arial"/>
          <w:sz w:val="16"/>
          <w:szCs w:val="16"/>
          <w:color w:val="auto"/>
        </w:rPr>
        <w:t>., a Delaware corporation, having a place of business at 1000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Winter Street, Suite 3300, Waltham, Massachusetts 02541 (“</w:t>
      </w:r>
      <w:r>
        <w:rPr>
          <w:rFonts w:ascii="Arial" w:cs="Arial" w:eastAsia="Arial" w:hAnsi="Arial"/>
          <w:sz w:val="16"/>
          <w:szCs w:val="16"/>
          <w:b w:val="1"/>
          <w:bCs w:val="1"/>
          <w:color w:val="auto"/>
        </w:rPr>
        <w:t>TESARO US</w:t>
      </w:r>
      <w:r>
        <w:rPr>
          <w:rFonts w:ascii="Arial" w:cs="Arial" w:eastAsia="Arial" w:hAnsi="Arial"/>
          <w:sz w:val="16"/>
          <w:szCs w:val="16"/>
          <w:color w:val="auto"/>
        </w:rPr>
        <w:t xml:space="preserve">”) and </w:t>
      </w:r>
      <w:r>
        <w:rPr>
          <w:rFonts w:ascii="Arial" w:cs="Arial" w:eastAsia="Arial" w:hAnsi="Arial"/>
          <w:sz w:val="16"/>
          <w:szCs w:val="16"/>
          <w:b w:val="1"/>
          <w:bCs w:val="1"/>
          <w:color w:val="auto"/>
        </w:rPr>
        <w:t>TESARO Development, Ltd</w:t>
      </w:r>
      <w:r>
        <w:rPr>
          <w:rFonts w:ascii="Arial" w:cs="Arial" w:eastAsia="Arial" w:hAnsi="Arial"/>
          <w:sz w:val="16"/>
          <w:szCs w:val="16"/>
          <w:color w:val="auto"/>
        </w:rPr>
        <w:t>., a Bermuda corporation, having its principal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 at Clarendon House, 2 Church Street, Hamilton HM 11, Bermuda (together with TESARO US, “</w:t>
      </w:r>
      <w:r>
        <w:rPr>
          <w:rFonts w:ascii="Arial" w:cs="Arial" w:eastAsia="Arial" w:hAnsi="Arial"/>
          <w:sz w:val="18"/>
          <w:szCs w:val="18"/>
          <w:b w:val="1"/>
          <w:bCs w:val="1"/>
          <w:color w:val="auto"/>
        </w:rPr>
        <w:t>TESARO</w:t>
      </w:r>
      <w:r>
        <w:rPr>
          <w:rFonts w:ascii="Arial" w:cs="Arial" w:eastAsia="Arial" w:hAnsi="Arial"/>
          <w:sz w:val="18"/>
          <w:szCs w:val="18"/>
          <w:color w:val="auto"/>
        </w:rPr>
        <w:t>”).</w:t>
      </w:r>
    </w:p>
    <w:p>
      <w:pPr>
        <w:spacing w:after="0" w:line="21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WHEREAS, the parties previously entered into that certain Collaboration and Exclusive License Agreement dated as of March 10, 2014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amend the Agreement in certain respects on the terms and conditions set forth herein.</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NOW THEREFORE, capitalized terms not defined in this Amendment shall have the meaning ascribed in the Agreement, and the parties hereby agree as follows: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2.7 of the Agreement is hereby amended and replaced in its entirety as follows: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b w:val="1"/>
          <w:bCs w:val="1"/>
          <w:color w:val="auto"/>
        </w:rPr>
        <w:t>Term of Discovery Program</w:t>
      </w:r>
      <w:r>
        <w:rPr>
          <w:rFonts w:ascii="Arial" w:cs="Arial" w:eastAsia="Arial" w:hAnsi="Arial"/>
          <w:sz w:val="17"/>
          <w:szCs w:val="17"/>
          <w:color w:val="auto"/>
        </w:rPr>
        <w:t>. Each Discovery Program Term shall commence on the Effective Date and shall end upon the earlier of</w:t>
      </w:r>
    </w:p>
    <w:p>
      <w:pPr>
        <w:spacing w:after="0" w:line="39" w:lineRule="exact"/>
        <w:rPr>
          <w:sz w:val="20"/>
          <w:szCs w:val="20"/>
          <w:color w:val="auto"/>
        </w:rPr>
      </w:pPr>
    </w:p>
    <w:p>
      <w:pPr>
        <w:ind w:firstLine="8"/>
        <w:spacing w:after="0" w:line="290" w:lineRule="auto"/>
        <w:tabs>
          <w:tab w:leader="none" w:pos="21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December 31st 2016, or such other date as the Parties may agree through the JSC, (ii) a decision by TESARO to discontinue funding of all activities under such Discovery Program, or (iii) a mutual decision by TESARO and AnaptysBio to cease activities with respect to that Discovery Program.</w:t>
      </w:r>
    </w:p>
    <w:p>
      <w:pPr>
        <w:spacing w:after="0" w:line="16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Amendment shall be effective for all purposes as of the Amendment Date. Except as expressly modified herein, the Agreement shall continue to remain in full force and effect in accordance with its terms. This Amendment may be executed in counterparts, each of which shall be deemed to be an original and together shall be deemed to be one and the same document.</w:t>
      </w:r>
    </w:p>
    <w:p>
      <w:pPr>
        <w:sectPr>
          <w:pgSz w:w="11900" w:h="16838" w:orient="portrait"/>
          <w:cols w:equalWidth="0" w:num="1">
            <w:col w:w="11360"/>
          </w:cols>
          <w:pgMar w:left="240" w:top="270" w:right="299" w:bottom="1440" w:gutter="0" w:footer="0" w:header="0"/>
        </w:sectPr>
      </w:pPr>
    </w:p>
    <w:bookmarkStart w:id="254" w:name="page255"/>
    <w:bookmarkEnd w:id="254"/>
    <w:p>
      <w:pPr>
        <w:ind w:right="2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Amendment to be executed by their respective duly authorized representatives effective as of the Amendment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ANAPTYSBIO,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Mary Lynne Hedley</w:t>
            </w:r>
          </w:p>
        </w:tc>
        <w:tc>
          <w:tcPr>
            <w:tcW w:w="116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Mary Lynne Hedley</w:t>
            </w:r>
          </w:p>
        </w:tc>
        <w:tc>
          <w:tcPr>
            <w:tcW w:w="1160" w:type="dxa"/>
            <w:vAlign w:val="bottom"/>
          </w:tcPr>
          <w:p>
            <w:pPr>
              <w:ind w:left="660"/>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President &amp; Chief Operating Officer</w:t>
            </w:r>
          </w:p>
        </w:tc>
        <w:tc>
          <w:tcPr>
            <w:tcW w:w="116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President &amp; CEO</w:t>
            </w:r>
          </w:p>
        </w:tc>
      </w:tr>
      <w:tr>
        <w:trPr>
          <w:trHeight w:val="520"/>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TESARO DEVELOPMENT, LTD.</w:t>
            </w:r>
          </w:p>
        </w:tc>
        <w:tc>
          <w:tcPr>
            <w:tcW w:w="11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Joseph Farmer</w:t>
            </w:r>
          </w:p>
        </w:tc>
        <w:tc>
          <w:tcPr>
            <w:tcW w:w="11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Joseph Farmer</w:t>
            </w:r>
          </w:p>
        </w:tc>
        <w:tc>
          <w:tcPr>
            <w:tcW w:w="11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Director / Vice President</w:t>
            </w:r>
          </w:p>
        </w:tc>
        <w:tc>
          <w:tcPr>
            <w:tcW w:w="116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use of our report, dated February 12, 2016, included herein and to the reference to our firm under the heading “Experts” in the prospectus.</w:t>
      </w:r>
    </w:p>
    <w:p>
      <w:pPr>
        <w:spacing w:after="0" w:line="2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10,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1)"/>
      <w:numFmt w:val="decimal"/>
      <w:start w:val="1"/>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
      <w:numFmt w:val="bullet"/>
      <w:start w:val="1"/>
    </w:lvl>
  </w:abstractNum>
  <w:abstractNum w:abstractNumId="5">
    <w:nsid w:val="7F01579B"/>
    <w:multiLevelType w:val="hybridMultilevel"/>
    <w:lvl w:ilvl="0">
      <w:lvlJc w:val="left"/>
      <w:lvlText w:val="•"/>
      <w:numFmt w:val="bullet"/>
      <w:start w:val="1"/>
    </w:lvl>
  </w:abstractNum>
  <w:abstractNum w:abstractNumId="6">
    <w:nsid w:val="49DA307D"/>
    <w:multiLevelType w:val="hybridMultilevel"/>
    <w:lvl w:ilvl="0">
      <w:lvlJc w:val="left"/>
      <w:lvlText w:val="•"/>
      <w:numFmt w:val="bullet"/>
      <w:start w:val="1"/>
    </w:lvl>
  </w:abstractNum>
  <w:abstractNum w:abstractNumId="7">
    <w:nsid w:val="7055A5F5"/>
    <w:multiLevelType w:val="hybridMultilevel"/>
    <w:lvl w:ilvl="0">
      <w:lvlJc w:val="left"/>
      <w:lvlText w:val="•"/>
      <w:numFmt w:val="bullet"/>
      <w:start w:val="1"/>
    </w:lvl>
  </w:abstractNum>
  <w:abstractNum w:abstractNumId="8">
    <w:nsid w:val="5FB8370B"/>
    <w:multiLevelType w:val="hybridMultilevel"/>
    <w:lvl w:ilvl="0">
      <w:lvlJc w:val="left"/>
      <w:lvlText w:val="•"/>
      <w:numFmt w:val="bullet"/>
      <w:start w:val="1"/>
    </w:lvl>
  </w:abstractNum>
  <w:abstractNum w:abstractNumId="9">
    <w:nsid w:val="50801EE1"/>
    <w:multiLevelType w:val="hybridMultilevel"/>
    <w:lvl w:ilvl="0">
      <w:lvlJc w:val="left"/>
      <w:lvlText w:val="•"/>
      <w:numFmt w:val="bullet"/>
      <w:start w:val="1"/>
    </w:lvl>
  </w:abstractNum>
  <w:abstractNum w:abstractNumId="10">
    <w:nsid w:val="488AC1A"/>
    <w:multiLevelType w:val="hybridMultilevel"/>
    <w:lvl w:ilvl="0">
      <w:lvlJc w:val="left"/>
      <w:lvlText w:val="•"/>
      <w:numFmt w:val="bullet"/>
      <w:start w:val="1"/>
    </w:lvl>
  </w:abstractNum>
  <w:abstractNum w:abstractNumId="11">
    <w:nsid w:val="5FB8011C"/>
    <w:multiLevelType w:val="hybridMultilevel"/>
    <w:lvl w:ilvl="0">
      <w:lvlJc w:val="left"/>
      <w:lvlText w:val="•"/>
      <w:numFmt w:val="bullet"/>
      <w:start w:val="1"/>
    </w:lvl>
  </w:abstractNum>
  <w:abstractNum w:abstractNumId="12">
    <w:nsid w:val="6AA78F7F"/>
    <w:multiLevelType w:val="hybridMultilevel"/>
    <w:lvl w:ilvl="0">
      <w:lvlJc w:val="left"/>
      <w:lvlText w:val="•"/>
      <w:numFmt w:val="bullet"/>
      <w:start w:val="1"/>
    </w:lvl>
  </w:abstractNum>
  <w:abstractNum w:abstractNumId="13">
    <w:nsid w:val="7672BD23"/>
    <w:multiLevelType w:val="hybridMultilevel"/>
    <w:lvl w:ilvl="0">
      <w:lvlJc w:val="left"/>
      <w:lvlText w:val="•"/>
      <w:numFmt w:val="bullet"/>
      <w:start w:val="1"/>
    </w:lvl>
  </w:abstractNum>
  <w:abstractNum w:abstractNumId="14">
    <w:nsid w:val="6FC75AF8"/>
    <w:multiLevelType w:val="hybridMultilevel"/>
    <w:lvl w:ilvl="0">
      <w:lvlJc w:val="left"/>
      <w:lvlText w:val="•"/>
      <w:numFmt w:val="bullet"/>
      <w:start w:val="1"/>
    </w:lvl>
  </w:abstractNum>
  <w:abstractNum w:abstractNumId="15">
    <w:nsid w:val="6A5F7029"/>
    <w:multiLevelType w:val="hybridMultilevel"/>
    <w:lvl w:ilvl="0">
      <w:lvlJc w:val="left"/>
      <w:lvlText w:val="•"/>
      <w:numFmt w:val="bullet"/>
      <w:start w:val="1"/>
    </w:lvl>
  </w:abstractNum>
  <w:abstractNum w:abstractNumId="16">
    <w:nsid w:val="7D5E18F8"/>
    <w:multiLevelType w:val="hybridMultilevel"/>
    <w:lvl w:ilvl="0">
      <w:lvlJc w:val="left"/>
      <w:lvlText w:val="(%1)"/>
      <w:numFmt w:val="decimal"/>
      <w:start w:val="1"/>
    </w:lvl>
  </w:abstractNum>
  <w:abstractNum w:abstractNumId="17">
    <w:nsid w:val="5F3534A4"/>
    <w:multiLevelType w:val="hybridMultilevel"/>
    <w:lvl w:ilvl="0">
      <w:lvlJc w:val="left"/>
      <w:lvlText w:val="(%1)"/>
      <w:numFmt w:val="decimal"/>
      <w:start w:val="1"/>
    </w:lvl>
  </w:abstractNum>
  <w:abstractNum w:abstractNumId="18">
    <w:nsid w:val="73A1821B"/>
    <w:multiLevelType w:val="hybridMultilevel"/>
    <w:lvl w:ilvl="0">
      <w:lvlJc w:val="left"/>
      <w:lvlText w:val="•"/>
      <w:numFmt w:val="bullet"/>
      <w:start w:val="1"/>
    </w:lvl>
  </w:abstractNum>
  <w:abstractNum w:abstractNumId="19">
    <w:nsid w:val="7DE67713"/>
    <w:multiLevelType w:val="hybridMultilevel"/>
    <w:lvl w:ilvl="0">
      <w:lvlJc w:val="left"/>
      <w:lvlText w:val="•"/>
      <w:numFmt w:val="bullet"/>
      <w:start w:val="1"/>
    </w:lvl>
  </w:abstractNum>
  <w:abstractNum w:abstractNumId="20">
    <w:nsid w:val="555C55B5"/>
    <w:multiLevelType w:val="hybridMultilevel"/>
    <w:lvl w:ilvl="0">
      <w:lvlJc w:val="left"/>
      <w:lvlText w:val="•"/>
      <w:numFmt w:val="bullet"/>
      <w:start w:val="1"/>
    </w:lvl>
  </w:abstractNum>
  <w:abstractNum w:abstractNumId="21">
    <w:nsid w:val="3FA62ACA"/>
    <w:multiLevelType w:val="hybridMultilevel"/>
    <w:lvl w:ilvl="0">
      <w:lvlJc w:val="left"/>
      <w:lvlText w:val="•"/>
      <w:numFmt w:val="bullet"/>
      <w:start w:val="1"/>
    </w:lvl>
  </w:abstractNum>
  <w:abstractNum w:abstractNumId="22">
    <w:nsid w:val="14FCE74E"/>
    <w:multiLevelType w:val="hybridMultilevel"/>
    <w:lvl w:ilvl="0">
      <w:lvlJc w:val="left"/>
      <w:lvlText w:val="•"/>
      <w:numFmt w:val="bullet"/>
      <w:start w:val="1"/>
    </w:lvl>
  </w:abstractNum>
  <w:abstractNum w:abstractNumId="23">
    <w:nsid w:val="6A3DD3E8"/>
    <w:multiLevelType w:val="hybridMultilevel"/>
    <w:lvl w:ilvl="0">
      <w:lvlJc w:val="left"/>
      <w:lvlText w:val="•"/>
      <w:numFmt w:val="bullet"/>
      <w:start w:val="1"/>
    </w:lvl>
  </w:abstractNum>
  <w:abstractNum w:abstractNumId="24">
    <w:nsid w:val="71C91298"/>
    <w:multiLevelType w:val="hybridMultilevel"/>
    <w:lvl w:ilvl="0">
      <w:lvlJc w:val="left"/>
      <w:lvlText w:val="•"/>
      <w:numFmt w:val="bullet"/>
      <w:start w:val="1"/>
    </w:lvl>
  </w:abstractNum>
  <w:abstractNum w:abstractNumId="25">
    <w:nsid w:val="9DAF632"/>
    <w:multiLevelType w:val="hybridMultilevel"/>
    <w:lvl w:ilvl="0">
      <w:lvlJc w:val="left"/>
      <w:lvlText w:val="•"/>
      <w:numFmt w:val="bullet"/>
      <w:start w:val="1"/>
    </w:lvl>
  </w:abstractNum>
  <w:abstractNum w:abstractNumId="26">
    <w:nsid w:val="53299938"/>
    <w:multiLevelType w:val="hybridMultilevel"/>
    <w:lvl w:ilvl="0">
      <w:lvlJc w:val="left"/>
      <w:lvlText w:val="•"/>
      <w:numFmt w:val="bullet"/>
      <w:start w:val="1"/>
    </w:lvl>
  </w:abstractNum>
  <w:abstractNum w:abstractNumId="27">
    <w:nsid w:val="1FBFE8E0"/>
    <w:multiLevelType w:val="hybridMultilevel"/>
    <w:lvl w:ilvl="0">
      <w:lvlJc w:val="left"/>
      <w:lvlText w:val="•"/>
      <w:numFmt w:val="bullet"/>
      <w:start w:val="1"/>
    </w:lvl>
  </w:abstractNum>
  <w:abstractNum w:abstractNumId="28">
    <w:nsid w:val="5092CA79"/>
    <w:multiLevelType w:val="hybridMultilevel"/>
    <w:lvl w:ilvl="0">
      <w:lvlJc w:val="left"/>
      <w:lvlText w:val="•"/>
      <w:numFmt w:val="bullet"/>
      <w:start w:val="1"/>
    </w:lvl>
  </w:abstractNum>
  <w:abstractNum w:abstractNumId="29">
    <w:nsid w:val="1D545C4D"/>
    <w:multiLevelType w:val="hybridMultilevel"/>
    <w:lvl w:ilvl="0">
      <w:lvlJc w:val="left"/>
      <w:lvlText w:val="•"/>
      <w:numFmt w:val="bullet"/>
      <w:start w:val="1"/>
    </w:lvl>
  </w:abstractNum>
  <w:abstractNum w:abstractNumId="30">
    <w:nsid w:val="59ADEA3D"/>
    <w:multiLevelType w:val="hybridMultilevel"/>
    <w:lvl w:ilvl="0">
      <w:lvlJc w:val="left"/>
      <w:lvlText w:val="•"/>
      <w:numFmt w:val="bullet"/>
      <w:start w:val="1"/>
    </w:lvl>
  </w:abstractNum>
  <w:abstractNum w:abstractNumId="31">
    <w:nsid w:val="288F1A34"/>
    <w:multiLevelType w:val="hybridMultilevel"/>
    <w:lvl w:ilvl="0">
      <w:lvlJc w:val="left"/>
      <w:lvlText w:val="•"/>
      <w:numFmt w:val="bullet"/>
      <w:start w:val="1"/>
    </w:lvl>
  </w:abstractNum>
  <w:abstractNum w:abstractNumId="32">
    <w:nsid w:val="2A155DBC"/>
    <w:multiLevelType w:val="hybridMultilevel"/>
    <w:lvl w:ilvl="0">
      <w:lvlJc w:val="left"/>
      <w:lvlText w:val="•"/>
      <w:numFmt w:val="bullet"/>
      <w:start w:val="1"/>
    </w:lvl>
  </w:abstractNum>
  <w:abstractNum w:abstractNumId="33">
    <w:nsid w:val="1D9F6E5F"/>
    <w:multiLevelType w:val="hybridMultilevel"/>
    <w:lvl w:ilvl="0">
      <w:lvlJc w:val="left"/>
      <w:lvlText w:val="•"/>
      <w:numFmt w:val="bullet"/>
      <w:start w:val="1"/>
    </w:lvl>
  </w:abstractNum>
  <w:abstractNum w:abstractNumId="34">
    <w:nsid w:val="97E1B4E"/>
    <w:multiLevelType w:val="hybridMultilevel"/>
    <w:lvl w:ilvl="0">
      <w:lvlJc w:val="left"/>
      <w:lvlText w:val="•"/>
      <w:numFmt w:val="bullet"/>
      <w:start w:val="1"/>
    </w:lvl>
  </w:abstractNum>
  <w:abstractNum w:abstractNumId="35">
    <w:nsid w:val="51088277"/>
    <w:multiLevelType w:val="hybridMultilevel"/>
    <w:lvl w:ilvl="0">
      <w:lvlJc w:val="left"/>
      <w:lvlText w:val="•"/>
      <w:numFmt w:val="bullet"/>
      <w:start w:val="1"/>
    </w:lvl>
  </w:abstractNum>
  <w:abstractNum w:abstractNumId="36">
    <w:nsid w:val="1CA0C5FA"/>
    <w:multiLevelType w:val="hybridMultilevel"/>
    <w:lvl w:ilvl="0">
      <w:lvlJc w:val="left"/>
      <w:lvlText w:val="•"/>
      <w:numFmt w:val="bullet"/>
      <w:start w:val="1"/>
    </w:lvl>
  </w:abstractNum>
  <w:abstractNum w:abstractNumId="37">
    <w:nsid w:val="53584BCB"/>
    <w:multiLevelType w:val="hybridMultilevel"/>
    <w:lvl w:ilvl="0">
      <w:lvlJc w:val="left"/>
      <w:lvlText w:val="•"/>
      <w:numFmt w:val="bullet"/>
      <w:start w:val="1"/>
    </w:lvl>
  </w:abstractNum>
  <w:abstractNum w:abstractNumId="38">
    <w:nsid w:val="415E286C"/>
    <w:multiLevelType w:val="hybridMultilevel"/>
    <w:lvl w:ilvl="0">
      <w:lvlJc w:val="left"/>
      <w:lvlText w:val="$"/>
      <w:numFmt w:val="bullet"/>
      <w:start w:val="1"/>
    </w:lvl>
  </w:abstractNum>
  <w:abstractNum w:abstractNumId="39">
    <w:nsid w:val="7C58FD05"/>
    <w:multiLevelType w:val="hybridMultilevel"/>
    <w:lvl w:ilvl="0">
      <w:lvlJc w:val="left"/>
      <w:lvlText w:val="•"/>
      <w:numFmt w:val="bullet"/>
      <w:start w:val="1"/>
    </w:lvl>
  </w:abstractNum>
  <w:abstractNum w:abstractNumId="40">
    <w:nsid w:val="23D86AAC"/>
    <w:multiLevelType w:val="hybridMultilevel"/>
    <w:lvl w:ilvl="0">
      <w:lvlJc w:val="left"/>
      <w:lvlText w:val="•"/>
      <w:numFmt w:val="bullet"/>
      <w:start w:val="1"/>
    </w:lvl>
  </w:abstractNum>
  <w:abstractNum w:abstractNumId="41">
    <w:nsid w:val="45E6D486"/>
    <w:multiLevelType w:val="hybridMultilevel"/>
    <w:lvl w:ilvl="0">
      <w:lvlJc w:val="left"/>
      <w:lvlText w:val="$"/>
      <w:numFmt w:val="bullet"/>
      <w:start w:val="1"/>
    </w:lvl>
  </w:abstractNum>
  <w:abstractNum w:abstractNumId="42">
    <w:nsid w:val="5C10FE21"/>
    <w:multiLevelType w:val="hybridMultilevel"/>
    <w:lvl w:ilvl="0">
      <w:lvlJc w:val="left"/>
      <w:lvlText w:val="$"/>
      <w:numFmt w:val="bullet"/>
      <w:start w:val="1"/>
    </w:lvl>
  </w:abstractNum>
  <w:abstractNum w:abstractNumId="43">
    <w:nsid w:val="E7FFA2B"/>
    <w:multiLevelType w:val="hybridMultilevel"/>
    <w:lvl w:ilvl="0">
      <w:lvlJc w:val="left"/>
      <w:lvlText w:val="•"/>
      <w:numFmt w:val="bullet"/>
      <w:start w:val="1"/>
    </w:lvl>
  </w:abstractNum>
  <w:abstractNum w:abstractNumId="44">
    <w:nsid w:val="3C5991AA"/>
    <w:multiLevelType w:val="hybridMultilevel"/>
    <w:lvl w:ilvl="0">
      <w:lvlJc w:val="left"/>
      <w:lvlText w:val="•"/>
      <w:numFmt w:val="bullet"/>
      <w:start w:val="1"/>
    </w:lvl>
  </w:abstractNum>
  <w:abstractNum w:abstractNumId="45">
    <w:nsid w:val="4BD8591A"/>
    <w:multiLevelType w:val="hybridMultilevel"/>
    <w:lvl w:ilvl="0">
      <w:lvlJc w:val="left"/>
      <w:lvlText w:val="•"/>
      <w:numFmt w:val="bullet"/>
      <w:start w:val="1"/>
    </w:lvl>
  </w:abstractNum>
  <w:abstractNum w:abstractNumId="46">
    <w:nsid w:val="78DF6A55"/>
    <w:multiLevelType w:val="hybridMultilevel"/>
    <w:lvl w:ilvl="0">
      <w:lvlJc w:val="left"/>
      <w:lvlText w:val="•"/>
      <w:numFmt w:val="bullet"/>
      <w:start w:val="1"/>
    </w:lvl>
  </w:abstractNum>
  <w:abstractNum w:abstractNumId="47">
    <w:nsid w:val="39B7AAA2"/>
    <w:multiLevelType w:val="hybridMultilevel"/>
    <w:lvl w:ilvl="0">
      <w:lvlJc w:val="left"/>
      <w:lvlText w:val="$"/>
      <w:numFmt w:val="bullet"/>
      <w:start w:val="1"/>
    </w:lvl>
  </w:abstractNum>
  <w:abstractNum w:abstractNumId="48">
    <w:nsid w:val="2B0D8DBE"/>
    <w:multiLevelType w:val="hybridMultilevel"/>
    <w:lvl w:ilvl="0">
      <w:lvlJc w:val="left"/>
      <w:lvlText w:val="$"/>
      <w:numFmt w:val="bullet"/>
      <w:start w:val="1"/>
    </w:lvl>
  </w:abstractNum>
  <w:abstractNum w:abstractNumId="49">
    <w:nsid w:val="6C80EC70"/>
    <w:multiLevelType w:val="hybridMultilevel"/>
    <w:lvl w:ilvl="0">
      <w:lvlJc w:val="left"/>
      <w:lvlText w:val="•"/>
      <w:numFmt w:val="bullet"/>
      <w:start w:val="1"/>
    </w:lvl>
  </w:abstractNum>
  <w:abstractNum w:abstractNumId="50">
    <w:nsid w:val="379E21B5"/>
    <w:multiLevelType w:val="hybridMultilevel"/>
    <w:lvl w:ilvl="0">
      <w:lvlJc w:val="left"/>
      <w:lvlText w:val="•"/>
      <w:numFmt w:val="bullet"/>
      <w:start w:val="1"/>
    </w:lvl>
  </w:abstractNum>
  <w:abstractNum w:abstractNumId="51">
    <w:nsid w:val="69E373"/>
    <w:multiLevelType w:val="hybridMultilevel"/>
    <w:lvl w:ilvl="0">
      <w:lvlJc w:val="left"/>
      <w:lvlText w:val="(%1)"/>
      <w:numFmt w:val="decimal"/>
      <w:start w:val="1"/>
    </w:lvl>
  </w:abstractNum>
  <w:abstractNum w:abstractNumId="52">
    <w:nsid w:val="2C27173B"/>
    <w:multiLevelType w:val="hybridMultilevel"/>
    <w:lvl w:ilvl="0">
      <w:lvlJc w:val="left"/>
      <w:lvlText w:val="•"/>
      <w:numFmt w:val="bullet"/>
      <w:start w:val="1"/>
    </w:lvl>
  </w:abstractNum>
  <w:abstractNum w:abstractNumId="53">
    <w:nsid w:val="4C9B0904"/>
    <w:multiLevelType w:val="hybridMultilevel"/>
    <w:lvl w:ilvl="0">
      <w:lvlJc w:val="left"/>
      <w:lvlText w:val="•"/>
      <w:numFmt w:val="bullet"/>
      <w:start w:val="1"/>
    </w:lvl>
  </w:abstractNum>
  <w:abstractNum w:abstractNumId="54">
    <w:nsid w:val="6AA7B75C"/>
    <w:multiLevelType w:val="hybridMultilevel"/>
    <w:lvl w:ilvl="0">
      <w:lvlJc w:val="left"/>
      <w:lvlText w:val="•"/>
      <w:numFmt w:val="bullet"/>
      <w:start w:val="1"/>
    </w:lvl>
  </w:abstractNum>
  <w:abstractNum w:abstractNumId="55">
    <w:nsid w:val="1DF029D3"/>
    <w:multiLevelType w:val="hybridMultilevel"/>
    <w:lvl w:ilvl="0">
      <w:lvlJc w:val="left"/>
      <w:lvlText w:val="•"/>
      <w:numFmt w:val="bullet"/>
      <w:start w:val="1"/>
    </w:lvl>
  </w:abstractNum>
  <w:abstractNum w:abstractNumId="56">
    <w:nsid w:val="5675FF36"/>
    <w:multiLevelType w:val="hybridMultilevel"/>
    <w:lvl w:ilvl="0">
      <w:lvlJc w:val="left"/>
      <w:lvlText w:val="•"/>
      <w:numFmt w:val="bullet"/>
      <w:start w:val="1"/>
    </w:lvl>
  </w:abstractNum>
  <w:abstractNum w:abstractNumId="57">
    <w:nsid w:val="3DD15094"/>
    <w:multiLevelType w:val="hybridMultilevel"/>
    <w:lvl w:ilvl="0">
      <w:lvlJc w:val="left"/>
      <w:lvlText w:val="•"/>
      <w:numFmt w:val="bullet"/>
      <w:start w:val="1"/>
    </w:lvl>
  </w:abstractNum>
  <w:abstractNum w:abstractNumId="58">
    <w:nsid w:val="3DB012B3"/>
    <w:multiLevelType w:val="hybridMultilevel"/>
    <w:lvl w:ilvl="0">
      <w:lvlJc w:val="left"/>
      <w:lvlText w:val="•"/>
      <w:numFmt w:val="bullet"/>
      <w:start w:val="1"/>
    </w:lvl>
  </w:abstractNum>
  <w:abstractNum w:abstractNumId="59">
    <w:nsid w:val="2708C9AF"/>
    <w:multiLevelType w:val="hybridMultilevel"/>
    <w:lvl w:ilvl="0">
      <w:lvlJc w:val="left"/>
      <w:lvlText w:val="•"/>
      <w:numFmt w:val="bullet"/>
      <w:start w:val="1"/>
    </w:lvl>
  </w:abstractNum>
  <w:abstractNum w:abstractNumId="60">
    <w:nsid w:val="5B25ACE2"/>
    <w:multiLevelType w:val="hybridMultilevel"/>
    <w:lvl w:ilvl="0">
      <w:lvlJc w:val="left"/>
      <w:lvlText w:val="•"/>
      <w:numFmt w:val="bullet"/>
      <w:start w:val="1"/>
    </w:lvl>
  </w:abstractNum>
  <w:abstractNum w:abstractNumId="61">
    <w:nsid w:val="175DFCF0"/>
    <w:multiLevelType w:val="hybridMultilevel"/>
    <w:lvl w:ilvl="0">
      <w:lvlJc w:val="left"/>
      <w:lvlText w:val="(%1)"/>
      <w:numFmt w:val="decimal"/>
      <w:start w:val="1"/>
    </w:lvl>
  </w:abstractNum>
  <w:abstractNum w:abstractNumId="62">
    <w:nsid w:val="4F97E3E4"/>
    <w:multiLevelType w:val="hybridMultilevel"/>
    <w:lvl w:ilvl="0">
      <w:lvlJc w:val="left"/>
      <w:lvlText w:val="(%1)"/>
      <w:numFmt w:val="decimal"/>
      <w:start w:val="2"/>
    </w:lvl>
  </w:abstractNum>
  <w:abstractNum w:abstractNumId="63">
    <w:nsid w:val="53B0A9E"/>
    <w:multiLevelType w:val="hybridMultilevel"/>
    <w:lvl w:ilvl="0">
      <w:lvlJc w:val="left"/>
      <w:lvlText w:val="*"/>
      <w:numFmt w:val="bullet"/>
      <w:start w:val="1"/>
    </w:lvl>
  </w:abstractNum>
  <w:abstractNum w:abstractNumId="64">
    <w:nsid w:val="34FD6B4F"/>
    <w:multiLevelType w:val="hybridMultilevel"/>
    <w:lvl w:ilvl="0">
      <w:lvlJc w:val="left"/>
      <w:lvlText w:val="•"/>
      <w:numFmt w:val="bullet"/>
      <w:start w:val="1"/>
    </w:lvl>
  </w:abstractNum>
  <w:abstractNum w:abstractNumId="65">
    <w:nsid w:val="5915FF32"/>
    <w:multiLevelType w:val="hybridMultilevel"/>
    <w:lvl w:ilvl="0">
      <w:lvlJc w:val="left"/>
      <w:lvlText w:val="•"/>
      <w:numFmt w:val="bullet"/>
      <w:start w:val="1"/>
    </w:lvl>
  </w:abstractNum>
  <w:abstractNum w:abstractNumId="66">
    <w:nsid w:val="56438D15"/>
    <w:multiLevelType w:val="hybridMultilevel"/>
    <w:lvl w:ilvl="0">
      <w:lvlJc w:val="left"/>
      <w:lvlText w:val="•"/>
      <w:numFmt w:val="bullet"/>
      <w:start w:val="1"/>
    </w:lvl>
  </w:abstractNum>
  <w:abstractNum w:abstractNumId="67">
    <w:nsid w:val="519E3149"/>
    <w:multiLevelType w:val="hybridMultilevel"/>
    <w:lvl w:ilvl="0">
      <w:lvlJc w:val="left"/>
      <w:lvlText w:val="•"/>
      <w:numFmt w:val="bullet"/>
      <w:start w:val="1"/>
    </w:lvl>
  </w:abstractNum>
  <w:abstractNum w:abstractNumId="68">
    <w:nsid w:val="2C6E4AFD"/>
    <w:multiLevelType w:val="hybridMultilevel"/>
    <w:lvl w:ilvl="0">
      <w:lvlJc w:val="left"/>
      <w:lvlText w:val="•"/>
      <w:numFmt w:val="bullet"/>
      <w:start w:val="1"/>
    </w:lvl>
  </w:abstractNum>
  <w:abstractNum w:abstractNumId="69">
    <w:nsid w:val="17A1B582"/>
    <w:multiLevelType w:val="hybridMultilevel"/>
    <w:lvl w:ilvl="0">
      <w:lvlJc w:val="left"/>
      <w:lvlText w:val="•"/>
      <w:numFmt w:val="bullet"/>
      <w:start w:val="1"/>
    </w:lvl>
  </w:abstractNum>
  <w:abstractNum w:abstractNumId="70">
    <w:nsid w:val="4DF72E4E"/>
    <w:multiLevelType w:val="hybridMultilevel"/>
    <w:lvl w:ilvl="0">
      <w:lvlJc w:val="left"/>
      <w:lvlText w:val="•"/>
      <w:numFmt w:val="bullet"/>
      <w:start w:val="1"/>
    </w:lvl>
  </w:abstractNum>
  <w:abstractNum w:abstractNumId="71">
    <w:nsid w:val="5046B5A9"/>
    <w:multiLevelType w:val="hybridMultilevel"/>
    <w:lvl w:ilvl="0">
      <w:lvlJc w:val="left"/>
      <w:lvlText w:val="•"/>
      <w:numFmt w:val="bullet"/>
      <w:start w:val="1"/>
    </w:lvl>
  </w:abstractNum>
  <w:abstractNum w:abstractNumId="72">
    <w:nsid w:val="5D888A08"/>
    <w:multiLevelType w:val="hybridMultilevel"/>
    <w:lvl w:ilvl="0">
      <w:lvlJc w:val="left"/>
      <w:lvlText w:val="•"/>
      <w:numFmt w:val="bullet"/>
      <w:start w:val="1"/>
    </w:lvl>
  </w:abstractNum>
  <w:abstractNum w:abstractNumId="73">
    <w:nsid w:val="2A082C70"/>
    <w:multiLevelType w:val="hybridMultilevel"/>
    <w:lvl w:ilvl="0">
      <w:lvlJc w:val="left"/>
      <w:lvlText w:val="•"/>
      <w:numFmt w:val="bullet"/>
      <w:start w:val="1"/>
    </w:lvl>
  </w:abstractNum>
  <w:abstractNum w:abstractNumId="74">
    <w:nsid w:val="5EC6AFD4"/>
    <w:multiLevelType w:val="hybridMultilevel"/>
    <w:lvl w:ilvl="0">
      <w:lvlJc w:val="left"/>
      <w:lvlText w:val="(%1)"/>
      <w:numFmt w:val="lowerRoman"/>
      <w:start w:val="2"/>
    </w:lvl>
  </w:abstractNum>
  <w:abstractNum w:abstractNumId="75">
    <w:nsid w:val="19E21BB2"/>
    <w:multiLevelType w:val="hybridMultilevel"/>
    <w:lvl w:ilvl="0">
      <w:lvlJc w:val="left"/>
      <w:lvlText w:val="•"/>
      <w:numFmt w:val="bullet"/>
      <w:start w:val="1"/>
    </w:lvl>
  </w:abstractNum>
  <w:abstractNum w:abstractNumId="76">
    <w:nsid w:val="75E0858A"/>
    <w:multiLevelType w:val="hybridMultilevel"/>
    <w:lvl w:ilvl="0">
      <w:lvlJc w:val="left"/>
      <w:lvlText w:val="•"/>
      <w:numFmt w:val="bullet"/>
      <w:start w:val="1"/>
    </w:lvl>
  </w:abstractNum>
  <w:abstractNum w:abstractNumId="77">
    <w:nsid w:val="57A61A29"/>
    <w:multiLevelType w:val="hybridMultilevel"/>
    <w:lvl w:ilvl="0">
      <w:lvlJc w:val="left"/>
      <w:lvlText w:val="•"/>
      <w:numFmt w:val="bullet"/>
      <w:start w:val="1"/>
    </w:lvl>
  </w:abstractNum>
  <w:abstractNum w:abstractNumId="78">
    <w:nsid w:val="5399C654"/>
    <w:multiLevelType w:val="hybridMultilevel"/>
    <w:lvl w:ilvl="0">
      <w:lvlJc w:val="left"/>
      <w:lvlText w:val="•"/>
      <w:numFmt w:val="bullet"/>
      <w:start w:val="1"/>
    </w:lvl>
  </w:abstractNum>
  <w:abstractNum w:abstractNumId="79">
    <w:nsid w:val="20EE1348"/>
    <w:multiLevelType w:val="hybridMultilevel"/>
    <w:lvl w:ilvl="0">
      <w:lvlJc w:val="left"/>
      <w:lvlText w:val="•"/>
      <w:numFmt w:val="bullet"/>
      <w:start w:val="1"/>
    </w:lvl>
  </w:abstractNum>
  <w:abstractNum w:abstractNumId="80">
    <w:nsid w:val="4427069A"/>
    <w:multiLevelType w:val="hybridMultilevel"/>
    <w:lvl w:ilvl="0">
      <w:lvlJc w:val="left"/>
      <w:lvlText w:val="•"/>
      <w:numFmt w:val="bullet"/>
      <w:start w:val="1"/>
    </w:lvl>
  </w:abstractNum>
  <w:abstractNum w:abstractNumId="81">
    <w:nsid w:val="B37E80A"/>
    <w:multiLevelType w:val="hybridMultilevel"/>
    <w:lvl w:ilvl="0">
      <w:lvlJc w:val="left"/>
      <w:lvlText w:val="•"/>
      <w:numFmt w:val="bullet"/>
      <w:start w:val="1"/>
    </w:lvl>
  </w:abstractNum>
  <w:abstractNum w:abstractNumId="82">
    <w:nsid w:val="2157F6BC"/>
    <w:multiLevelType w:val="hybridMultilevel"/>
    <w:lvl w:ilvl="0">
      <w:lvlJc w:val="left"/>
      <w:lvlText w:val="*"/>
      <w:numFmt w:val="bullet"/>
      <w:start w:val="1"/>
    </w:lvl>
  </w:abstractNum>
  <w:abstractNum w:abstractNumId="83">
    <w:nsid w:val="704E1DD5"/>
    <w:multiLevelType w:val="hybridMultilevel"/>
    <w:lvl w:ilvl="0">
      <w:lvlJc w:val="left"/>
      <w:lvlText w:val="**"/>
      <w:numFmt w:val="bullet"/>
      <w:start w:val="1"/>
    </w:lvl>
  </w:abstractNum>
  <w:abstractNum w:abstractNumId="84">
    <w:nsid w:val="57D2F10E"/>
    <w:multiLevelType w:val="hybridMultilevel"/>
    <w:lvl w:ilvl="0">
      <w:lvlJc w:val="left"/>
      <w:lvlText w:val="(%1)"/>
      <w:numFmt w:val="decimal"/>
      <w:start w:val="1"/>
    </w:lvl>
  </w:abstractNum>
  <w:abstractNum w:abstractNumId="85">
    <w:nsid w:val="BFFAE18"/>
    <w:multiLevelType w:val="hybridMultilevel"/>
    <w:lvl w:ilvl="0">
      <w:lvlJc w:val="left"/>
      <w:lvlText w:val="•"/>
      <w:numFmt w:val="bullet"/>
      <w:start w:val="1"/>
    </w:lvl>
  </w:abstractNum>
  <w:abstractNum w:abstractNumId="86">
    <w:nsid w:val="E3E47A8"/>
    <w:multiLevelType w:val="hybridMultilevel"/>
    <w:lvl w:ilvl="0">
      <w:lvlJc w:val="left"/>
      <w:lvlText w:val="•"/>
      <w:numFmt w:val="bullet"/>
      <w:start w:val="1"/>
    </w:lvl>
  </w:abstractNum>
  <w:abstractNum w:abstractNumId="87">
    <w:nsid w:val="2E48F044"/>
    <w:multiLevelType w:val="hybridMultilevel"/>
    <w:lvl w:ilvl="0">
      <w:lvlJc w:val="left"/>
      <w:lvlText w:val="•"/>
      <w:numFmt w:val="bullet"/>
      <w:start w:val="1"/>
    </w:lvl>
  </w:abstractNum>
  <w:abstractNum w:abstractNumId="88">
    <w:nsid w:val="49D0FEAC"/>
    <w:multiLevelType w:val="hybridMultilevel"/>
    <w:lvl w:ilvl="0">
      <w:lvlJc w:val="left"/>
      <w:lvlText w:val="•"/>
      <w:numFmt w:val="bullet"/>
      <w:start w:val="1"/>
    </w:lvl>
  </w:abstractNum>
  <w:abstractNum w:abstractNumId="89">
    <w:nsid w:val="4BEE5A5B"/>
    <w:multiLevelType w:val="hybridMultilevel"/>
    <w:lvl w:ilvl="0">
      <w:lvlJc w:val="left"/>
      <w:lvlText w:val="•"/>
      <w:numFmt w:val="bullet"/>
      <w:start w:val="1"/>
    </w:lvl>
  </w:abstractNum>
  <w:abstractNum w:abstractNumId="90">
    <w:nsid w:val="5551B9F3"/>
    <w:multiLevelType w:val="hybridMultilevel"/>
    <w:lvl w:ilvl="0">
      <w:lvlJc w:val="left"/>
      <w:lvlText w:val="•"/>
      <w:numFmt w:val="bullet"/>
      <w:start w:val="1"/>
    </w:lvl>
  </w:abstractNum>
  <w:abstractNum w:abstractNumId="91">
    <w:nsid w:val="24F6AB8E"/>
    <w:multiLevelType w:val="hybridMultilevel"/>
    <w:lvl w:ilvl="0">
      <w:lvlJc w:val="left"/>
      <w:lvlText w:val="(%1)"/>
      <w:numFmt w:val="decimal"/>
      <w:start w:val="1"/>
    </w:lvl>
  </w:abstractNum>
  <w:abstractNum w:abstractNumId="92">
    <w:nsid w:val="634C574C"/>
    <w:multiLevelType w:val="hybridMultilevel"/>
    <w:lvl w:ilvl="0">
      <w:lvlJc w:val="left"/>
      <w:lvlText w:val="(%1)"/>
      <w:numFmt w:val="decimal"/>
      <w:start w:val="4"/>
    </w:lvl>
  </w:abstractNum>
  <w:abstractNum w:abstractNumId="93">
    <w:nsid w:val="24E99DD7"/>
    <w:multiLevelType w:val="hybridMultilevel"/>
    <w:lvl w:ilvl="0">
      <w:lvlJc w:val="left"/>
      <w:lvlText w:val="•"/>
      <w:numFmt w:val="bullet"/>
      <w:start w:val="1"/>
    </w:lvl>
  </w:abstractNum>
  <w:abstractNum w:abstractNumId="94">
    <w:nsid w:val="2A31B62D"/>
    <w:multiLevelType w:val="hybridMultilevel"/>
    <w:lvl w:ilvl="0">
      <w:lvlJc w:val="left"/>
      <w:lvlText w:val="(%1)"/>
      <w:numFmt w:val="decimal"/>
      <w:start w:val="1"/>
    </w:lvl>
  </w:abstractNum>
  <w:abstractNum w:abstractNumId="95">
    <w:nsid w:val="1849C29B"/>
    <w:multiLevelType w:val="hybridMultilevel"/>
    <w:lvl w:ilvl="0">
      <w:lvlJc w:val="left"/>
      <w:lvlText w:val="(%1)"/>
      <w:numFmt w:val="decimal"/>
      <w:start w:val="1"/>
    </w:lvl>
  </w:abstractNum>
  <w:abstractNum w:abstractNumId="96">
    <w:nsid w:val="7DFF9D09"/>
    <w:multiLevelType w:val="hybridMultilevel"/>
    <w:lvl w:ilvl="0">
      <w:lvlJc w:val="left"/>
      <w:lvlText w:val="(%1)"/>
      <w:numFmt w:val="decimal"/>
      <w:start w:val="3"/>
    </w:lvl>
  </w:abstractNum>
  <w:abstractNum w:abstractNumId="97">
    <w:nsid w:val="754342"/>
    <w:multiLevelType w:val="hybridMultilevel"/>
    <w:lvl w:ilvl="0">
      <w:lvlJc w:val="left"/>
      <w:lvlText w:val="(%1)"/>
      <w:numFmt w:val="lowerRoman"/>
      <w:start w:val="1"/>
    </w:lvl>
  </w:abstractNum>
  <w:abstractNum w:abstractNumId="98">
    <w:nsid w:val="69E7F3E5"/>
    <w:multiLevelType w:val="hybridMultilevel"/>
    <w:lvl w:ilvl="0">
      <w:lvlJc w:val="left"/>
      <w:lvlText w:val="(%1)"/>
      <w:numFmt w:val="lowerRoman"/>
      <w:start w:val="1"/>
    </w:lvl>
  </w:abstractNum>
  <w:abstractNum w:abstractNumId="99">
    <w:nsid w:val="2A6DE806"/>
    <w:multiLevelType w:val="hybridMultilevel"/>
    <w:lvl w:ilvl="0">
      <w:lvlJc w:val="left"/>
      <w:lvlText w:val="•"/>
      <w:numFmt w:val="bullet"/>
      <w:start w:val="1"/>
    </w:lvl>
  </w:abstractNum>
  <w:abstractNum w:abstractNumId="100">
    <w:nsid w:val="1816F8C4"/>
    <w:multiLevelType w:val="hybridMultilevel"/>
    <w:lvl w:ilvl="0">
      <w:lvlJc w:val="left"/>
      <w:lvlText w:val="•"/>
      <w:numFmt w:val="bullet"/>
      <w:start w:val="1"/>
    </w:lvl>
  </w:abstractNum>
  <w:abstractNum w:abstractNumId="101">
    <w:nsid w:val="37DF2233"/>
    <w:multiLevelType w:val="hybridMultilevel"/>
    <w:lvl w:ilvl="0">
      <w:lvlJc w:val="left"/>
      <w:lvlText w:val="•"/>
      <w:numFmt w:val="bullet"/>
      <w:start w:val="1"/>
    </w:lvl>
  </w:abstractNum>
  <w:abstractNum w:abstractNumId="102">
    <w:nsid w:val="7AB49DAF"/>
    <w:multiLevelType w:val="hybridMultilevel"/>
    <w:lvl w:ilvl="0">
      <w:lvlJc w:val="left"/>
      <w:lvlText w:val="(%1)"/>
      <w:numFmt w:val="decimal"/>
      <w:start w:val="1"/>
    </w:lvl>
  </w:abstractNum>
  <w:abstractNum w:abstractNumId="103">
    <w:nsid w:val="759F82CD"/>
    <w:multiLevelType w:val="hybridMultilevel"/>
    <w:lvl w:ilvl="0">
      <w:lvlJc w:val="left"/>
      <w:lvlText w:val="(%1)"/>
      <w:numFmt w:val="decimal"/>
      <w:start w:val="1"/>
    </w:lvl>
  </w:abstractNum>
  <w:abstractNum w:abstractNumId="104">
    <w:nsid w:val="61E74EA3"/>
    <w:multiLevelType w:val="hybridMultilevel"/>
    <w:lvl w:ilvl="0">
      <w:lvlJc w:val="left"/>
      <w:lvlText w:val="•"/>
      <w:numFmt w:val="bullet"/>
      <w:start w:val="1"/>
    </w:lvl>
  </w:abstractNum>
  <w:abstractNum w:abstractNumId="105">
    <w:nsid w:val="597B4D84"/>
    <w:multiLevelType w:val="hybridMultilevel"/>
    <w:lvl w:ilvl="0">
      <w:lvlJc w:val="left"/>
      <w:lvlText w:val="(%1)"/>
      <w:numFmt w:val="decimal"/>
      <w:start w:val="1"/>
    </w:lvl>
    <w:lvl w:ilvl="1">
      <w:lvlJc w:val="left"/>
      <w:lvlText w:val="(%2)"/>
      <w:numFmt w:val="lowerLetter"/>
      <w:start w:val="2"/>
    </w:lvl>
  </w:abstractNum>
  <w:abstractNum w:abstractNumId="106">
    <w:nsid w:val="F819E7F"/>
    <w:multiLevelType w:val="hybridMultilevel"/>
    <w:lvl w:ilvl="0">
      <w:lvlJc w:val="left"/>
      <w:lvlText w:val="(%1)"/>
      <w:numFmt w:val="decimal"/>
      <w:start w:val="10"/>
    </w:lvl>
    <w:lvl w:ilvl="1">
      <w:lvlJc w:val="left"/>
      <w:lvlText w:val="(%2)"/>
      <w:numFmt w:val="lowerLetter"/>
      <w:start w:val="2"/>
    </w:lvl>
  </w:abstractNum>
  <w:abstractNum w:abstractNumId="107">
    <w:nsid w:val="57C7D42D"/>
    <w:multiLevelType w:val="hybridMultilevel"/>
    <w:lvl w:ilvl="0">
      <w:lvlJc w:val="left"/>
      <w:lvlText w:val="%1"/>
      <w:numFmt w:val="decimal"/>
      <w:start w:val="1"/>
    </w:lvl>
    <w:lvl w:ilvl="1">
      <w:lvlJc w:val="left"/>
      <w:lvlText w:val="(%2)"/>
      <w:numFmt w:val="lowerLetter"/>
      <w:start w:val="4"/>
    </w:lvl>
  </w:abstractNum>
  <w:abstractNum w:abstractNumId="108">
    <w:nsid w:val="312167AD"/>
    <w:multiLevelType w:val="hybridMultilevel"/>
    <w:lvl w:ilvl="0">
      <w:lvlJc w:val="left"/>
      <w:lvlText w:val="(%1)"/>
      <w:numFmt w:val="decimal"/>
      <w:start w:val="12"/>
    </w:lvl>
    <w:lvl w:ilvl="1">
      <w:lvlJc w:val="left"/>
      <w:lvlText w:val="(%2)"/>
      <w:numFmt w:val="lowerLetter"/>
      <w:start w:val="2"/>
    </w:lvl>
  </w:abstractNum>
  <w:abstractNum w:abstractNumId="109">
    <w:nsid w:val="631B64D4"/>
    <w:multiLevelType w:val="hybridMultilevel"/>
    <w:lvl w:ilvl="0">
      <w:lvlJc w:val="left"/>
      <w:lvlText w:val="•"/>
      <w:numFmt w:val="bullet"/>
      <w:start w:val="1"/>
    </w:lvl>
  </w:abstractNum>
  <w:abstractNum w:abstractNumId="110">
    <w:nsid w:val="78B5E776"/>
    <w:multiLevelType w:val="hybridMultilevel"/>
    <w:lvl w:ilvl="0">
      <w:lvlJc w:val="left"/>
      <w:lvlText w:val="•"/>
      <w:numFmt w:val="bullet"/>
      <w:start w:val="1"/>
    </w:lvl>
  </w:abstractNum>
  <w:abstractNum w:abstractNumId="111">
    <w:nsid w:val="75486E47"/>
    <w:multiLevelType w:val="hybridMultilevel"/>
    <w:lvl w:ilvl="0">
      <w:lvlJc w:val="left"/>
      <w:lvlText w:val="•"/>
      <w:numFmt w:val="bullet"/>
      <w:start w:val="1"/>
    </w:lvl>
  </w:abstractNum>
  <w:abstractNum w:abstractNumId="112">
    <w:nsid w:val="6E534CDE"/>
    <w:multiLevelType w:val="hybridMultilevel"/>
    <w:lvl w:ilvl="0">
      <w:lvlJc w:val="left"/>
      <w:lvlText w:val="•"/>
      <w:numFmt w:val="bullet"/>
      <w:start w:val="1"/>
    </w:lvl>
  </w:abstractNum>
  <w:abstractNum w:abstractNumId="113">
    <w:nsid w:val="1A0DDE32"/>
    <w:multiLevelType w:val="hybridMultilevel"/>
    <w:lvl w:ilvl="0">
      <w:lvlJc w:val="left"/>
      <w:lvlText w:val="•"/>
      <w:numFmt w:val="bullet"/>
      <w:start w:val="1"/>
    </w:lvl>
  </w:abstractNum>
  <w:abstractNum w:abstractNumId="114">
    <w:nsid w:val="65968C1C"/>
    <w:multiLevelType w:val="hybridMultilevel"/>
    <w:lvl w:ilvl="0">
      <w:lvlJc w:val="left"/>
      <w:lvlText w:val="•"/>
      <w:numFmt w:val="bullet"/>
      <w:start w:val="1"/>
    </w:lvl>
  </w:abstractNum>
  <w:abstractNum w:abstractNumId="115">
    <w:nsid w:val="46263DEC"/>
    <w:multiLevelType w:val="hybridMultilevel"/>
    <w:lvl w:ilvl="0">
      <w:lvlJc w:val="left"/>
      <w:lvlText w:val="•"/>
      <w:numFmt w:val="bullet"/>
      <w:start w:val="1"/>
    </w:lvl>
  </w:abstractNum>
  <w:abstractNum w:abstractNumId="116">
    <w:nsid w:val="260D8C4A"/>
    <w:multiLevelType w:val="hybridMultilevel"/>
    <w:lvl w:ilvl="0">
      <w:lvlJc w:val="left"/>
      <w:lvlText w:val="•"/>
      <w:numFmt w:val="bullet"/>
      <w:start w:val="1"/>
    </w:lvl>
  </w:abstractNum>
  <w:abstractNum w:abstractNumId="117">
    <w:nsid w:val="73D4D3C4"/>
    <w:multiLevelType w:val="hybridMultilevel"/>
    <w:lvl w:ilvl="0">
      <w:lvlJc w:val="left"/>
      <w:lvlText w:val="•"/>
      <w:numFmt w:val="bullet"/>
      <w:start w:val="1"/>
    </w:lvl>
  </w:abstractNum>
  <w:abstractNum w:abstractNumId="118">
    <w:nsid w:val="746F2E30"/>
    <w:multiLevelType w:val="hybridMultilevel"/>
    <w:lvl w:ilvl="0">
      <w:lvlJc w:val="left"/>
      <w:lvlText w:val="•"/>
      <w:numFmt w:val="bullet"/>
      <w:start w:val="1"/>
    </w:lvl>
  </w:abstractNum>
  <w:abstractNum w:abstractNumId="119">
    <w:nsid w:val="6FDE8AF6"/>
    <w:multiLevelType w:val="hybridMultilevel"/>
    <w:lvl w:ilvl="0">
      <w:lvlJc w:val="left"/>
      <w:lvlText w:val="•"/>
      <w:numFmt w:val="bullet"/>
      <w:start w:val="1"/>
    </w:lvl>
  </w:abstractNum>
  <w:abstractNum w:abstractNumId="120">
    <w:nsid w:val="3FC32E20"/>
    <w:multiLevelType w:val="hybridMultilevel"/>
    <w:lvl w:ilvl="0">
      <w:lvlJc w:val="left"/>
      <w:lvlText w:val="•"/>
      <w:numFmt w:val="bullet"/>
      <w:start w:val="1"/>
    </w:lvl>
  </w:abstractNum>
  <w:abstractNum w:abstractNumId="121">
    <w:nsid w:val="49C0E823"/>
    <w:multiLevelType w:val="hybridMultilevel"/>
    <w:lvl w:ilvl="0">
      <w:lvlJc w:val="left"/>
      <w:lvlText w:val="•"/>
      <w:numFmt w:val="bullet"/>
      <w:start w:val="1"/>
    </w:lvl>
  </w:abstractNum>
  <w:abstractNum w:abstractNumId="122">
    <w:nsid w:val="14D53685"/>
    <w:multiLevelType w:val="hybridMultilevel"/>
    <w:lvl w:ilvl="0">
      <w:lvlJc w:val="left"/>
      <w:lvlText w:val="(%1)"/>
      <w:numFmt w:val="lowerLetter"/>
      <w:start w:val="2"/>
    </w:lvl>
  </w:abstractNum>
  <w:abstractNum w:abstractNumId="123">
    <w:nsid w:val="230F856C"/>
    <w:multiLevelType w:val="hybridMultilevel"/>
    <w:lvl w:ilvl="0">
      <w:lvlJc w:val="left"/>
      <w:lvlText w:val="•"/>
      <w:numFmt w:val="bullet"/>
      <w:start w:val="1"/>
    </w:lvl>
  </w:abstractNum>
  <w:abstractNum w:abstractNumId="124">
    <w:nsid w:val="6EAA85FB"/>
    <w:multiLevelType w:val="hybridMultilevel"/>
    <w:lvl w:ilvl="0">
      <w:lvlJc w:val="left"/>
      <w:lvlText w:val="•"/>
      <w:numFmt w:val="bullet"/>
      <w:start w:val="1"/>
    </w:lvl>
    <w:lvl w:ilvl="1">
      <w:lvlJc w:val="left"/>
      <w:lvlText w:val="•"/>
      <w:numFmt w:val="bullet"/>
      <w:start w:val="1"/>
    </w:lvl>
  </w:abstractNum>
  <w:abstractNum w:abstractNumId="125">
    <w:nsid w:val="3F06ECB2"/>
    <w:multiLevelType w:val="hybridMultilevel"/>
    <w:lvl w:ilvl="0">
      <w:lvlJc w:val="left"/>
      <w:lvlText w:val="(%1)"/>
      <w:numFmt w:val="lowerLetter"/>
      <w:start w:val="2"/>
    </w:lvl>
  </w:abstractNum>
  <w:abstractNum w:abstractNumId="126">
    <w:nsid w:val="3B594807"/>
    <w:multiLevelType w:val="hybridMultilevel"/>
    <w:lvl w:ilvl="0">
      <w:lvlJc w:val="left"/>
      <w:lvlText w:val="(%1)"/>
      <w:numFmt w:val="lowerRoman"/>
      <w:start w:val="11"/>
    </w:lvl>
  </w:abstractNum>
  <w:abstractNum w:abstractNumId="127">
    <w:nsid w:val="6CAA2304"/>
    <w:multiLevelType w:val="hybridMultilevel"/>
    <w:lvl w:ilvl="0">
      <w:lvlJc w:val="left"/>
      <w:lvlText w:val="•"/>
      <w:numFmt w:val="bullet"/>
      <w:start w:val="1"/>
    </w:lvl>
  </w:abstractNum>
  <w:abstractNum w:abstractNumId="128">
    <w:nsid w:val="3F7C2FF4"/>
    <w:multiLevelType w:val="hybridMultilevel"/>
    <w:lvl w:ilvl="0">
      <w:lvlJc w:val="left"/>
      <w:lvlText w:val="•"/>
      <w:numFmt w:val="bullet"/>
      <w:start w:val="1"/>
    </w:lvl>
  </w:abstractNum>
  <w:abstractNum w:abstractNumId="129">
    <w:nsid w:val="25413BEC"/>
    <w:multiLevelType w:val="hybridMultilevel"/>
    <w:lvl w:ilvl="0">
      <w:lvlJc w:val="left"/>
      <w:lvlText w:val="(%1)"/>
      <w:numFmt w:val="lowerRoman"/>
      <w:start w:val="2"/>
    </w:lvl>
  </w:abstractNum>
  <w:abstractNum w:abstractNumId="130">
    <w:nsid w:val="17180B0B"/>
    <w:multiLevelType w:val="hybridMultilevel"/>
    <w:lvl w:ilvl="0">
      <w:lvlJc w:val="left"/>
      <w:lvlText w:val="(%1)"/>
      <w:numFmt w:val="decimal"/>
      <w:start w:val="1"/>
    </w:lvl>
  </w:abstractNum>
  <w:abstractNum w:abstractNumId="131">
    <w:nsid w:val="579328B9"/>
    <w:multiLevelType w:val="hybridMultilevel"/>
    <w:lvl w:ilvl="0">
      <w:lvlJc w:val="left"/>
      <w:lvlText w:val="•"/>
      <w:numFmt w:val="bullet"/>
      <w:start w:val="1"/>
    </w:lvl>
  </w:abstractNum>
  <w:abstractNum w:abstractNumId="132">
    <w:nsid w:val="5D205E20"/>
    <w:multiLevelType w:val="hybridMultilevel"/>
    <w:lvl w:ilvl="0">
      <w:lvlJc w:val="left"/>
      <w:lvlText w:val="(%1)"/>
      <w:numFmt w:val="lowerRoman"/>
      <w:start w:val="2"/>
    </w:lvl>
  </w:abstractNum>
  <w:abstractNum w:abstractNumId="133">
    <w:nsid w:val="11CCA8BA"/>
    <w:multiLevelType w:val="hybridMultilevel"/>
    <w:lvl w:ilvl="0">
      <w:lvlJc w:val="left"/>
      <w:lvlText w:val="(%1)"/>
      <w:numFmt w:val="decimal"/>
      <w:start w:val="1"/>
    </w:lvl>
  </w:abstractNum>
  <w:abstractNum w:abstractNumId="134">
    <w:nsid w:val="4D32AB86"/>
    <w:multiLevelType w:val="hybridMultilevel"/>
    <w:lvl w:ilvl="0">
      <w:lvlJc w:val="left"/>
      <w:lvlText w:val="•"/>
      <w:numFmt w:val="bullet"/>
      <w:start w:val="1"/>
    </w:lvl>
  </w:abstractNum>
  <w:abstractNum w:abstractNumId="135">
    <w:nsid w:val="3F07ACC3"/>
    <w:multiLevelType w:val="hybridMultilevel"/>
    <w:lvl w:ilvl="0">
      <w:lvlJc w:val="left"/>
      <w:lvlText w:val="•"/>
      <w:numFmt w:val="bullet"/>
      <w:start w:val="1"/>
    </w:lvl>
  </w:abstractNum>
  <w:abstractNum w:abstractNumId="136">
    <w:nsid w:val="6B47F63E"/>
    <w:multiLevelType w:val="hybridMultilevel"/>
    <w:lvl w:ilvl="0">
      <w:lvlJc w:val="left"/>
      <w:lvlText w:val="•"/>
      <w:numFmt w:val="bullet"/>
      <w:start w:val="1"/>
    </w:lvl>
  </w:abstractNum>
  <w:abstractNum w:abstractNumId="137">
    <w:nsid w:val="5CB44A05"/>
    <w:multiLevelType w:val="hybridMultilevel"/>
    <w:lvl w:ilvl="0">
      <w:lvlJc w:val="left"/>
      <w:lvlText w:val="%1."/>
      <w:numFmt w:val="decimal"/>
      <w:start w:val="1"/>
    </w:lvl>
  </w:abstractNum>
  <w:abstractNum w:abstractNumId="138">
    <w:nsid w:val="16CF80F1"/>
    <w:multiLevelType w:val="hybridMultilevel"/>
    <w:lvl w:ilvl="0">
      <w:lvlJc w:val="left"/>
      <w:lvlText w:val="(%1)"/>
      <w:numFmt w:val="lowerLetter"/>
      <w:start w:val="1"/>
    </w:lvl>
  </w:abstractNum>
  <w:abstractNum w:abstractNumId="139">
    <w:nsid w:val="1C695DEC"/>
    <w:multiLevelType w:val="hybridMultilevel"/>
    <w:lvl w:ilvl="0">
      <w:lvlJc w:val="left"/>
      <w:lvlText w:val="+"/>
      <w:numFmt w:val="bullet"/>
      <w:start w:val="1"/>
    </w:lvl>
  </w:abstractNum>
  <w:abstractNum w:abstractNumId="140">
    <w:nsid w:val="3FCFAED9"/>
    <w:multiLevelType w:val="hybridMultilevel"/>
    <w:lvl w:ilvl="0">
      <w:lvlJc w:val="left"/>
      <w:lvlText w:val="%1."/>
      <w:numFmt w:val="decimal"/>
      <w:start w:val="1"/>
    </w:lvl>
  </w:abstractNum>
  <w:abstractNum w:abstractNumId="141">
    <w:nsid w:val="F856867"/>
    <w:multiLevelType w:val="hybridMultilevel"/>
    <w:lvl w:ilvl="0">
      <w:lvlJc w:val="left"/>
      <w:lvlText w:val="(%1)"/>
      <w:numFmt w:val="lowerLetter"/>
      <w:start w:val="1"/>
    </w:lvl>
  </w:abstractNum>
  <w:abstractNum w:abstractNumId="142">
    <w:nsid w:val="11B1CC33"/>
    <w:multiLevelType w:val="hybridMultilevel"/>
    <w:lvl w:ilvl="0">
      <w:lvlJc w:val="left"/>
      <w:lvlText w:val="%1."/>
      <w:numFmt w:val="decimal"/>
      <w:start w:val="2"/>
    </w:lvl>
  </w:abstractNum>
  <w:abstractNum w:abstractNumId="143">
    <w:nsid w:val="2E22FBB7"/>
    <w:multiLevelType w:val="hybridMultilevel"/>
    <w:lvl w:ilvl="0">
      <w:lvlJc w:val="left"/>
      <w:lvlText w:val="(%1)"/>
      <w:numFmt w:val="lowerLetter"/>
      <w:start w:val="1"/>
    </w:lvl>
  </w:abstractNum>
  <w:abstractNum w:abstractNumId="144">
    <w:nsid w:val="29934699"/>
    <w:multiLevelType w:val="hybridMultilevel"/>
    <w:lvl w:ilvl="0">
      <w:lvlJc w:val="left"/>
      <w:lvlText w:val="(%1)"/>
      <w:numFmt w:val="lowerLetter"/>
      <w:start w:val="2"/>
    </w:lvl>
  </w:abstractNum>
  <w:abstractNum w:abstractNumId="145">
    <w:nsid w:val="77485850"/>
    <w:multiLevelType w:val="hybridMultilevel"/>
    <w:lvl w:ilvl="0">
      <w:lvlJc w:val="left"/>
      <w:lvlText w:val="(%1)"/>
      <w:numFmt w:val="lowerLetter"/>
      <w:start w:val="1"/>
    </w:lvl>
  </w:abstractNum>
  <w:abstractNum w:abstractNumId="146">
    <w:nsid w:val="744939A3"/>
    <w:multiLevelType w:val="hybridMultilevel"/>
    <w:lvl w:ilvl="0">
      <w:lvlJc w:val="left"/>
      <w:lvlText w:val="(%1)"/>
      <w:numFmt w:val="upperLetter"/>
      <w:start w:val="1"/>
    </w:lvl>
  </w:abstractNum>
  <w:abstractNum w:abstractNumId="147">
    <w:nsid w:val="4FA0D2E3"/>
    <w:multiLevelType w:val="hybridMultilevel"/>
    <w:lvl w:ilvl="0">
      <w:lvlJc w:val="left"/>
      <w:lvlText w:val="%1."/>
      <w:numFmt w:val="decimal"/>
      <w:start w:val="3"/>
    </w:lvl>
  </w:abstractNum>
  <w:abstractNum w:abstractNumId="148">
    <w:nsid w:val="6B1D2C14"/>
    <w:multiLevelType w:val="hybridMultilevel"/>
    <w:lvl w:ilvl="0">
      <w:lvlJc w:val="left"/>
      <w:lvlText w:val="(%1)"/>
      <w:numFmt w:val="lowerLetter"/>
      <w:start w:val="1"/>
    </w:lvl>
  </w:abstractNum>
  <w:abstractNum w:abstractNumId="149">
    <w:nsid w:val="68B867D3"/>
    <w:multiLevelType w:val="hybridMultilevel"/>
    <w:lvl w:ilvl="0">
      <w:lvlJc w:val="left"/>
      <w:lvlText w:val="%1."/>
      <w:numFmt w:val="decimal"/>
      <w:start w:val="4"/>
    </w:lvl>
  </w:abstractNum>
  <w:abstractNum w:abstractNumId="150">
    <w:nsid w:val="3F7F5DD9"/>
    <w:multiLevelType w:val="hybridMultilevel"/>
    <w:lvl w:ilvl="0">
      <w:lvlJc w:val="left"/>
      <w:lvlText w:val="%1."/>
      <w:numFmt w:val="decimal"/>
      <w:start w:val="5"/>
    </w:lvl>
    <w:lvl w:ilvl="1">
      <w:lvlJc w:val="left"/>
      <w:lvlText w:val="(%2)"/>
      <w:numFmt w:val="lowerLetter"/>
      <w:start w:val="1"/>
    </w:lvl>
  </w:abstractNum>
  <w:abstractNum w:abstractNumId="151">
    <w:nsid w:val="2AE05A34"/>
    <w:multiLevelType w:val="hybridMultilevel"/>
    <w:lvl w:ilvl="0">
      <w:lvlJc w:val="left"/>
      <w:lvlText w:val="(%1)"/>
      <w:numFmt w:val="lowerLetter"/>
      <w:start w:val="2"/>
    </w:lvl>
  </w:abstractNum>
  <w:abstractNum w:abstractNumId="152">
    <w:nsid w:val="32794FF7"/>
    <w:multiLevelType w:val="hybridMultilevel"/>
    <w:lvl w:ilvl="0">
      <w:lvlJc w:val="left"/>
      <w:lvlText w:val="(%1)"/>
      <w:numFmt w:val="lowerLetter"/>
      <w:start w:val="1"/>
    </w:lvl>
  </w:abstractNum>
  <w:abstractNum w:abstractNumId="153">
    <w:nsid w:val="5454945E"/>
    <w:multiLevelType w:val="hybridMultilevel"/>
    <w:lvl w:ilvl="0">
      <w:lvlJc w:val="left"/>
      <w:lvlText w:val="%1"/>
      <w:numFmt w:val="decimal"/>
      <w:start w:val="1"/>
    </w:lvl>
    <w:lvl w:ilvl="1">
      <w:lvlJc w:val="left"/>
      <w:lvlText w:val="(%2)"/>
      <w:numFmt w:val="lowerLetter"/>
      <w:start w:val="5"/>
    </w:lvl>
  </w:abstractNum>
  <w:abstractNum w:abstractNumId="154">
    <w:nsid w:val="4DEFDFA0"/>
    <w:multiLevelType w:val="hybridMultilevel"/>
    <w:lvl w:ilvl="0">
      <w:lvlJc w:val="left"/>
      <w:lvlText w:val="%1."/>
      <w:numFmt w:val="decimal"/>
      <w:start w:val="6"/>
    </w:lvl>
    <w:lvl w:ilvl="1">
      <w:lvlJc w:val="left"/>
      <w:lvlText w:val="%2"/>
      <w:numFmt w:val="lowerLetter"/>
      <w:start w:val="1"/>
    </w:lvl>
  </w:abstractNum>
  <w:abstractNum w:abstractNumId="155">
    <w:nsid w:val="2123D5F2"/>
    <w:multiLevelType w:val="hybridMultilevel"/>
    <w:lvl w:ilvl="0">
      <w:lvlJc w:val="left"/>
      <w:lvlText w:val="(%1)"/>
      <w:numFmt w:val="lowerLetter"/>
      <w:start w:val="1"/>
    </w:lvl>
  </w:abstractNum>
  <w:abstractNum w:abstractNumId="156">
    <w:nsid w:val="135B8110"/>
    <w:multiLevelType w:val="hybridMultilevel"/>
    <w:lvl w:ilvl="0">
      <w:lvlJc w:val="left"/>
      <w:lvlText w:val="%1"/>
      <w:numFmt w:val="decimal"/>
      <w:start w:val="1"/>
    </w:lvl>
    <w:lvl w:ilvl="1">
      <w:lvlJc w:val="left"/>
      <w:lvlText w:val="(%2)"/>
      <w:numFmt w:val="lowerLetter"/>
      <w:start w:val="2"/>
    </w:lvl>
  </w:abstractNum>
  <w:abstractNum w:abstractNumId="157">
    <w:nsid w:val="94927A8"/>
    <w:multiLevelType w:val="hybridMultilevel"/>
    <w:lvl w:ilvl="0">
      <w:lvlJc w:val="left"/>
      <w:lvlText w:val="%1."/>
      <w:numFmt w:val="decimal"/>
      <w:start w:val="7"/>
    </w:lvl>
    <w:lvl w:ilvl="1">
      <w:lvlJc w:val="left"/>
      <w:lvlText w:val="%2"/>
      <w:numFmt w:val="lowerLetter"/>
      <w:start w:val="1"/>
    </w:lvl>
  </w:abstractNum>
  <w:abstractNum w:abstractNumId="158">
    <w:nsid w:val="DCDF8F6"/>
    <w:multiLevelType w:val="hybridMultilevel"/>
    <w:lvl w:ilvl="0">
      <w:lvlJc w:val="left"/>
      <w:lvlText w:val="(%1)"/>
      <w:numFmt w:val="lowerRoman"/>
      <w:start w:val="1"/>
    </w:lvl>
  </w:abstractNum>
  <w:abstractNum w:abstractNumId="159">
    <w:nsid w:val="52D7B105"/>
    <w:multiLevelType w:val="hybridMultilevel"/>
    <w:lvl w:ilvl="0">
      <w:lvlJc w:val="left"/>
      <w:lvlText w:val="%1."/>
      <w:numFmt w:val="decimal"/>
      <w:start w:val="8"/>
    </w:lvl>
  </w:abstractNum>
  <w:abstractNum w:abstractNumId="160">
    <w:nsid w:val="2E8A6394"/>
    <w:multiLevelType w:val="hybridMultilevel"/>
    <w:lvl w:ilvl="0">
      <w:lvlJc w:val="left"/>
      <w:lvlText w:val="%1."/>
      <w:numFmt w:val="decimal"/>
      <w:start w:val="9"/>
    </w:lvl>
    <w:lvl w:ilvl="1">
      <w:lvlJc w:val="left"/>
      <w:lvlText w:val="(%2)"/>
      <w:numFmt w:val="lowerLetter"/>
      <w:start w:val="1"/>
    </w:lvl>
  </w:abstractNum>
  <w:abstractNum w:abstractNumId="161">
    <w:nsid w:val="24E60401"/>
    <w:multiLevelType w:val="hybridMultilevel"/>
    <w:lvl w:ilvl="0">
      <w:lvlJc w:val="left"/>
      <w:lvlText w:val="(%1)"/>
      <w:numFmt w:val="lowerLetter"/>
      <w:start w:val="2"/>
    </w:lvl>
  </w:abstractNum>
  <w:abstractNum w:abstractNumId="162">
    <w:nsid w:val="2A6AD9BE"/>
    <w:multiLevelType w:val="hybridMultilevel"/>
    <w:lvl w:ilvl="0">
      <w:lvlJc w:val="left"/>
      <w:lvlText w:val="(%1)"/>
      <w:numFmt w:val="lowerLetter"/>
      <w:start w:val="1"/>
    </w:lvl>
  </w:abstractNum>
  <w:abstractNum w:abstractNumId="163">
    <w:nsid w:val="BAAC1B4"/>
    <w:multiLevelType w:val="hybridMultilevel"/>
    <w:lvl w:ilvl="0">
      <w:lvlJc w:val="left"/>
      <w:lvlText w:val="(%1)"/>
      <w:numFmt w:val="lowerLetter"/>
      <w:start w:val="2"/>
    </w:lvl>
  </w:abstractNum>
  <w:abstractNum w:abstractNumId="164">
    <w:nsid w:val="36B2ACBC"/>
    <w:multiLevelType w:val="hybridMultilevel"/>
    <w:lvl w:ilvl="0">
      <w:lvlJc w:val="left"/>
      <w:lvlText w:val="%1."/>
      <w:numFmt w:val="decimal"/>
      <w:start w:val="10"/>
    </w:lvl>
  </w:abstractNum>
  <w:abstractNum w:abstractNumId="165">
    <w:nsid w:val="779D8544"/>
    <w:multiLevelType w:val="hybridMultilevel"/>
    <w:lvl w:ilvl="0">
      <w:lvlJc w:val="left"/>
      <w:lvlText w:val="(%1)"/>
      <w:numFmt w:val="decimal"/>
      <w:start w:val="10"/>
    </w:lvl>
    <w:lvl w:ilvl="1">
      <w:lvlJc w:val="left"/>
      <w:lvlText w:val="(%2)"/>
      <w:numFmt w:val="lowerLetter"/>
      <w:start w:val="1"/>
    </w:lvl>
  </w:abstractNum>
  <w:abstractNum w:abstractNumId="166">
    <w:nsid w:val="4AB26E78"/>
    <w:multiLevelType w:val="hybridMultilevel"/>
    <w:lvl w:ilvl="0">
      <w:lvlJc w:val="left"/>
      <w:lvlText w:val="%1."/>
      <w:numFmt w:val="decimal"/>
      <w:start w:val="11"/>
    </w:lvl>
  </w:abstractNum>
  <w:abstractNum w:abstractNumId="167">
    <w:nsid w:val="21FAA2FA"/>
    <w:multiLevelType w:val="hybridMultilevel"/>
    <w:lvl w:ilvl="0">
      <w:lvlJc w:val="left"/>
      <w:lvlText w:val="%1."/>
      <w:numFmt w:val="decimal"/>
      <w:start w:val="12"/>
    </w:lvl>
    <w:lvl w:ilvl="1">
      <w:lvlJc w:val="left"/>
      <w:lvlText w:val="(%2)"/>
      <w:numFmt w:val="lowerLetter"/>
      <w:start w:val="1"/>
    </w:lvl>
  </w:abstractNum>
  <w:abstractNum w:abstractNumId="168">
    <w:nsid w:val="5451CF49"/>
    <w:multiLevelType w:val="hybridMultilevel"/>
    <w:lvl w:ilvl="0">
      <w:lvlJc w:val="left"/>
      <w:lvlText w:val="(%1)"/>
      <w:numFmt w:val="lowerLetter"/>
      <w:start w:val="3"/>
    </w:lvl>
  </w:abstractNum>
  <w:abstractNum w:abstractNumId="169">
    <w:nsid w:val="6181EF69"/>
    <w:multiLevelType w:val="hybridMultilevel"/>
    <w:lvl w:ilvl="0">
      <w:lvlJc w:val="left"/>
      <w:lvlText w:val="(%1)"/>
      <w:numFmt w:val="lowerLetter"/>
      <w:start w:val="1"/>
    </w:lvl>
  </w:abstractNum>
  <w:abstractNum w:abstractNumId="170">
    <w:nsid w:val="3E6400E6"/>
    <w:multiLevelType w:val="hybridMultilevel"/>
    <w:lvl w:ilvl="0">
      <w:lvlJc w:val="left"/>
      <w:lvlText w:val="(%1)"/>
      <w:numFmt w:val="lowerLetter"/>
      <w:start w:val="8"/>
    </w:lvl>
  </w:abstractNum>
  <w:abstractNum w:abstractNumId="171">
    <w:nsid w:val="14217E23"/>
    <w:multiLevelType w:val="hybridMultilevel"/>
    <w:lvl w:ilvl="0">
      <w:lvlJc w:val="left"/>
      <w:lvlText w:val="%1."/>
      <w:numFmt w:val="decimal"/>
      <w:start w:val="13"/>
    </w:lvl>
  </w:abstractNum>
  <w:abstractNum w:abstractNumId="172">
    <w:nsid w:val="710757D0"/>
    <w:multiLevelType w:val="hybridMultilevel"/>
    <w:lvl w:ilvl="0">
      <w:lvlJc w:val="left"/>
      <w:lvlText w:val="%1."/>
      <w:numFmt w:val="decimal"/>
      <w:start w:val="14"/>
    </w:lvl>
  </w:abstractNum>
  <w:abstractNum w:abstractNumId="173">
    <w:nsid w:val="5015CD1A"/>
    <w:multiLevelType w:val="hybridMultilevel"/>
    <w:lvl w:ilvl="0">
      <w:lvlJc w:val="left"/>
      <w:lvlText w:val="(%1)"/>
      <w:numFmt w:val="lowerLetter"/>
      <w:start w:val="1"/>
    </w:lvl>
  </w:abstractNum>
  <w:abstractNum w:abstractNumId="174">
    <w:nsid w:val="424479DA"/>
    <w:multiLevelType w:val="hybridMultilevel"/>
    <w:lvl w:ilvl="0">
      <w:lvlJc w:val="left"/>
      <w:lvlText w:val="(%1)"/>
      <w:numFmt w:val="lowerLetter"/>
      <w:start w:val="2"/>
    </w:lvl>
    <w:lvl w:ilvl="1">
      <w:lvlJc w:val="left"/>
      <w:lvlText w:val="(%2)"/>
      <w:numFmt w:val="lowerRoman"/>
      <w:start w:val="1"/>
    </w:lvl>
  </w:abstractNum>
  <w:abstractNum w:abstractNumId="175">
    <w:nsid w:val="1A9A9E69"/>
    <w:multiLevelType w:val="hybridMultilevel"/>
    <w:lvl w:ilvl="0">
      <w:lvlJc w:val="left"/>
      <w:lvlText w:val="(%1)"/>
      <w:numFmt w:val="lowerLetter"/>
      <w:start w:val="4"/>
    </w:lvl>
    <w:lvl w:ilvl="1">
      <w:lvlJc w:val="left"/>
      <w:lvlText w:val="(%2)"/>
      <w:numFmt w:val="lowerRoman"/>
      <w:start w:val="1"/>
    </w:lvl>
  </w:abstractNum>
  <w:abstractNum w:abstractNumId="176">
    <w:nsid w:val="475E256A"/>
    <w:multiLevelType w:val="hybridMultilevel"/>
    <w:lvl w:ilvl="0">
      <w:lvlJc w:val="left"/>
      <w:lvlText w:val="%1"/>
      <w:numFmt w:val="lowerLetter"/>
      <w:start w:val="1"/>
    </w:lvl>
    <w:lvl w:ilvl="1">
      <w:lvlJc w:val="left"/>
      <w:lvlText w:val="(%2)"/>
      <w:numFmt w:val="lowerRoman"/>
      <w:start w:val="1"/>
    </w:lvl>
  </w:abstractNum>
  <w:abstractNum w:abstractNumId="177">
    <w:nsid w:val="368DB37E"/>
    <w:multiLevelType w:val="hybridMultilevel"/>
    <w:lvl w:ilvl="0">
      <w:lvlJc w:val="left"/>
      <w:lvlText w:val="(%1)"/>
      <w:numFmt w:val="lowerLetter"/>
      <w:start w:val="6"/>
    </w:lvl>
    <w:lvl w:ilvl="1">
      <w:lvlJc w:val="left"/>
      <w:lvlText w:val="(%2)"/>
      <w:numFmt w:val="lowerRoman"/>
      <w:start w:val="1"/>
    </w:lvl>
  </w:abstractNum>
  <w:abstractNum w:abstractNumId="178">
    <w:nsid w:val="6A3B714C"/>
    <w:multiLevelType w:val="hybridMultilevel"/>
    <w:lvl w:ilvl="0">
      <w:lvlJc w:val="left"/>
      <w:lvlText w:val="(%1)"/>
      <w:numFmt w:val="lowerRoman"/>
      <w:start w:val="2"/>
    </w:lvl>
  </w:abstractNum>
  <w:abstractNum w:abstractNumId="179">
    <w:nsid w:val="327B517E"/>
    <w:multiLevelType w:val="hybridMultilevel"/>
    <w:lvl w:ilvl="0">
      <w:lvlJc w:val="left"/>
      <w:lvlText w:val="%1."/>
      <w:numFmt w:val="decimal"/>
      <w:start w:val="15"/>
    </w:lvl>
  </w:abstractNum>
  <w:abstractNum w:abstractNumId="180">
    <w:nsid w:val="1F461B51"/>
    <w:multiLevelType w:val="hybridMultilevel"/>
    <w:lvl w:ilvl="0">
      <w:lvlJc w:val="left"/>
      <w:lvlText w:val="%1."/>
      <w:numFmt w:val="decimal"/>
      <w:start w:val="1"/>
    </w:lvl>
  </w:abstractNum>
  <w:abstractNum w:abstractNumId="181">
    <w:nsid w:val="29BACF25"/>
    <w:multiLevelType w:val="hybridMultilevel"/>
    <w:lvl w:ilvl="0">
      <w:lvlJc w:val="left"/>
      <w:lvlText w:val="(%1)"/>
      <w:numFmt w:val="lowerLetter"/>
      <w:start w:val="1"/>
    </w:lvl>
  </w:abstractNum>
  <w:abstractNum w:abstractNumId="182">
    <w:nsid w:val="5D5BABB3"/>
    <w:multiLevelType w:val="hybridMultilevel"/>
    <w:lvl w:ilvl="0">
      <w:lvlJc w:val="left"/>
      <w:lvlText w:val="%1."/>
      <w:numFmt w:val="decimal"/>
      <w:start w:val="3"/>
    </w:lvl>
  </w:abstractNum>
  <w:abstractNum w:abstractNumId="183">
    <w:nsid w:val="51BF6B4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2019-12-08T11:59:04Z</dcterms:created>
  <dcterms:modified xsi:type="dcterms:W3CDTF">2019-12-08T11:59:04Z</dcterms:modified>
</cp:coreProperties>
</file>