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Suria Hamza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ANAPTYSBIO,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ANAPTYSBIO,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ANAB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45"/>
        <w:spacing w:after="0"/>
        <w:rPr>
          <w:sz w:val="20"/>
          <w:szCs w:val="20"/>
          <w:color w:val="auto"/>
        </w:rPr>
      </w:pPr>
      <w:r>
        <w:rPr>
          <w:rFonts w:ascii="Arial" w:cs="Arial" w:eastAsia="Arial" w:hAnsi="Arial"/>
          <w:sz w:val="17"/>
          <w:szCs w:val="17"/>
          <w:color w:val="0000FF"/>
        </w:rPr>
        <w:t>President, CEO</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SAN DIEGO</w:t>
            </w:r>
          </w:p>
        </w:tc>
        <w:tc>
          <w:tcPr>
            <w:tcW w:w="960" w:type="dxa"/>
            <w:vAlign w:val="bottom"/>
          </w:tcPr>
          <w:p>
            <w:pPr>
              <w:ind w:left="14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11/15/2021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964</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22.03</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68,600</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Common Stock acquired pursuant to the Issuer's Employee Stock Purchase Plan ("ESPP"), for the purchase period through November 15, 2021. In accordance with the ESPP, these shares were purchased at 85% of the lesser of the closing price of the Issuer's Common Stock on May 17, 2021 and November 15, 2021.</w:t>
      </w:r>
    </w:p>
    <w:p>
      <w:pPr>
        <w:spacing w:after="0" w:line="15"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addition to the reporting person's common stock directly held as set forth in Table I above, the Reporting Person also holds (i) additional options to purchase up to an aggregate of 1,155,538 shares of common stock, which options vest according to their terms.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Eric Loumeau, Attorney-in- </w:t>
      </w:r>
      <w:r>
        <w:rPr>
          <w:rFonts w:ascii="Arial" w:cs="Arial" w:eastAsia="Arial" w:hAnsi="Arial"/>
          <w:sz w:val="34"/>
          <w:szCs w:val="34"/>
          <w:color w:val="0000FF"/>
          <w:vertAlign w:val="subscript"/>
        </w:rPr>
        <w:t>11/17/2021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54495"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2021-11-17T16:22:55Z</dcterms:created>
  <dcterms:modified xsi:type="dcterms:W3CDTF">2021-11-17T16:22:55Z</dcterms:modified>
</cp:coreProperties>
</file>