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8-K</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 PURSUANT TO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January 5, 2024</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(Date of earliest event reported)</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ANAPTYSBIO,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Charter)</w:t>
      </w:r>
    </w:p>
    <w:p>
      <w:pPr>
        <w:sectPr>
          <w:pgSz w:w="11900" w:h="16838" w:orient="portrait"/>
          <w:cols w:equalWidth="0" w:num="1">
            <w:col w:w="11300"/>
          </w:cols>
          <w:pgMar w:left="300" w:top="1059" w:right="299" w:bottom="1440" w:gutter="0" w:footer="0" w:header="0"/>
        </w:sectPr>
      </w:pPr>
    </w:p>
    <w:p>
      <w:pPr>
        <w:spacing w:after="0" w:line="18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2"/>
          <w:szCs w:val="12"/>
          <w:b w:val="1"/>
          <w:bCs w:val="1"/>
          <w:color w:val="auto"/>
        </w:rPr>
        <w:t>001-37985</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20-3828755</w:t>
      </w:r>
    </w:p>
    <w:p>
      <w:pPr>
        <w:spacing w:after="0" w:line="24" w:lineRule="exact"/>
        <w:rPr>
          <w:sz w:val="24"/>
          <w:szCs w:val="24"/>
          <w:color w:val="auto"/>
        </w:rPr>
      </w:pPr>
    </w:p>
    <w:p>
      <w:pPr>
        <w:sectPr>
          <w:pgSz w:w="11900" w:h="16838" w:orient="portrait"/>
          <w:cols w:equalWidth="0" w:num="3">
            <w:col w:w="4680" w:space="720"/>
            <w:col w:w="2920" w:space="720"/>
            <w:col w:w="2260"/>
          </w:cols>
          <w:pgMar w:left="300" w:top="1059" w:right="29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60" w:space="720"/>
            <w:col w:w="2860"/>
          </w:cols>
          <w:pgMar w:left="300" w:top="1059" w:right="299" w:bottom="1440" w:gutter="0" w:footer="0" w:header="0"/>
          <w:type w:val="continuous"/>
        </w:sectPr>
      </w:pPr>
    </w:p>
    <w:p>
      <w:pPr>
        <w:spacing w:after="0" w:line="2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10770 Wateridge Circle, Suite 210,</w:t>
      </w:r>
    </w:p>
    <w:p>
      <w:pPr>
        <w:spacing w:after="0" w:line="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San Diego, CA 92121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(Address of Principal Executive Offices, and Zip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(858) 362-6295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(Registrant’s Telephone Number, Including Area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color w:val="auto"/>
        </w:rPr>
        <w:t>(Former name or former address, if changed since last report.)</w:t>
      </w:r>
    </w:p>
    <w:p>
      <w:pPr>
        <w:sectPr>
          <w:pgSz w:w="11900" w:h="16838" w:orient="portrait"/>
          <w:cols w:equalWidth="0" w:num="1">
            <w:col w:w="11300"/>
          </w:cols>
          <w:pgMar w:left="300" w:top="1059" w:right="29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4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Written communication pursuant to Rule 425 under the Securities Act (17 CFR 230.425)</w:t>
      </w:r>
    </w:p>
    <w:p>
      <w:pPr>
        <w:spacing w:after="0" w:line="46"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Soliciting material pursuant to Rule 14a-12 under the Exchange Act (17 CFR 240.14a-12)</w:t>
      </w:r>
    </w:p>
    <w:p>
      <w:pPr>
        <w:spacing w:after="0" w:line="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14d-2(b) under the Exchange Act (17 CFR 240.14d-2(b))</w:t>
      </w:r>
    </w:p>
    <w:p>
      <w:pPr>
        <w:spacing w:after="0" w:line="1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13e-4(c) under the Exchange Act (17 CFR 240.13e-4(c))</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78" w:lineRule="exact"/>
        <w:rPr>
          <w:sz w:val="24"/>
          <w:szCs w:val="24"/>
          <w:color w:val="auto"/>
        </w:rPr>
      </w:pPr>
    </w:p>
    <w:tbl>
      <w:tblPr>
        <w:tblLayout w:type="fixed"/>
        <w:tblInd w:w="190" w:type="dxa"/>
        <w:tblCellMar>
          <w:top w:w="0" w:type="dxa"/>
          <w:left w:w="0" w:type="dxa"/>
          <w:bottom w:w="0" w:type="dxa"/>
          <w:right w:w="0" w:type="dxa"/>
        </w:tblCellMar>
      </w:tblPr>
      <w:tr>
        <w:trPr>
          <w:trHeight w:val="164"/>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144"/>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ANAB</w:t>
            </w:r>
          </w:p>
        </w:tc>
        <w:tc>
          <w:tcPr>
            <w:tcW w:w="4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4"/>
          <w:szCs w:val="24"/>
          <w:color w:val="auto"/>
        </w:rPr>
      </w:pPr>
    </w:p>
    <w:p>
      <w:pPr>
        <w:ind w:right="2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9" w:lineRule="exact"/>
        <w:rPr>
          <w:sz w:val="24"/>
          <w:szCs w:val="24"/>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20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570865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9"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2.02. Results of Operations and Financial Condition.</w:t>
      </w:r>
    </w:p>
    <w:p>
      <w:pPr>
        <w:spacing w:after="0" w:line="150" w:lineRule="exact"/>
        <w:rPr>
          <w:sz w:val="20"/>
          <w:szCs w:val="20"/>
          <w:color w:val="auto"/>
        </w:rPr>
      </w:pPr>
    </w:p>
    <w:p>
      <w:pPr>
        <w:ind w:right="480"/>
        <w:spacing w:after="0" w:line="295" w:lineRule="auto"/>
        <w:rPr>
          <w:sz w:val="20"/>
          <w:szCs w:val="20"/>
          <w:color w:val="auto"/>
        </w:rPr>
      </w:pPr>
      <w:r>
        <w:rPr>
          <w:rFonts w:ascii="Times New Roman" w:cs="Times New Roman" w:eastAsia="Times New Roman" w:hAnsi="Times New Roman"/>
          <w:sz w:val="13"/>
          <w:szCs w:val="13"/>
          <w:color w:val="auto"/>
        </w:rPr>
        <w:t>On January 8, 2024, AnaptysBio, Inc. (“Anaptys”) expects to present certain preliminary, unaudited financial information in connection with presentations (the “Presentation”) at the J.P. Morgan Healthcare Conference, including that Anaptys expects to report that it had cash and cash equivalents and investments of approximately $417 million as of December 31, 2023.</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Anaptys’ audited financial statements for the fiscal year ended December 31, 2023 are not yet available. Accordingly, the preliminary financial information included in the Presentation is an estimate subject to the completion of Anaptys’ financial closing procedures and any adjustments that may result from the completion of the audit of Anaptys’ financial statements. The preliminary financial information may differ materially from the actual results that will be reflected in Anaptys’ audited financial statements when they are completed and publicly disclosed. Additional information and disclosures would be required for a more complete understanding of Anaptys’ financial position and results of operations as of December 31, 2023.</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information in this Item 2.02 shall not be deemed to be “filed” for purposes of Section 18 of the Securities Exchange Act of 1934, as amended, or otherwise subject to the liabilities of that section or Sections 11 and 12(a)(2) of the Securities Act of 1933, as amended. The information contained in this Item 2.02 shall not be incorporated by reference into any registration statement or other document filed by Anaptys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7.01. Regulation FD.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Anaptys is furnishing the Presentation, a full copy is attached hereto as Exhibit 99.1.</w:t>
      </w:r>
    </w:p>
    <w:p>
      <w:pPr>
        <w:spacing w:after="0" w:line="14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 Exhibits</w:t>
            </w:r>
          </w:p>
        </w:tc>
        <w:tc>
          <w:tcPr>
            <w:tcW w:w="9600" w:type="dxa"/>
            <w:vAlign w:val="bottom"/>
          </w:tcPr>
          <w:p>
            <w:pPr>
              <w:spacing w:after="0"/>
              <w:rPr>
                <w:sz w:val="14"/>
                <w:szCs w:val="14"/>
                <w:color w:val="auto"/>
              </w:rPr>
            </w:pPr>
          </w:p>
        </w:tc>
      </w:tr>
      <w:tr>
        <w:trPr>
          <w:trHeight w:val="360"/>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960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Exhibit Title or Description</w:t>
            </w:r>
          </w:p>
        </w:tc>
      </w:tr>
      <w:tr>
        <w:trPr>
          <w:trHeight w:val="158"/>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99.</w:t>
            </w:r>
            <w:r>
              <w:rPr>
                <w:rFonts w:ascii="Times New Roman" w:cs="Times New Roman" w:eastAsia="Times New Roman" w:hAnsi="Times New Roman"/>
                <w:sz w:val="13"/>
                <w:szCs w:val="13"/>
                <w:u w:val="single" w:color="auto"/>
                <w:color w:val="0000FF"/>
              </w:rPr>
              <w:t>1</w:t>
            </w:r>
          </w:p>
        </w:tc>
        <w:tc>
          <w:tcPr>
            <w:tcW w:w="960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Anaptys Corporate Presentation January 2024.</w:t>
            </w:r>
          </w:p>
        </w:tc>
      </w:tr>
      <w:tr>
        <w:trPr>
          <w:trHeight w:val="200"/>
        </w:trPr>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3"/>
                <w:szCs w:val="13"/>
                <w:color w:val="auto"/>
              </w:rPr>
              <w:t>104</w:t>
            </w:r>
          </w:p>
        </w:tc>
        <w:tc>
          <w:tcPr>
            <w:tcW w:w="1460" w:type="dxa"/>
            <w:vAlign w:val="bottom"/>
          </w:tcPr>
          <w:p>
            <w:pPr>
              <w:spacing w:after="0"/>
              <w:rPr>
                <w:sz w:val="17"/>
                <w:szCs w:val="17"/>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Cover Page Interactive Data File (the cover page XBRL tags are embedded within the inline XBRL document).</w:t>
            </w:r>
          </w:p>
        </w:tc>
      </w:tr>
      <w:tr>
        <w:trPr>
          <w:trHeight w:val="572"/>
        </w:trPr>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0"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35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3"/>
          <w:szCs w:val="13"/>
          <w:color w:val="auto"/>
        </w:rPr>
        <w:t>AnaptysBio, Inc.</w:t>
      </w:r>
    </w:p>
    <w:p>
      <w:pPr>
        <w:spacing w:after="0" w:line="22" w:lineRule="exact"/>
        <w:rPr>
          <w:sz w:val="20"/>
          <w:szCs w:val="20"/>
          <w:color w:val="auto"/>
        </w:rPr>
      </w:pPr>
    </w:p>
    <w:p>
      <w:pPr>
        <w:spacing w:after="0"/>
        <w:tabs>
          <w:tab w:leader="none" w:pos="4220" w:val="left"/>
          <w:tab w:leader="none" w:pos="4780" w:val="left"/>
        </w:tabs>
        <w:rPr>
          <w:sz w:val="20"/>
          <w:szCs w:val="20"/>
          <w:color w:val="auto"/>
        </w:rPr>
      </w:pPr>
      <w:r>
        <w:rPr>
          <w:rFonts w:ascii="Times New Roman" w:cs="Times New Roman" w:eastAsia="Times New Roman" w:hAnsi="Times New Roman"/>
          <w:sz w:val="13"/>
          <w:szCs w:val="13"/>
          <w:color w:val="auto"/>
        </w:rPr>
        <w:t>Date: January 5,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17145</wp:posOffset>
            </wp:positionV>
            <wp:extent cx="41376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37660" cy="5715"/>
                    </a:xfrm>
                    <a:prstGeom prst="rect">
                      <a:avLst/>
                    </a:prstGeom>
                    <a:noFill/>
                  </pic:spPr>
                </pic:pic>
              </a:graphicData>
            </a:graphic>
          </wp:anchor>
        </w:drawing>
      </w:r>
    </w:p>
    <w:p>
      <w:pPr>
        <w:spacing w:after="0" w:line="1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color w:val="auto"/>
        </w:rPr>
        <w:t>Name: Dennis Mulroy</w:t>
      </w:r>
    </w:p>
    <w:p>
      <w:pPr>
        <w:spacing w:after="0" w:line="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color w:val="auto"/>
        </w:rPr>
        <w:t>Title: Chief Financial Officer</w:t>
      </w:r>
    </w:p>
    <w:p>
      <w:pPr>
        <w:sectPr>
          <w:pgSz w:w="11900" w:h="16838" w:orient="portrait"/>
          <w:cols w:equalWidth="0" w:num="1">
            <w:col w:w="10159"/>
          </w:cols>
          <w:pgMar w:left="300" w:top="987"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2024-01-05T15:15:44Z</dcterms:created>
  <dcterms:modified xsi:type="dcterms:W3CDTF">2024-01-05T15:15:44Z</dcterms:modified>
</cp:coreProperties>
</file>