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68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832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1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Suria Hamza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12/20/2021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159"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1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70"/>
              <w:spacing w:after="0"/>
              <w:rPr>
                <w:sz w:val="20"/>
                <w:szCs w:val="20"/>
                <w:color w:val="auto"/>
              </w:rPr>
            </w:pPr>
            <w:r>
              <w:rPr>
                <w:rFonts w:ascii="Arial" w:cs="Arial" w:eastAsia="Arial" w:hAnsi="Arial"/>
                <w:sz w:val="17"/>
                <w:szCs w:val="17"/>
                <w:color w:val="0000FF"/>
                <w:w w:val="89"/>
              </w:rPr>
              <w:t>12/20/2021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36,645</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3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1.12</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105,245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12/20/2021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11,915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34.8935</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93,330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12/20/2021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19,208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35.7547</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74,122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12/20/2021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5,522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36.4046</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68,600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36,645</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vMerge w:val="restart"/>
          </w:tcPr>
          <w:p>
            <w:pPr>
              <w:ind w:left="320"/>
              <w:spacing w:after="0" w:line="266"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(6)</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1.12</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12/20/2021</w:t>
            </w:r>
          </w:p>
        </w:tc>
        <w:tc>
          <w:tcPr>
            <w:tcW w:w="1140" w:type="dxa"/>
            <w:vAlign w:val="bottom"/>
          </w:tcPr>
          <w:p>
            <w:pPr>
              <w:spacing w:after="0"/>
              <w:rPr>
                <w:sz w:val="10"/>
                <w:szCs w:val="10"/>
                <w:color w:val="auto"/>
              </w:rPr>
            </w:pPr>
          </w:p>
        </w:tc>
        <w:tc>
          <w:tcPr>
            <w:tcW w:w="44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00" w:type="dxa"/>
            <w:vAlign w:val="bottom"/>
          </w:tcPr>
          <w:p>
            <w:pPr>
              <w:ind w:left="320"/>
              <w:spacing w:after="0" w:line="125" w:lineRule="exact"/>
              <w:rPr>
                <w:sz w:val="20"/>
                <w:szCs w:val="20"/>
                <w:color w:val="auto"/>
              </w:rPr>
            </w:pPr>
            <w:r>
              <w:rPr>
                <w:rFonts w:ascii="Arial" w:cs="Arial" w:eastAsia="Arial" w:hAnsi="Arial"/>
                <w:sz w:val="13"/>
                <w:szCs w:val="13"/>
                <w:color w:val="0000FF"/>
                <w:w w:val="90"/>
              </w:rPr>
              <w:t>36,645</w:t>
            </w: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01/31/2022</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$34.25 to $35.23,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2"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$35.26 to $36.25,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2"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$36.26 to $36.52,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grant was issued on February 1, 2012, is fully vested and exercisable until its expiration date of January 31, 2022.</w:t>
      </w:r>
    </w:p>
    <w:p>
      <w:pPr>
        <w:spacing w:after="0" w:line="43"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0 shares of common stock as set forth in Table II above, the Reporting Person also holds (i) additional options to purchase up to an aggregate of 1,118,893 shares of common stock, which options vest according to their terms, and (ii) 68,600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Eric Loumeau, Attorney-in-</w:t>
      </w:r>
      <w:r>
        <w:rPr>
          <w:sz w:val="20"/>
          <w:szCs w:val="20"/>
          <w:color w:val="auto"/>
        </w:rPr>
        <w:tab/>
      </w:r>
      <w:r>
        <w:rPr>
          <w:rFonts w:ascii="Arial" w:cs="Arial" w:eastAsia="Arial" w:hAnsi="Arial"/>
          <w:sz w:val="22"/>
          <w:szCs w:val="22"/>
          <w:color w:val="0000FF"/>
          <w:vertAlign w:val="subscript"/>
        </w:rPr>
        <w:t>12/22/2021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1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2021-12-22T17:43:26Z</dcterms:created>
  <dcterms:modified xsi:type="dcterms:W3CDTF">2021-12-22T17:43:26Z</dcterms:modified>
</cp:coreProperties>
</file>