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6992620" cy="48958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895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9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9"/>
                </w:rPr>
                <w:t>Orwin John A</w:t>
              </w:r>
            </w:hyperlink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ANAPTYSBIO,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ANAB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09/15/2025</w:t>
            </w: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ANAPTYSBIO, INC.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10770 WATERIDGE CIRCLE, SUITE 210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92121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09/15/2025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1,300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 w:line="3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3"/>
                <w:szCs w:val="33"/>
                <w:color w:val="000000"/>
                <w:w w:val="88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w w:val="88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10,665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09/15/2025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1,300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1,300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1,300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-2018030</wp:posOffset>
            </wp:positionV>
            <wp:extent cx="29210" cy="202311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23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award ("RSU") represents a contingent right to receive 1 share of the Issuer's Common Stock upon settlement for no consideration.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540" w:firstLine="3"/>
        <w:spacing w:after="0" w:line="250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RSUs shall vest as to 1/3 of the total shares on September 15, 2024, and thereafter vests as to 1/3 of the total RSUs on September 15, 2025; and as to 1/3 of the total RSUs on September 15, 2026, subject to the provision of services to the Company on each vesting date.</w:t>
      </w:r>
    </w:p>
    <w:p>
      <w:pPr>
        <w:ind w:left="6600"/>
        <w:spacing w:after="0" w:line="18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Eric Loumeau, Attorney-in- </w:t>
      </w:r>
      <w:r>
        <w:rPr>
          <w:rFonts w:ascii="Times New Roman" w:cs="Times New Roman" w:eastAsia="Times New Roman" w:hAnsi="Times New Roman"/>
          <w:sz w:val="32"/>
          <w:szCs w:val="32"/>
          <w:color w:val="0000FF"/>
          <w:vertAlign w:val="subscript"/>
        </w:rPr>
        <w:t>09/17/2025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-26670</wp:posOffset>
            </wp:positionV>
            <wp:extent cx="13290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90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-19685</wp:posOffset>
            </wp:positionV>
            <wp:extent cx="1847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5582920</wp:posOffset>
            </wp:positionH>
            <wp:positionV relativeFrom="paragraph">
              <wp:posOffset>-85725</wp:posOffset>
            </wp:positionV>
            <wp:extent cx="48895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477384" TargetMode="External"/><Relationship Id="rId14" Type="http://schemas.openxmlformats.org/officeDocument/2006/relationships/hyperlink" Target="http://www.sec.gov/cgi-bin/browse-edgar?action=getcompany&amp;CIK=00013700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2025-09-17T15:10:55Z</dcterms:created>
  <dcterms:modified xsi:type="dcterms:W3CDTF">2025-09-17T15:10:55Z</dcterms:modified>
</cp:coreProperties>
</file>