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Arial" w:cs="Arial" w:eastAsia="Arial" w:hAnsi="Arial"/>
          <w:sz w:val="13"/>
          <w:szCs w:val="13"/>
          <w:b w:val="1"/>
          <w:bCs w:val="1"/>
          <w:color w:val="auto"/>
        </w:rPr>
        <w:t>UNITED STATES</w:t>
      </w:r>
    </w:p>
    <w:p>
      <w:pPr>
        <w:spacing w:after="0" w:line="20"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CURRENT REPORT PURSUANT 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Report: November 8, 2022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earliest event reported)</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ANAPTYSBIO,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Charter)</w:t>
      </w:r>
    </w:p>
    <w:p>
      <w:pPr>
        <w:sectPr>
          <w:pgSz w:w="11900" w:h="16838" w:orient="portrait"/>
          <w:cols w:equalWidth="0" w:num="1">
            <w:col w:w="11300"/>
          </w:cols>
          <w:pgMar w:left="300" w:top="1061" w:right="299" w:bottom="1440" w:gutter="0" w:footer="0" w:header="0"/>
        </w:sectPr>
      </w:pPr>
    </w:p>
    <w:p>
      <w:pPr>
        <w:spacing w:after="0" w:line="188" w:lineRule="exact"/>
        <w:rPr>
          <w:sz w:val="24"/>
          <w:szCs w:val="24"/>
          <w:color w:val="auto"/>
        </w:rPr>
      </w:pPr>
    </w:p>
    <w:p>
      <w:pPr>
        <w:ind w:left="17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360"/>
        <w:spacing w:after="0"/>
        <w:rPr>
          <w:sz w:val="20"/>
          <w:szCs w:val="20"/>
          <w:color w:val="auto"/>
        </w:rPr>
      </w:pPr>
      <w:r>
        <w:rPr>
          <w:rFonts w:ascii="Arial" w:cs="Arial" w:eastAsia="Arial" w:hAnsi="Arial"/>
          <w:sz w:val="11"/>
          <w:szCs w:val="11"/>
          <w:b w:val="1"/>
          <w:bCs w:val="1"/>
          <w:color w:val="auto"/>
        </w:rPr>
        <w:t>001-37985</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20-3828755</w:t>
      </w:r>
    </w:p>
    <w:p>
      <w:pPr>
        <w:spacing w:after="0" w:line="48" w:lineRule="exact"/>
        <w:rPr>
          <w:sz w:val="24"/>
          <w:szCs w:val="24"/>
          <w:color w:val="auto"/>
        </w:rPr>
      </w:pPr>
    </w:p>
    <w:p>
      <w:pPr>
        <w:sectPr>
          <w:pgSz w:w="11900" w:h="16838" w:orient="portrait"/>
          <w:cols w:equalWidth="0" w:num="3">
            <w:col w:w="4680" w:space="720"/>
            <w:col w:w="2920" w:space="720"/>
            <w:col w:w="2260"/>
          </w:cols>
          <w:pgMar w:left="300" w:top="1061" w:right="299" w:bottom="1440" w:gutter="0" w:footer="0" w:header="0"/>
          <w:type w:val="continuous"/>
        </w:sectPr>
      </w:pPr>
    </w:p>
    <w:p>
      <w:pPr>
        <w:ind w:left="7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61" w:right="299" w:bottom="1440" w:gutter="0" w:footer="0" w:header="0"/>
          <w:type w:val="continuous"/>
        </w:sectPr>
      </w:pPr>
    </w:p>
    <w:p>
      <w:pPr>
        <w:spacing w:after="0" w:line="36" w:lineRule="exact"/>
        <w:rPr>
          <w:sz w:val="24"/>
          <w:szCs w:val="24"/>
          <w:color w:val="auto"/>
        </w:rPr>
      </w:pPr>
    </w:p>
    <w:p>
      <w:pPr>
        <w:ind w:left="4680"/>
        <w:spacing w:after="0"/>
        <w:rPr>
          <w:sz w:val="20"/>
          <w:szCs w:val="20"/>
          <w:color w:val="auto"/>
        </w:rPr>
      </w:pPr>
      <w:r>
        <w:rPr>
          <w:rFonts w:ascii="Arial" w:cs="Arial" w:eastAsia="Arial" w:hAnsi="Arial"/>
          <w:sz w:val="13"/>
          <w:szCs w:val="13"/>
          <w:b w:val="1"/>
          <w:bCs w:val="1"/>
          <w:color w:val="auto"/>
        </w:rPr>
        <w:t>10770 Wateridge Circle, Suite 210,</w:t>
      </w:r>
    </w:p>
    <w:p>
      <w:pPr>
        <w:spacing w:after="0" w:line="20"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San Diego, CA 92121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8"/>
          <w:szCs w:val="8"/>
          <w:color w:val="auto"/>
        </w:rPr>
        <w:t>(Address of Principal Executive Offices, and Zip Code)</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(858) 362-6295</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8"/>
          <w:szCs w:val="8"/>
          <w:color w:val="auto"/>
        </w:rPr>
        <w:t>(Registrant’s Telephone Number, Including Area Code)</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8"/>
          <w:szCs w:val="8"/>
          <w:color w:val="auto"/>
        </w:rPr>
        <w:t>(Former name or former address, if changed since last report.)</w:t>
      </w:r>
    </w:p>
    <w:p>
      <w:pPr>
        <w:sectPr>
          <w:pgSz w:w="11900" w:h="16838" w:orient="portrait"/>
          <w:cols w:equalWidth="0" w:num="1">
            <w:col w:w="11300"/>
          </w:cols>
          <w:pgMar w:left="300" w:top="1061" w:right="29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Written communication pursuant to Rule 425 under the Securities Act (17 CFR 230.425)</w:t>
      </w:r>
    </w:p>
    <w:p>
      <w:pPr>
        <w:spacing w:after="0" w:line="38"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Pre-commencement communication pursuant to Rule 13e-4(c) under the Exchange Act (17 CFR 240.13e-4(c))</w:t>
      </w:r>
    </w:p>
    <w:p>
      <w:pPr>
        <w:spacing w:after="0" w:line="68"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76" w:lineRule="exact"/>
        <w:rPr>
          <w:sz w:val="24"/>
          <w:szCs w:val="24"/>
          <w:color w:val="auto"/>
        </w:rPr>
      </w:pPr>
    </w:p>
    <w:tbl>
      <w:tblPr>
        <w:tblLayout w:type="fixed"/>
        <w:tblInd w:w="190" w:type="dxa"/>
        <w:tblCellMar>
          <w:top w:w="0" w:type="dxa"/>
          <w:left w:w="0" w:type="dxa"/>
          <w:bottom w:w="0" w:type="dxa"/>
          <w:right w:w="0" w:type="dxa"/>
        </w:tblCellMar>
      </w:tblPr>
      <w:tr>
        <w:trPr>
          <w:trHeight w:val="162"/>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 registered</w:t>
            </w: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2"/>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ANAB</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The Nasdaq Stock Market LLC</w:t>
            </w: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28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0" w:lineRule="exact"/>
        <w:rPr>
          <w:sz w:val="24"/>
          <w:szCs w:val="24"/>
          <w:color w:val="auto"/>
        </w:rPr>
      </w:pPr>
    </w:p>
    <w:p>
      <w:pPr>
        <w:ind w:left="98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2"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574675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1" w:right="299" w:bottom="1440" w:gutter="0" w:footer="0" w:header="0"/>
          <w:type w:val="continuous"/>
        </w:sectPr>
      </w:pPr>
    </w:p>
    <w:bookmarkStart w:id="1" w:name="page2"/>
    <w:bookmarkEnd w:id="1"/>
    <w:p>
      <w:pPr>
        <w:spacing w:after="0"/>
        <w:tabs>
          <w:tab w:leader="none" w:pos="64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52"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On November 8, 2022, AnaptysBio, Inc. (“AnaptysBio”) issued a press release announcing its financial results for the three and nine months ended September 30, 2022. A copy of the press release is attached as Exhibit 99.1 to this Current Report on Form 8-K.</w:t>
      </w:r>
    </w:p>
    <w:p>
      <w:pPr>
        <w:spacing w:after="0" w:line="139" w:lineRule="exact"/>
        <w:rPr>
          <w:sz w:val="20"/>
          <w:szCs w:val="20"/>
          <w:color w:val="auto"/>
        </w:rPr>
      </w:pPr>
    </w:p>
    <w:p>
      <w:pPr>
        <w:ind w:right="120"/>
        <w:spacing w:after="0" w:line="287" w:lineRule="auto"/>
        <w:rPr>
          <w:sz w:val="20"/>
          <w:szCs w:val="20"/>
          <w:color w:val="auto"/>
        </w:rPr>
      </w:pPr>
      <w:r>
        <w:rPr>
          <w:rFonts w:ascii="Arial" w:cs="Arial" w:eastAsia="Arial" w:hAnsi="Arial"/>
          <w:sz w:val="12"/>
          <w:szCs w:val="12"/>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28"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2"/>
          <w:szCs w:val="12"/>
          <w:b w:val="1"/>
          <w:bCs w:val="1"/>
          <w:color w:val="auto"/>
        </w:rPr>
        <w:t>Regulation FD.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On November 8, 2022, AnaptysBio updated its corporate investor presentation, a full copy of which is attached hereto as Exhibit 99.2.</w:t>
      </w:r>
    </w:p>
    <w:p>
      <w:pPr>
        <w:spacing w:after="0" w:line="157" w:lineRule="exact"/>
        <w:rPr>
          <w:sz w:val="20"/>
          <w:szCs w:val="20"/>
          <w:color w:val="auto"/>
        </w:rPr>
      </w:pPr>
    </w:p>
    <w:p>
      <w:pPr>
        <w:jc w:val="both"/>
        <w:ind w:right="100"/>
        <w:spacing w:after="0" w:line="265" w:lineRule="auto"/>
        <w:rPr>
          <w:sz w:val="20"/>
          <w:szCs w:val="20"/>
          <w:color w:val="auto"/>
        </w:rPr>
      </w:pPr>
      <w:r>
        <w:rPr>
          <w:rFonts w:ascii="Arial" w:cs="Arial" w:eastAsia="Arial" w:hAnsi="Arial"/>
          <w:sz w:val="13"/>
          <w:szCs w:val="13"/>
          <w:color w:val="auto"/>
        </w:rPr>
        <w:t>The information in this item 7.01, including Exhibit 99.2, shall not be deemed “filed” for purposes of Section 18 of the Securities Exchange Act of 1934, as amended (the “Exchange Act”), or otherwise subject to the liabilities of that section, nor shall it be deemed incorporated by reference into any other filing under the Exchange Act or Securities Act of 1933, as amended, except as expressly set forth by specific reference in such a filing.</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00" w:type="dxa"/>
            <w:vAlign w:val="bottom"/>
            <w:gridSpan w:val="2"/>
          </w:tcPr>
          <w:p>
            <w:pPr>
              <w:spacing w:after="0"/>
              <w:rPr>
                <w:sz w:val="20"/>
                <w:szCs w:val="20"/>
                <w:color w:val="auto"/>
              </w:rPr>
            </w:pPr>
            <w:r>
              <w:rPr>
                <w:rFonts w:ascii="Arial" w:cs="Arial" w:eastAsia="Arial" w:hAnsi="Arial"/>
                <w:sz w:val="13"/>
                <w:szCs w:val="13"/>
                <w:color w:val="auto"/>
              </w:rPr>
              <w:t>(d) Exhibits</w:t>
            </w:r>
          </w:p>
        </w:tc>
        <w:tc>
          <w:tcPr>
            <w:tcW w:w="9600" w:type="dxa"/>
            <w:vAlign w:val="bottom"/>
          </w:tcPr>
          <w:p>
            <w:pPr>
              <w:spacing w:after="0"/>
              <w:rPr>
                <w:sz w:val="14"/>
                <w:szCs w:val="14"/>
                <w:color w:val="auto"/>
              </w:rPr>
            </w:pPr>
          </w:p>
        </w:tc>
      </w:tr>
      <w:tr>
        <w:trPr>
          <w:trHeight w:val="351"/>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Exhibit Number</w:t>
            </w:r>
          </w:p>
        </w:tc>
        <w:tc>
          <w:tcPr>
            <w:tcW w:w="9600" w:type="dxa"/>
            <w:vAlign w:val="bottom"/>
          </w:tcPr>
          <w:p>
            <w:pPr>
              <w:ind w:left="780"/>
              <w:spacing w:after="0"/>
              <w:rPr>
                <w:sz w:val="20"/>
                <w:szCs w:val="20"/>
                <w:color w:val="auto"/>
              </w:rPr>
            </w:pPr>
            <w:r>
              <w:rPr>
                <w:rFonts w:ascii="Arial" w:cs="Arial" w:eastAsia="Arial" w:hAnsi="Arial"/>
                <w:sz w:val="13"/>
                <w:szCs w:val="13"/>
                <w:b w:val="1"/>
                <w:bCs w:val="1"/>
                <w:color w:val="auto"/>
              </w:rPr>
              <w:t>Exhibit Title or Description</w:t>
            </w:r>
          </w:p>
        </w:tc>
      </w:tr>
      <w:tr>
        <w:trPr>
          <w:trHeight w:val="160"/>
        </w:trPr>
        <w:tc>
          <w:tcPr>
            <w:tcW w:w="24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99.</w:t>
            </w:r>
            <w:r>
              <w:rPr>
                <w:rFonts w:ascii="Arial" w:cs="Arial" w:eastAsia="Arial" w:hAnsi="Arial"/>
                <w:sz w:val="13"/>
                <w:szCs w:val="13"/>
                <w:u w:val="single" w:color="auto"/>
                <w:color w:val="0000FF"/>
                <w:w w:val="86"/>
              </w:rPr>
              <w:t>1</w:t>
            </w:r>
          </w:p>
        </w:tc>
        <w:tc>
          <w:tcPr>
            <w:tcW w:w="1460" w:type="dxa"/>
            <w:vAlign w:val="bottom"/>
          </w:tcPr>
          <w:p>
            <w:pPr>
              <w:spacing w:after="0"/>
              <w:rPr>
                <w:sz w:val="13"/>
                <w:szCs w:val="13"/>
                <w:color w:val="auto"/>
              </w:rPr>
            </w:pPr>
          </w:p>
        </w:tc>
        <w:tc>
          <w:tcPr>
            <w:tcW w:w="9600" w:type="dxa"/>
            <w:vAlign w:val="bottom"/>
          </w:tcPr>
          <w:p>
            <w:pPr>
              <w:ind w:left="780"/>
              <w:spacing w:after="0"/>
              <w:rPr>
                <w:sz w:val="20"/>
                <w:szCs w:val="20"/>
                <w:color w:val="auto"/>
              </w:rPr>
            </w:pPr>
            <w:r>
              <w:rPr>
                <w:rFonts w:ascii="Arial" w:cs="Arial" w:eastAsia="Arial" w:hAnsi="Arial"/>
                <w:sz w:val="13"/>
                <w:szCs w:val="13"/>
                <w:color w:val="auto"/>
                <w:w w:val="98"/>
              </w:rPr>
              <w:t>Press release issued by AnaptysBio, Inc. regarding its financial results for the three and nine months ended September 30, 2022, dated November 8, 2022.</w:t>
            </w:r>
          </w:p>
        </w:tc>
      </w:tr>
      <w:tr>
        <w:trPr>
          <w:trHeight w:val="169"/>
        </w:trPr>
        <w:tc>
          <w:tcPr>
            <w:tcW w:w="24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99.</w:t>
            </w:r>
            <w:r>
              <w:rPr>
                <w:rFonts w:ascii="Arial" w:cs="Arial" w:eastAsia="Arial" w:hAnsi="Arial"/>
                <w:sz w:val="13"/>
                <w:szCs w:val="13"/>
                <w:u w:val="single" w:color="auto"/>
                <w:color w:val="0000FF"/>
                <w:w w:val="86"/>
              </w:rPr>
              <w:t>2</w:t>
            </w:r>
          </w:p>
        </w:tc>
        <w:tc>
          <w:tcPr>
            <w:tcW w:w="1460" w:type="dxa"/>
            <w:vAlign w:val="bottom"/>
          </w:tcPr>
          <w:p>
            <w:pPr>
              <w:spacing w:after="0"/>
              <w:rPr>
                <w:sz w:val="14"/>
                <w:szCs w:val="14"/>
                <w:color w:val="auto"/>
              </w:rPr>
            </w:pPr>
          </w:p>
        </w:tc>
        <w:tc>
          <w:tcPr>
            <w:tcW w:w="9600" w:type="dxa"/>
            <w:vAlign w:val="bottom"/>
          </w:tcPr>
          <w:p>
            <w:pPr>
              <w:ind w:left="780"/>
              <w:spacing w:after="0"/>
              <w:rPr>
                <w:sz w:val="20"/>
                <w:szCs w:val="20"/>
                <w:color w:val="auto"/>
              </w:rPr>
            </w:pPr>
            <w:r>
              <w:rPr>
                <w:rFonts w:ascii="Arial" w:cs="Arial" w:eastAsia="Arial" w:hAnsi="Arial"/>
                <w:sz w:val="13"/>
                <w:szCs w:val="13"/>
                <w:color w:val="auto"/>
              </w:rPr>
              <w:t>AnaptysBio Corporate Overview November 2022.</w:t>
            </w:r>
          </w:p>
        </w:tc>
      </w:tr>
      <w:tr>
        <w:trPr>
          <w:trHeight w:val="198"/>
        </w:trPr>
        <w:tc>
          <w:tcPr>
            <w:tcW w:w="240" w:type="dxa"/>
            <w:vAlign w:val="bottom"/>
          </w:tcPr>
          <w:p>
            <w:pPr>
              <w:spacing w:after="0"/>
              <w:rPr>
                <w:sz w:val="20"/>
                <w:szCs w:val="20"/>
                <w:color w:val="auto"/>
              </w:rPr>
            </w:pPr>
            <w:r>
              <w:rPr>
                <w:rFonts w:ascii="Arial" w:cs="Arial" w:eastAsia="Arial" w:hAnsi="Arial"/>
                <w:sz w:val="13"/>
                <w:szCs w:val="13"/>
                <w:color w:val="auto"/>
              </w:rPr>
              <w:t>104</w:t>
            </w:r>
          </w:p>
        </w:tc>
        <w:tc>
          <w:tcPr>
            <w:tcW w:w="1460" w:type="dxa"/>
            <w:vAlign w:val="bottom"/>
          </w:tcPr>
          <w:p>
            <w:pPr>
              <w:spacing w:after="0"/>
              <w:rPr>
                <w:sz w:val="17"/>
                <w:szCs w:val="17"/>
                <w:color w:val="auto"/>
              </w:rPr>
            </w:pPr>
          </w:p>
        </w:tc>
        <w:tc>
          <w:tcPr>
            <w:tcW w:w="9600" w:type="dxa"/>
            <w:vAlign w:val="bottom"/>
          </w:tcPr>
          <w:p>
            <w:pPr>
              <w:ind w:left="780"/>
              <w:spacing w:after="0"/>
              <w:rPr>
                <w:sz w:val="20"/>
                <w:szCs w:val="20"/>
                <w:color w:val="auto"/>
              </w:rPr>
            </w:pPr>
            <w:r>
              <w:rPr>
                <w:rFonts w:ascii="Arial" w:cs="Arial" w:eastAsia="Arial" w:hAnsi="Arial"/>
                <w:sz w:val="13"/>
                <w:szCs w:val="13"/>
                <w:color w:val="auto"/>
              </w:rPr>
              <w:t>Cover Page Interactive Data File (the cover page XBRL tags are embedded within the inline XBRL document).</w:t>
            </w:r>
          </w:p>
        </w:tc>
      </w:tr>
      <w:tr>
        <w:trPr>
          <w:trHeight w:val="1717"/>
        </w:trPr>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2" w:name="page3"/>
    <w:bookmarkEnd w:id="2"/>
    <w:p>
      <w:pPr>
        <w:ind w:left="5220"/>
        <w:spacing w:after="0"/>
        <w:rPr>
          <w:sz w:val="20"/>
          <w:szCs w:val="20"/>
          <w:color w:val="auto"/>
        </w:rPr>
      </w:pPr>
      <w:r>
        <w:rPr>
          <w:rFonts w:ascii="Arial" w:cs="Arial" w:eastAsia="Arial" w:hAnsi="Arial"/>
          <w:sz w:val="13"/>
          <w:szCs w:val="13"/>
          <w:b w:val="1"/>
          <w:bCs w:val="1"/>
          <w:color w:val="auto"/>
        </w:rPr>
        <w:t>SIGNATURES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AnaptysBio, Inc.</w:t>
      </w:r>
    </w:p>
    <w:p>
      <w:pPr>
        <w:spacing w:after="0" w:line="22" w:lineRule="exact"/>
        <w:rPr>
          <w:sz w:val="20"/>
          <w:szCs w:val="20"/>
          <w:color w:val="auto"/>
        </w:rPr>
      </w:pPr>
    </w:p>
    <w:p>
      <w:pPr>
        <w:spacing w:after="0"/>
        <w:tabs>
          <w:tab w:leader="none" w:pos="4220" w:val="left"/>
          <w:tab w:leader="none" w:pos="4780" w:val="left"/>
        </w:tabs>
        <w:rPr>
          <w:sz w:val="20"/>
          <w:szCs w:val="20"/>
          <w:color w:val="auto"/>
        </w:rPr>
      </w:pPr>
      <w:r>
        <w:rPr>
          <w:rFonts w:ascii="Arial" w:cs="Arial" w:eastAsia="Arial" w:hAnsi="Arial"/>
          <w:sz w:val="13"/>
          <w:szCs w:val="13"/>
          <w:color w:val="auto"/>
        </w:rPr>
        <w:t>Date: November 8,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14605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Name: Dennis Mulroy</w:t>
      </w:r>
    </w:p>
    <w:p>
      <w:pPr>
        <w:spacing w:after="0" w:line="31" w:lineRule="exact"/>
        <w:rPr>
          <w:sz w:val="20"/>
          <w:szCs w:val="20"/>
          <w:color w:val="auto"/>
        </w:rPr>
      </w:pPr>
    </w:p>
    <w:p>
      <w:pPr>
        <w:ind w:left="4800"/>
        <w:spacing w:after="0"/>
        <w:rPr>
          <w:sz w:val="20"/>
          <w:szCs w:val="20"/>
          <w:color w:val="auto"/>
        </w:rPr>
      </w:pPr>
      <w:r>
        <w:rPr>
          <w:rFonts w:ascii="Arial" w:cs="Arial" w:eastAsia="Arial" w:hAnsi="Arial"/>
          <w:sz w:val="13"/>
          <w:szCs w:val="13"/>
          <w:color w:val="auto"/>
        </w:rPr>
        <w:t>Title: Chief Financial Officer</w:t>
      </w:r>
    </w:p>
    <w:p>
      <w:pPr>
        <w:sectPr>
          <w:pgSz w:w="11900" w:h="16838" w:orient="portrait"/>
          <w:cols w:equalWidth="0" w:num="1">
            <w:col w:w="10159"/>
          </w:cols>
          <w:pgMar w:left="300" w:top="989" w:right="1440" w:bottom="1440" w:gutter="0" w:footer="0" w:header="0"/>
        </w:sectPr>
      </w:pPr>
    </w:p>
    <w:bookmarkStart w:id="3" w:name="page4"/>
    <w:bookmarkEnd w:id="3"/>
    <w:p>
      <w:pPr>
        <w:jc w:val="center"/>
        <w:ind w:right="-27"/>
        <w:spacing w:after="0"/>
        <w:rPr>
          <w:sz w:val="20"/>
          <w:szCs w:val="20"/>
          <w:color w:val="auto"/>
        </w:rPr>
      </w:pPr>
      <w:r>
        <w:rPr>
          <w:rFonts w:ascii="Arial" w:cs="Arial" w:eastAsia="Arial" w:hAnsi="Arial"/>
          <w:sz w:val="17"/>
          <w:szCs w:val="17"/>
          <w:b w:val="1"/>
          <w:bCs w:val="1"/>
          <w:color w:val="auto"/>
        </w:rPr>
        <w:t>AnaptysBio Announces Third Quarter 2022 Financial Results and</w:t>
      </w:r>
    </w:p>
    <w:p>
      <w:pPr>
        <w:spacing w:after="0" w:line="21" w:lineRule="exact"/>
        <w:rPr>
          <w:sz w:val="20"/>
          <w:szCs w:val="20"/>
          <w:color w:val="auto"/>
        </w:rPr>
      </w:pPr>
    </w:p>
    <w:p>
      <w:pPr>
        <w:jc w:val="center"/>
        <w:ind w:right="-27"/>
        <w:spacing w:after="0"/>
        <w:rPr>
          <w:sz w:val="20"/>
          <w:szCs w:val="20"/>
          <w:color w:val="auto"/>
        </w:rPr>
      </w:pPr>
      <w:r>
        <w:rPr>
          <w:rFonts w:ascii="Arial" w:cs="Arial" w:eastAsia="Arial" w:hAnsi="Arial"/>
          <w:sz w:val="17"/>
          <w:szCs w:val="17"/>
          <w:b w:val="1"/>
          <w:bCs w:val="1"/>
          <w:color w:val="auto"/>
        </w:rPr>
        <w:t>Provides Pipeline Update</w:t>
      </w:r>
    </w:p>
    <w:p>
      <w:pPr>
        <w:spacing w:after="0" w:line="43" w:lineRule="exact"/>
        <w:rPr>
          <w:sz w:val="20"/>
          <w:szCs w:val="20"/>
          <w:color w:val="auto"/>
        </w:rPr>
      </w:pPr>
    </w:p>
    <w:p>
      <w:pPr>
        <w:ind w:left="208" w:hanging="208"/>
        <w:spacing w:after="0"/>
        <w:tabs>
          <w:tab w:leader="none" w:pos="208" w:val="left"/>
        </w:tabs>
        <w:numPr>
          <w:ilvl w:val="0"/>
          <w:numId w:val="1"/>
        </w:numPr>
        <w:rPr>
          <w:rFonts w:ascii="Arial" w:cs="Arial" w:eastAsia="Arial" w:hAnsi="Arial"/>
          <w:sz w:val="13"/>
          <w:szCs w:val="13"/>
          <w:color w:val="auto"/>
        </w:rPr>
      </w:pPr>
      <w:r>
        <w:rPr>
          <w:rFonts w:ascii="Arial" w:cs="Arial" w:eastAsia="Arial" w:hAnsi="Arial"/>
          <w:sz w:val="13"/>
          <w:szCs w:val="13"/>
          <w:color w:val="auto"/>
        </w:rPr>
        <w:t>Anticipate Rosnilimab, our anti-PD-1 agonist antibody, top-line data in the ongoing AZURE Phase 2 trial in moderate-to-severe alopecia areata in Q1 2023</w:t>
      </w:r>
    </w:p>
    <w:p>
      <w:pPr>
        <w:spacing w:after="0" w:line="57" w:lineRule="exact"/>
        <w:rPr>
          <w:rFonts w:ascii="Arial" w:cs="Arial" w:eastAsia="Arial" w:hAnsi="Arial"/>
          <w:sz w:val="13"/>
          <w:szCs w:val="13"/>
          <w:color w:val="auto"/>
        </w:rPr>
      </w:pPr>
    </w:p>
    <w:p>
      <w:pPr>
        <w:ind w:left="208" w:hanging="208"/>
        <w:spacing w:after="0"/>
        <w:tabs>
          <w:tab w:leader="none" w:pos="208" w:val="left"/>
        </w:tabs>
        <w:numPr>
          <w:ilvl w:val="0"/>
          <w:numId w:val="1"/>
        </w:numPr>
        <w:rPr>
          <w:rFonts w:ascii="Arial" w:cs="Arial" w:eastAsia="Arial" w:hAnsi="Arial"/>
          <w:sz w:val="13"/>
          <w:szCs w:val="13"/>
          <w:color w:val="auto"/>
        </w:rPr>
      </w:pPr>
      <w:r>
        <w:rPr>
          <w:rFonts w:ascii="Arial" w:cs="Arial" w:eastAsia="Arial" w:hAnsi="Arial"/>
          <w:sz w:val="13"/>
          <w:szCs w:val="13"/>
          <w:color w:val="auto"/>
        </w:rPr>
        <w:t>Anticipate ANB032, our anti-BTLA agonist antibody, U.S. IND submission for a Phase 2 trial in Q4 2022</w:t>
      </w:r>
    </w:p>
    <w:p>
      <w:pPr>
        <w:spacing w:after="0" w:line="57" w:lineRule="exact"/>
        <w:rPr>
          <w:rFonts w:ascii="Arial" w:cs="Arial" w:eastAsia="Arial" w:hAnsi="Arial"/>
          <w:sz w:val="13"/>
          <w:szCs w:val="13"/>
          <w:color w:val="auto"/>
        </w:rPr>
      </w:pPr>
    </w:p>
    <w:p>
      <w:pPr>
        <w:ind w:left="208" w:hanging="208"/>
        <w:spacing w:after="0"/>
        <w:tabs>
          <w:tab w:leader="none" w:pos="208" w:val="left"/>
        </w:tabs>
        <w:numPr>
          <w:ilvl w:val="0"/>
          <w:numId w:val="1"/>
        </w:numPr>
        <w:rPr>
          <w:rFonts w:ascii="Arial" w:cs="Arial" w:eastAsia="Arial" w:hAnsi="Arial"/>
          <w:sz w:val="13"/>
          <w:szCs w:val="13"/>
          <w:color w:val="auto"/>
        </w:rPr>
      </w:pPr>
      <w:r>
        <w:rPr>
          <w:rFonts w:ascii="Arial" w:cs="Arial" w:eastAsia="Arial" w:hAnsi="Arial"/>
          <w:sz w:val="13"/>
          <w:szCs w:val="13"/>
          <w:color w:val="auto"/>
        </w:rPr>
        <w:t>Announced our third wholly owned immune cell modulator program, ANB033, our anti-CD122 antagonist antibody, with a U.S. IND submission for a Phase 1 trial in 1H 2024</w:t>
      </w:r>
    </w:p>
    <w:p>
      <w:pPr>
        <w:spacing w:after="0" w:line="57" w:lineRule="exact"/>
        <w:rPr>
          <w:rFonts w:ascii="Arial" w:cs="Arial" w:eastAsia="Arial" w:hAnsi="Arial"/>
          <w:sz w:val="13"/>
          <w:szCs w:val="13"/>
          <w:color w:val="auto"/>
        </w:rPr>
      </w:pPr>
    </w:p>
    <w:p>
      <w:pPr>
        <w:ind w:left="208" w:hanging="208"/>
        <w:spacing w:after="0"/>
        <w:tabs>
          <w:tab w:leader="none" w:pos="208"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Sold our interest in future Zejula royalties to a wholly-owned subsidiary of DRI Healthcare Trust for up to $45 million during Q3 2022</w:t>
      </w:r>
    </w:p>
    <w:p>
      <w:pPr>
        <w:spacing w:after="0" w:line="117" w:lineRule="exact"/>
        <w:rPr>
          <w:sz w:val="20"/>
          <w:szCs w:val="20"/>
          <w:color w:val="auto"/>
        </w:rPr>
      </w:pPr>
    </w:p>
    <w:p>
      <w:pPr>
        <w:ind w:left="8" w:right="60"/>
        <w:spacing w:after="0" w:line="292" w:lineRule="auto"/>
        <w:rPr>
          <w:sz w:val="20"/>
          <w:szCs w:val="20"/>
          <w:color w:val="auto"/>
        </w:rPr>
      </w:pPr>
      <w:r>
        <w:rPr>
          <w:rFonts w:ascii="Arial" w:cs="Arial" w:eastAsia="Arial" w:hAnsi="Arial"/>
          <w:sz w:val="13"/>
          <w:szCs w:val="13"/>
          <w:b w:val="1"/>
          <w:bCs w:val="1"/>
          <w:color w:val="auto"/>
        </w:rPr>
        <w:t xml:space="preserve">SAN DIEGO, November 8, 2022 </w:t>
      </w:r>
      <w:r>
        <w:rPr>
          <w:rFonts w:ascii="Arial" w:cs="Arial" w:eastAsia="Arial" w:hAnsi="Arial"/>
          <w:sz w:val="13"/>
          <w:szCs w:val="13"/>
          <w:color w:val="auto"/>
        </w:rPr>
        <w:t>- AnaptysBio, Inc. (Nasdaq: ANAB), a clinical-stage biotechnology company focused on delivering innovative immunology therapeutics, today reported operating results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third quarter ended September 30, 2022 and provided pipeline updates.</w:t>
      </w:r>
    </w:p>
    <w:p>
      <w:pPr>
        <w:spacing w:after="0" w:line="36" w:lineRule="exact"/>
        <w:rPr>
          <w:sz w:val="20"/>
          <w:szCs w:val="20"/>
          <w:color w:val="auto"/>
        </w:rPr>
      </w:pPr>
    </w:p>
    <w:p>
      <w:pPr>
        <w:ind w:left="8" w:right="40"/>
        <w:spacing w:after="0" w:line="265" w:lineRule="auto"/>
        <w:rPr>
          <w:sz w:val="20"/>
          <w:szCs w:val="20"/>
          <w:color w:val="auto"/>
        </w:rPr>
      </w:pPr>
      <w:r>
        <w:rPr>
          <w:rFonts w:ascii="Arial" w:cs="Arial" w:eastAsia="Arial" w:hAnsi="Arial"/>
          <w:sz w:val="13"/>
          <w:szCs w:val="13"/>
          <w:color w:val="auto"/>
        </w:rPr>
        <w:t>“We are excited about the potential of our novel immune cell modulator pipeline, including our two checkpoint agonists in clinical-stage development, rosnilimab and ANB032. We believe their mechanisms of action, acting directly on cell types mediating disease pathology, have the potential to treat a broad range of autoimmune and inflammatory disorders” said Daniel Faga, interim president and chief executive officer of AnaptysBio. “We’re well capitalized to execute with over $590 million in cash at the end of Q3 as we move forward in our strategic portfolio review.”</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3"/>
          <w:szCs w:val="13"/>
          <w:i w:val="1"/>
          <w:iCs w:val="1"/>
          <w:u w:val="single" w:color="auto"/>
          <w:color w:val="auto"/>
        </w:rPr>
        <w:t>Rosnilimab (Anti-PD-1 agonist) Program</w:t>
      </w:r>
    </w:p>
    <w:p>
      <w:pPr>
        <w:spacing w:after="0" w:line="85" w:lineRule="exact"/>
        <w:rPr>
          <w:sz w:val="20"/>
          <w:szCs w:val="20"/>
          <w:color w:val="auto"/>
        </w:rPr>
      </w:pPr>
    </w:p>
    <w:p>
      <w:pPr>
        <w:ind w:left="428" w:hanging="212"/>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Rosnilimab, our investigational wholly owned anti-PD-1 agonist antibody, is in the ongoing AZURE Phase 2 clinical trial in moderate-to-severe alopecia areata, and we anticipate top-line data in Q1 2023.</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3"/>
          <w:szCs w:val="13"/>
          <w:i w:val="1"/>
          <w:iCs w:val="1"/>
          <w:u w:val="single" w:color="auto"/>
          <w:color w:val="auto"/>
        </w:rPr>
        <w:t>ANB032 (Anti-BTLA agonist) Program</w:t>
      </w:r>
    </w:p>
    <w:p>
      <w:pPr>
        <w:spacing w:after="0" w:line="76" w:lineRule="exact"/>
        <w:rPr>
          <w:sz w:val="20"/>
          <w:szCs w:val="20"/>
          <w:color w:val="auto"/>
        </w:rPr>
      </w:pPr>
    </w:p>
    <w:p>
      <w:pPr>
        <w:ind w:left="428" w:hanging="212"/>
        <w:spacing w:after="0"/>
        <w:tabs>
          <w:tab w:leader="none" w:pos="428" w:val="left"/>
        </w:tabs>
        <w:numPr>
          <w:ilvl w:val="0"/>
          <w:numId w:val="3"/>
        </w:numPr>
        <w:rPr>
          <w:rFonts w:ascii="Arial" w:cs="Arial" w:eastAsia="Arial" w:hAnsi="Arial"/>
          <w:sz w:val="13"/>
          <w:szCs w:val="13"/>
          <w:color w:val="auto"/>
        </w:rPr>
      </w:pPr>
      <w:r>
        <w:rPr>
          <w:rFonts w:ascii="Arial" w:cs="Arial" w:eastAsia="Arial" w:hAnsi="Arial"/>
          <w:sz w:val="13"/>
          <w:szCs w:val="13"/>
          <w:color w:val="auto"/>
        </w:rPr>
        <w:t>ANB032, our investigational wholly owned anti-BTLA agonist antibody, will be advancing with a U.S. IND submission for an initial Phase 2 clinical trial in Q4 2022.</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i w:val="1"/>
          <w:iCs w:val="1"/>
          <w:u w:val="single" w:color="auto"/>
          <w:color w:val="auto"/>
        </w:rPr>
        <w:t>ANB033 (Anti-CD122 antagonist) Program</w:t>
      </w:r>
    </w:p>
    <w:p>
      <w:pPr>
        <w:spacing w:after="0" w:line="76" w:lineRule="exact"/>
        <w:rPr>
          <w:sz w:val="20"/>
          <w:szCs w:val="20"/>
          <w:color w:val="auto"/>
        </w:rPr>
      </w:pPr>
    </w:p>
    <w:p>
      <w:pPr>
        <w:ind w:left="428" w:hanging="212"/>
        <w:spacing w:after="0" w:line="237" w:lineRule="auto"/>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ANB033, our investigational wholly owned anti-CD122 antagonist antibody, targets the common beta subunit shared by the IL-15 and IL-2 receptors. IL-15 signaling mediates the survival and maintenance of tissue resident memory T cells (T</w:t>
      </w:r>
      <w:r>
        <w:rPr>
          <w:rFonts w:ascii="Arial" w:cs="Arial" w:eastAsia="Arial" w:hAnsi="Arial"/>
          <w:sz w:val="17"/>
          <w:szCs w:val="17"/>
          <w:color w:val="auto"/>
          <w:vertAlign w:val="subscript"/>
        </w:rPr>
        <w:t>RM</w:t>
      </w:r>
      <w:r>
        <w:rPr>
          <w:rFonts w:ascii="Arial" w:cs="Arial" w:eastAsia="Arial" w:hAnsi="Arial"/>
          <w:sz w:val="13"/>
          <w:szCs w:val="13"/>
          <w:color w:val="auto"/>
        </w:rPr>
        <w:t>). The presence of long-lived and persistent T</w:t>
      </w:r>
      <w:r>
        <w:rPr>
          <w:rFonts w:ascii="Arial" w:cs="Arial" w:eastAsia="Arial" w:hAnsi="Arial"/>
          <w:sz w:val="17"/>
          <w:szCs w:val="17"/>
          <w:color w:val="auto"/>
          <w:vertAlign w:val="subscript"/>
        </w:rPr>
        <w:t>RM</w:t>
      </w:r>
      <w:r>
        <w:rPr>
          <w:rFonts w:ascii="Arial" w:cs="Arial" w:eastAsia="Arial" w:hAnsi="Arial"/>
          <w:sz w:val="13"/>
          <w:szCs w:val="13"/>
          <w:color w:val="auto"/>
        </w:rPr>
        <w:t xml:space="preserve"> have been shown to drive tissue-specific immune-mediated inflammation. We anticipate submitting a U.S. IND in first half of 2024.</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3"/>
          <w:szCs w:val="13"/>
          <w:i w:val="1"/>
          <w:iCs w:val="1"/>
          <w:u w:val="single" w:color="auto"/>
          <w:color w:val="auto"/>
        </w:rPr>
        <w:t>Imsidolimab (Anti-IL-36 receptor) Program</w:t>
      </w:r>
    </w:p>
    <w:p>
      <w:pPr>
        <w:spacing w:after="0" w:line="85" w:lineRule="exact"/>
        <w:rPr>
          <w:sz w:val="20"/>
          <w:szCs w:val="20"/>
          <w:color w:val="auto"/>
        </w:rPr>
      </w:pPr>
    </w:p>
    <w:p>
      <w:pPr>
        <w:ind w:left="428" w:right="220" w:hanging="212"/>
        <w:spacing w:after="0" w:line="271" w:lineRule="auto"/>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Imsidolimab, our investigational wholly owned anti-IL-36R therapeutic antibody, is in Phase 3 trials in generalized pustular psoriasis (GPP), and we anticipate top-line data from the GEMINI-1 Phase 3 clinical trial in Q4 2023 and plan to outlicense imsidolimab prior to potential FDA approval.</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3"/>
          <w:szCs w:val="13"/>
          <w:i w:val="1"/>
          <w:iCs w:val="1"/>
          <w:u w:val="single" w:color="auto"/>
          <w:color w:val="auto"/>
        </w:rPr>
        <w:t>GSK Partnered Programs</w:t>
      </w:r>
    </w:p>
    <w:p>
      <w:pPr>
        <w:spacing w:after="0" w:line="85" w:lineRule="exact"/>
        <w:rPr>
          <w:sz w:val="20"/>
          <w:szCs w:val="20"/>
          <w:color w:val="auto"/>
        </w:rPr>
      </w:pPr>
    </w:p>
    <w:p>
      <w:pPr>
        <w:ind w:left="428" w:right="300" w:hanging="212"/>
        <w:spacing w:after="0" w:line="271" w:lineRule="auto"/>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PERLA, a head-to head Phase 2 trial of JEMPERLI (dostarlimab) vs. Keytruda in patients with metastatic non-squamous non-small cell lung cancer met its primary endpoint of objective response rate (ORR) of dostarlimab plus chemotherapy versus pembrolizumab plus chemotherapy as assessed by blinded independent central review per RECIST v1.1.</w:t>
      </w:r>
    </w:p>
    <w:p>
      <w:pPr>
        <w:spacing w:after="0" w:line="22" w:lineRule="exact"/>
        <w:rPr>
          <w:rFonts w:ascii="Arial" w:cs="Arial" w:eastAsia="Arial" w:hAnsi="Arial"/>
          <w:sz w:val="13"/>
          <w:szCs w:val="13"/>
          <w:color w:val="auto"/>
        </w:rPr>
      </w:pPr>
    </w:p>
    <w:p>
      <w:pPr>
        <w:ind w:left="868" w:right="240" w:hanging="220"/>
        <w:spacing w:after="0" w:line="263" w:lineRule="auto"/>
        <w:tabs>
          <w:tab w:leader="none" w:pos="861" w:val="left"/>
        </w:tabs>
        <w:numPr>
          <w:ilvl w:val="1"/>
          <w:numId w:val="6"/>
        </w:numPr>
        <w:rPr>
          <w:rFonts w:ascii="Arial" w:cs="Arial" w:eastAsia="Arial" w:hAnsi="Arial"/>
          <w:sz w:val="13"/>
          <w:szCs w:val="13"/>
          <w:color w:val="auto"/>
        </w:rPr>
      </w:pPr>
      <w:r>
        <w:rPr>
          <w:rFonts w:ascii="Arial" w:cs="Arial" w:eastAsia="Arial" w:hAnsi="Arial"/>
          <w:sz w:val="13"/>
          <w:szCs w:val="13"/>
          <w:color w:val="auto"/>
        </w:rPr>
        <w:t>GSK will present full results, including the primary endpoint of ORR and the key secondary endpoint of progression-free survival, at the ESMO Immuno-Oncology Annual Congress on Friday, December 9</w:t>
      </w:r>
      <w:r>
        <w:rPr>
          <w:rFonts w:ascii="Arial" w:cs="Arial" w:eastAsia="Arial" w:hAnsi="Arial"/>
          <w:sz w:val="17"/>
          <w:szCs w:val="17"/>
          <w:color w:val="auto"/>
          <w:vertAlign w:val="superscript"/>
        </w:rPr>
        <w:t>th</w:t>
      </w:r>
      <w:r>
        <w:rPr>
          <w:rFonts w:ascii="Arial" w:cs="Arial" w:eastAsia="Arial" w:hAnsi="Arial"/>
          <w:sz w:val="13"/>
          <w:szCs w:val="13"/>
          <w:color w:val="auto"/>
        </w:rPr>
        <w:t>.</w:t>
      </w:r>
    </w:p>
    <w:p>
      <w:pPr>
        <w:ind w:left="428" w:right="320" w:hanging="212"/>
        <w:spacing w:after="0" w:line="255" w:lineRule="auto"/>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COSTAR, a Phase 2 trial of dostarlimab plus cobolimab, an anti-TIM-3 antagonist antibody, achieved pre-specified efficacy and safety criteria, and GSK is advancing both arms of the COSTAR Lung clinical trial</w:t>
      </w:r>
    </w:p>
    <w:p>
      <w:pPr>
        <w:sectPr>
          <w:pgSz w:w="11900" w:h="16838" w:orient="portrait"/>
          <w:cols w:equalWidth="0" w:num="1">
            <w:col w:w="11268"/>
          </w:cols>
          <w:pgMar w:left="292" w:top="638" w:right="339" w:bottom="1440" w:gutter="0" w:footer="0" w:header="0"/>
        </w:sectPr>
      </w:pPr>
    </w:p>
    <w:bookmarkStart w:id="4" w:name="page5"/>
    <w:bookmarkEnd w:id="4"/>
    <w:p>
      <w:pPr>
        <w:ind w:left="420" w:right="160"/>
        <w:spacing w:after="0" w:line="285" w:lineRule="auto"/>
        <w:rPr>
          <w:sz w:val="20"/>
          <w:szCs w:val="20"/>
          <w:color w:val="auto"/>
        </w:rPr>
      </w:pPr>
      <w:r>
        <w:rPr>
          <w:rFonts w:ascii="Arial" w:cs="Arial" w:eastAsia="Arial" w:hAnsi="Arial"/>
          <w:sz w:val="13"/>
          <w:szCs w:val="13"/>
          <w:color w:val="auto"/>
        </w:rPr>
        <w:t>from Phase 2 to Phase 3, testing both doublet and triplet combinations of dostarlimab plus chemotherapy, and cobolimab plus dostarlimab plus chemotherapy in advanced non-small cell lung cancer who have progressed on prior anti-PD-(L)1 therapy and chemotherapy.</w:t>
      </w:r>
    </w:p>
    <w:p>
      <w:pPr>
        <w:spacing w:after="0" w:line="5" w:lineRule="exact"/>
        <w:rPr>
          <w:sz w:val="20"/>
          <w:szCs w:val="20"/>
          <w:color w:val="auto"/>
        </w:rPr>
      </w:pPr>
    </w:p>
    <w:p>
      <w:pPr>
        <w:ind w:left="840" w:hanging="200"/>
        <w:spacing w:after="0"/>
        <w:tabs>
          <w:tab w:leader="none" w:pos="840" w:val="left"/>
        </w:tabs>
        <w:numPr>
          <w:ilvl w:val="1"/>
          <w:numId w:val="7"/>
        </w:numPr>
        <w:rPr>
          <w:rFonts w:ascii="Arial" w:cs="Arial" w:eastAsia="Arial" w:hAnsi="Arial"/>
          <w:sz w:val="13"/>
          <w:szCs w:val="13"/>
          <w:color w:val="auto"/>
        </w:rPr>
      </w:pPr>
      <w:r>
        <w:rPr>
          <w:rFonts w:ascii="Arial" w:cs="Arial" w:eastAsia="Arial" w:hAnsi="Arial"/>
          <w:sz w:val="13"/>
          <w:szCs w:val="13"/>
          <w:color w:val="auto"/>
        </w:rPr>
        <w:t>Cobolimab was discovered at AnaptysBio and licensed to TESARO, Inc., (GSK) as part of the same collaboration agreement as dostarlimab.</w:t>
      </w:r>
    </w:p>
    <w:p>
      <w:pPr>
        <w:spacing w:after="0" w:line="57" w:lineRule="exact"/>
        <w:rPr>
          <w:rFonts w:ascii="Arial" w:cs="Arial" w:eastAsia="Arial" w:hAnsi="Arial"/>
          <w:sz w:val="13"/>
          <w:szCs w:val="13"/>
          <w:color w:val="auto"/>
        </w:rPr>
      </w:pPr>
    </w:p>
    <w:p>
      <w:pPr>
        <w:ind w:left="840" w:hanging="200"/>
        <w:spacing w:after="0"/>
        <w:tabs>
          <w:tab w:leader="none" w:pos="840" w:val="left"/>
        </w:tabs>
        <w:numPr>
          <w:ilvl w:val="1"/>
          <w:numId w:val="7"/>
        </w:numPr>
        <w:rPr>
          <w:rFonts w:ascii="Arial" w:cs="Arial" w:eastAsia="Arial" w:hAnsi="Arial"/>
          <w:sz w:val="13"/>
          <w:szCs w:val="13"/>
          <w:color w:val="auto"/>
        </w:rPr>
      </w:pPr>
      <w:r>
        <w:rPr>
          <w:rFonts w:ascii="Arial" w:cs="Arial" w:eastAsia="Arial" w:hAnsi="Arial"/>
          <w:sz w:val="13"/>
          <w:szCs w:val="13"/>
          <w:color w:val="auto"/>
        </w:rPr>
        <w:t>AnaptysBio earned a $5 million milestone from GSK in October 2022 on initiation of the first Phase 3 trial with cobolimab.</w:t>
      </w:r>
    </w:p>
    <w:p>
      <w:pPr>
        <w:spacing w:after="0" w:line="57" w:lineRule="exact"/>
        <w:rPr>
          <w:rFonts w:ascii="Arial" w:cs="Arial" w:eastAsia="Arial" w:hAnsi="Arial"/>
          <w:sz w:val="13"/>
          <w:szCs w:val="13"/>
          <w:color w:val="auto"/>
        </w:rPr>
      </w:pPr>
    </w:p>
    <w:p>
      <w:pPr>
        <w:ind w:left="420" w:hanging="212"/>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Sold our royalty interest on future global net sales of Zejula to a wholly-owned subsidiary of DRI Healthcare Trust for up to $45 million during Q3.</w:t>
      </w:r>
    </w:p>
    <w:p>
      <w:pPr>
        <w:spacing w:after="0" w:line="57" w:lineRule="exact"/>
        <w:rPr>
          <w:rFonts w:ascii="Arial" w:cs="Arial" w:eastAsia="Arial" w:hAnsi="Arial"/>
          <w:sz w:val="13"/>
          <w:szCs w:val="13"/>
          <w:color w:val="auto"/>
        </w:rPr>
      </w:pPr>
    </w:p>
    <w:p>
      <w:pPr>
        <w:ind w:left="860" w:hanging="220"/>
        <w:spacing w:after="0" w:line="285" w:lineRule="auto"/>
        <w:tabs>
          <w:tab w:leader="none" w:pos="853" w:val="left"/>
        </w:tabs>
        <w:numPr>
          <w:ilvl w:val="1"/>
          <w:numId w:val="7"/>
        </w:numPr>
        <w:rPr>
          <w:rFonts w:ascii="Arial" w:cs="Arial" w:eastAsia="Arial" w:hAnsi="Arial"/>
          <w:sz w:val="13"/>
          <w:szCs w:val="13"/>
          <w:color w:val="auto"/>
        </w:rPr>
      </w:pPr>
      <w:r>
        <w:rPr>
          <w:rFonts w:ascii="Arial" w:cs="Arial" w:eastAsia="Arial" w:hAnsi="Arial"/>
          <w:sz w:val="13"/>
          <w:szCs w:val="13"/>
          <w:color w:val="auto"/>
        </w:rPr>
        <w:t>Received an upfront payment of $35 million and are eligible for a further $10 million from DRI upon FDA approval of Zejula for the treatment of endometrial cancer, for which the drug is currently in a fully-enrolled ongoing Phase 3 study, to the extent that such approval occurs on or before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Third Quarter Financial Results</w:t>
      </w:r>
    </w:p>
    <w:p>
      <w:pPr>
        <w:spacing w:after="0" w:line="85" w:lineRule="exact"/>
        <w:rPr>
          <w:sz w:val="20"/>
          <w:szCs w:val="20"/>
          <w:color w:val="auto"/>
        </w:rPr>
      </w:pPr>
    </w:p>
    <w:p>
      <w:pPr>
        <w:ind w:left="420" w:right="480" w:hanging="212"/>
        <w:spacing w:after="0" w:line="285" w:lineRule="auto"/>
        <w:tabs>
          <w:tab w:leader="none" w:pos="412" w:val="left"/>
        </w:tabs>
        <w:numPr>
          <w:ilvl w:val="0"/>
          <w:numId w:val="8"/>
        </w:numPr>
        <w:rPr>
          <w:rFonts w:ascii="Arial" w:cs="Arial" w:eastAsia="Arial" w:hAnsi="Arial"/>
          <w:sz w:val="13"/>
          <w:szCs w:val="13"/>
          <w:color w:val="auto"/>
        </w:rPr>
      </w:pPr>
      <w:r>
        <w:rPr>
          <w:rFonts w:ascii="Arial" w:cs="Arial" w:eastAsia="Arial" w:hAnsi="Arial"/>
          <w:sz w:val="13"/>
          <w:szCs w:val="13"/>
          <w:color w:val="auto"/>
        </w:rPr>
        <w:t>Cash, cash equivalents and investments totaled $590.5 million as of September 30, 2022, compared to $615.2 million as of December 31, 2021, for a decrease of $24.7 million. The decrease relates primarily to cash used for operating activities offset by cash received from the Zejula royalty sale and stock option exercises.</w:t>
      </w:r>
    </w:p>
    <w:p>
      <w:pPr>
        <w:spacing w:after="0" w:line="31" w:lineRule="exact"/>
        <w:rPr>
          <w:rFonts w:ascii="Arial" w:cs="Arial" w:eastAsia="Arial" w:hAnsi="Arial"/>
          <w:sz w:val="13"/>
          <w:szCs w:val="13"/>
          <w:color w:val="auto"/>
        </w:rPr>
      </w:pPr>
    </w:p>
    <w:p>
      <w:pPr>
        <w:ind w:left="420" w:right="40" w:hanging="212"/>
        <w:spacing w:after="0" w:line="297" w:lineRule="auto"/>
        <w:tabs>
          <w:tab w:leader="none" w:pos="412" w:val="left"/>
        </w:tabs>
        <w:numPr>
          <w:ilvl w:val="0"/>
          <w:numId w:val="8"/>
        </w:numPr>
        <w:rPr>
          <w:rFonts w:ascii="Arial" w:cs="Arial" w:eastAsia="Arial" w:hAnsi="Arial"/>
          <w:sz w:val="12"/>
          <w:szCs w:val="12"/>
          <w:color w:val="auto"/>
        </w:rPr>
      </w:pPr>
      <w:r>
        <w:rPr>
          <w:rFonts w:ascii="Arial" w:cs="Arial" w:eastAsia="Arial" w:hAnsi="Arial"/>
          <w:sz w:val="12"/>
          <w:szCs w:val="12"/>
          <w:color w:val="auto"/>
        </w:rPr>
        <w:t>Collaboration revenue was $1.3 million and $3.5 million for the three and nine months ended September 30, 2022, compared to $20.9 million and $62.2 million for the three months and nine months ended September 30, 2021. The decrease relates primarily to one development milestone achieved for JEMPERLI for the three months ended September 30, 2021, and four development milestones achieved for JEMPERLI for the nine months ended September 30, 2021, and no development milestones achieved during the nine months ended September 30, 2022.</w:t>
      </w:r>
    </w:p>
    <w:p>
      <w:pPr>
        <w:spacing w:after="0" w:line="36" w:lineRule="exact"/>
        <w:rPr>
          <w:rFonts w:ascii="Arial" w:cs="Arial" w:eastAsia="Arial" w:hAnsi="Arial"/>
          <w:sz w:val="12"/>
          <w:szCs w:val="12"/>
          <w:color w:val="auto"/>
        </w:rPr>
      </w:pPr>
    </w:p>
    <w:p>
      <w:pPr>
        <w:ind w:left="420" w:right="300" w:hanging="212"/>
        <w:spacing w:after="0" w:line="297" w:lineRule="auto"/>
        <w:tabs>
          <w:tab w:leader="none" w:pos="412" w:val="left"/>
        </w:tabs>
        <w:numPr>
          <w:ilvl w:val="0"/>
          <w:numId w:val="8"/>
        </w:numPr>
        <w:rPr>
          <w:rFonts w:ascii="Arial" w:cs="Arial" w:eastAsia="Arial" w:hAnsi="Arial"/>
          <w:sz w:val="12"/>
          <w:szCs w:val="12"/>
          <w:color w:val="auto"/>
        </w:rPr>
      </w:pPr>
      <w:r>
        <w:rPr>
          <w:rFonts w:ascii="Arial" w:cs="Arial" w:eastAsia="Arial" w:hAnsi="Arial"/>
          <w:sz w:val="12"/>
          <w:szCs w:val="12"/>
          <w:color w:val="auto"/>
        </w:rPr>
        <w:t>Research and development expenses were $22.1 million and $65.4 million for the three and nine months ended September 30, 2022, compared to $22.2 million and $71.7 million for the three and nine months ended September 30, 2021. The year-to-date decrease was due primarily to reduced clinical costs and manufacturing costs for the Company’s programs. The R&amp;D non-cash, stock-based compensation expense was $1.5 million and $5.0 million for the three and nine months ended September 30, 2022, as compared to $1.8 million and $4.4 million in the same period in 2021.</w:t>
      </w:r>
    </w:p>
    <w:p>
      <w:pPr>
        <w:spacing w:after="0" w:line="36" w:lineRule="exact"/>
        <w:rPr>
          <w:rFonts w:ascii="Arial" w:cs="Arial" w:eastAsia="Arial" w:hAnsi="Arial"/>
          <w:sz w:val="12"/>
          <w:szCs w:val="12"/>
          <w:color w:val="auto"/>
        </w:rPr>
      </w:pPr>
    </w:p>
    <w:p>
      <w:pPr>
        <w:ind w:left="420" w:hanging="212"/>
        <w:spacing w:after="0" w:line="263" w:lineRule="auto"/>
        <w:tabs>
          <w:tab w:leader="none" w:pos="412" w:val="left"/>
        </w:tabs>
        <w:numPr>
          <w:ilvl w:val="0"/>
          <w:numId w:val="8"/>
        </w:numPr>
        <w:rPr>
          <w:rFonts w:ascii="Arial" w:cs="Arial" w:eastAsia="Arial" w:hAnsi="Arial"/>
          <w:sz w:val="13"/>
          <w:szCs w:val="13"/>
          <w:color w:val="auto"/>
        </w:rPr>
      </w:pPr>
      <w:r>
        <w:rPr>
          <w:rFonts w:ascii="Arial" w:cs="Arial" w:eastAsia="Arial" w:hAnsi="Arial"/>
          <w:sz w:val="13"/>
          <w:szCs w:val="13"/>
          <w:color w:val="auto"/>
        </w:rPr>
        <w:t>General and administrative expenses were $8.9 million and $27.2 million for the three and nine months ended September 30, 2022, compared to $5.4 million and $16.1 million for the three and nine months ended September 30, 2021. The increase was due primarily to $3.8 million of costs incurred from personnel changes in the first quarter of 2022 and non-cash stock compensation expense. The G&amp;A non-cash, stock-based compensation expense was $4.7 million and $15.7 million for the three and nine months ended September 30, 2022, which includes $3.2 million of the $3.8 million one-time costs described earlier as compared to $2.6 million and $7.0 million in the same period in 2021.</w:t>
      </w:r>
    </w:p>
    <w:p>
      <w:pPr>
        <w:spacing w:after="0" w:line="46" w:lineRule="exact"/>
        <w:rPr>
          <w:rFonts w:ascii="Arial" w:cs="Arial" w:eastAsia="Arial" w:hAnsi="Arial"/>
          <w:sz w:val="13"/>
          <w:szCs w:val="13"/>
          <w:color w:val="auto"/>
        </w:rPr>
      </w:pPr>
    </w:p>
    <w:p>
      <w:pPr>
        <w:ind w:left="420" w:right="100" w:hanging="212"/>
        <w:spacing w:after="0" w:line="285" w:lineRule="auto"/>
        <w:tabs>
          <w:tab w:leader="none" w:pos="412" w:val="left"/>
        </w:tabs>
        <w:numPr>
          <w:ilvl w:val="0"/>
          <w:numId w:val="8"/>
        </w:numPr>
        <w:rPr>
          <w:rFonts w:ascii="Arial" w:cs="Arial" w:eastAsia="Arial" w:hAnsi="Arial"/>
          <w:sz w:val="13"/>
          <w:szCs w:val="13"/>
          <w:color w:val="auto"/>
        </w:rPr>
      </w:pPr>
      <w:r>
        <w:rPr>
          <w:rFonts w:ascii="Arial" w:cs="Arial" w:eastAsia="Arial" w:hAnsi="Arial"/>
          <w:sz w:val="13"/>
          <w:szCs w:val="13"/>
          <w:color w:val="auto"/>
        </w:rPr>
        <w:t>Net loss was $33.5 million and $102.3 million for the three and nine months ended September 30, 2022, or a net loss per share of $1.18 and $3.64, compared to a net loss of $6.7 million and $25.3 million for the three and nine months ended September 30, 2021, or a net loss per share of $0.24 and $0.92.</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AnaptysBio</w:t>
      </w:r>
    </w:p>
    <w:p>
      <w:pPr>
        <w:spacing w:after="0" w:line="89" w:lineRule="exact"/>
        <w:rPr>
          <w:sz w:val="20"/>
          <w:szCs w:val="20"/>
          <w:color w:val="auto"/>
        </w:rPr>
      </w:pPr>
    </w:p>
    <w:p>
      <w:pPr>
        <w:ind w:right="140"/>
        <w:spacing w:after="0" w:line="292" w:lineRule="auto"/>
        <w:rPr>
          <w:sz w:val="20"/>
          <w:szCs w:val="20"/>
          <w:color w:val="auto"/>
        </w:rPr>
      </w:pPr>
      <w:r>
        <w:rPr>
          <w:rFonts w:ascii="Arial" w:cs="Arial" w:eastAsia="Arial" w:hAnsi="Arial"/>
          <w:sz w:val="12"/>
          <w:szCs w:val="12"/>
          <w:color w:val="auto"/>
        </w:rPr>
        <w:t>AnaptysBio is a clinical-stage biotechnology company focused on delivering innovative immunology therapeutics. We are developing immune cell modulators, including two checkpoint agonists in clinical-stage development, for autoimmune and inflammatory disease: rosnilimab, our anti-PD-1 agonist program in Phase 2 for the treatment of moderate-to-severe alopecia areata; and ANB032, our anti-BTLA agonist program. AnaptysBio is also developing imsidolimab, our anti-IL-36R antibody in Phase 3 for the treatment of generalized pustular psoriasis, or GPP. We also have additional preclinical programs and discovery research of potentially innovative immunology therapeutics, including ANB033, an anti-CD122 antagonist antibody for the treatment of inflammatory diseases.</w:t>
      </w:r>
    </w:p>
    <w:p>
      <w:pPr>
        <w:sectPr>
          <w:pgSz w:w="11900" w:h="16838" w:orient="portrait"/>
          <w:cols w:equalWidth="0" w:num="1">
            <w:col w:w="11260"/>
          </w:cols>
          <w:pgMar w:left="300" w:top="687" w:right="339" w:bottom="1440" w:gutter="0" w:footer="0" w:header="0"/>
        </w:sectPr>
      </w:pPr>
    </w:p>
    <w:bookmarkStart w:id="5" w:name="page6"/>
    <w:bookmarkEnd w:id="5"/>
    <w:p>
      <w:pPr>
        <w:ind w:right="400"/>
        <w:spacing w:after="0" w:line="271" w:lineRule="auto"/>
        <w:rPr>
          <w:sz w:val="20"/>
          <w:szCs w:val="20"/>
          <w:color w:val="auto"/>
        </w:rPr>
      </w:pPr>
      <w:r>
        <w:rPr>
          <w:rFonts w:ascii="Arial" w:cs="Arial" w:eastAsia="Arial" w:hAnsi="Arial"/>
          <w:sz w:val="13"/>
          <w:szCs w:val="13"/>
          <w:color w:val="auto"/>
        </w:rPr>
        <w:t>AnaptysBio has also developed multiple therapeutic antibodies in an immuno-oncology collaboration with GSK, including an anti-PD-1 antagonist antibody (JEMPERLI (dostarlimab-gxly)), an anti-TIM-3 antagonist antibody (cobolimab, GSK4069889) and an anti-LAG-3 antagonist antibody (GSK4074386).</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0"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3 clinical trial in GPP and rosnilimab’ s Phase 2 clinical trial in alopecia areata; and the timing of ANB032’s IND filing for a Phase 2 clinical trial and the timing of ANB033’s IND filing; our ability to find a licensing partner for imsidolimab and the timing of any such transaction; and our projected use of our cash resources.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Dennis Mulroy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AnaptysBio, Inc.</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858.732.0201</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dmulroy@anaptysbio.com</w:t>
      </w:r>
    </w:p>
    <w:p>
      <w:pPr>
        <w:sectPr>
          <w:pgSz w:w="11900" w:h="16838" w:orient="portrait"/>
          <w:cols w:equalWidth="0" w:num="1">
            <w:col w:w="11240"/>
          </w:cols>
          <w:pgMar w:left="300" w:top="714" w:right="359" w:bottom="1440" w:gutter="0" w:footer="0" w:header="0"/>
        </w:sectPr>
      </w:pPr>
    </w:p>
    <w:bookmarkStart w:id="6" w:name="page7"/>
    <w:bookmarkEnd w:id="6"/>
    <w:p>
      <w:pPr>
        <w:ind w:left="5220"/>
        <w:spacing w:after="0"/>
        <w:rPr>
          <w:sz w:val="20"/>
          <w:szCs w:val="20"/>
          <w:color w:val="auto"/>
        </w:rPr>
      </w:pPr>
      <w:r>
        <w:rPr>
          <w:rFonts w:ascii="Arial" w:cs="Arial" w:eastAsia="Arial" w:hAnsi="Arial"/>
          <w:sz w:val="12"/>
          <w:szCs w:val="12"/>
          <w:b w:val="1"/>
          <w:bCs w:val="1"/>
          <w:color w:val="auto"/>
        </w:rPr>
        <w:t>AnaptysBio, Inc.</w:t>
      </w:r>
    </w:p>
    <w:p>
      <w:pPr>
        <w:spacing w:after="0" w:line="51"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Consolidated Balance Sheets</w:t>
      </w:r>
    </w:p>
    <w:p>
      <w:pPr>
        <w:spacing w:after="0" w:line="60"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(in thousands, except par value data)</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2022</w:t>
            </w:r>
          </w:p>
        </w:tc>
        <w:tc>
          <w:tcPr>
            <w:tcW w:w="220" w:type="dxa"/>
            <w:vAlign w:val="bottom"/>
          </w:tcPr>
          <w:p>
            <w:pPr>
              <w:spacing w:after="0"/>
              <w:rPr>
                <w:sz w:val="11"/>
                <w:szCs w:val="11"/>
                <w:color w:val="auto"/>
              </w:rPr>
            </w:pPr>
          </w:p>
        </w:tc>
        <w:tc>
          <w:tcPr>
            <w:tcW w:w="1360" w:type="dxa"/>
            <w:vAlign w:val="bottom"/>
          </w:tcPr>
          <w:p>
            <w:pPr>
              <w:jc w:val="right"/>
              <w:ind w:right="346"/>
              <w:spacing w:after="0"/>
              <w:rPr>
                <w:sz w:val="20"/>
                <w:szCs w:val="20"/>
                <w:color w:val="auto"/>
              </w:rPr>
            </w:pPr>
            <w:r>
              <w:rPr>
                <w:rFonts w:ascii="Arial" w:cs="Arial" w:eastAsia="Arial" w:hAnsi="Arial"/>
                <w:sz w:val="10"/>
                <w:szCs w:val="10"/>
                <w:b w:val="1"/>
                <w:bCs w:val="1"/>
                <w:color w:val="auto"/>
              </w:rPr>
              <w:t>December 31, 2021</w:t>
            </w:r>
          </w:p>
        </w:tc>
      </w:tr>
      <w:tr>
        <w:trPr>
          <w:trHeight w:val="169"/>
        </w:trPr>
        <w:tc>
          <w:tcPr>
            <w:tcW w:w="8040" w:type="dxa"/>
            <w:vAlign w:val="bottom"/>
          </w:tcPr>
          <w:p>
            <w:pPr>
              <w:ind w:left="5440"/>
              <w:spacing w:after="0"/>
              <w:rPr>
                <w:sz w:val="20"/>
                <w:szCs w:val="20"/>
                <w:color w:val="auto"/>
              </w:rPr>
            </w:pPr>
            <w:r>
              <w:rPr>
                <w:rFonts w:ascii="Arial" w:cs="Arial" w:eastAsia="Arial" w:hAnsi="Arial"/>
                <w:sz w:val="11"/>
                <w:szCs w:val="11"/>
                <w:b w:val="1"/>
                <w:bCs w:val="1"/>
                <w:color w:val="auto"/>
              </w:rPr>
              <w:t>ASSETS</w:t>
            </w: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Current assets: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58,547</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495,729</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Receivables from collaborative partners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w:t>
            </w: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rPr>
              <w:t>Short-term investments</w:t>
            </w: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384,419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52,368</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Prepaid expenses and other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6,298</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4,903</w:t>
            </w:r>
          </w:p>
        </w:tc>
      </w:tr>
      <w:tr>
        <w:trPr>
          <w:trHeight w:val="131"/>
        </w:trPr>
        <w:tc>
          <w:tcPr>
            <w:tcW w:w="8040" w:type="dxa"/>
            <w:vAlign w:val="bottom"/>
          </w:tcPr>
          <w:p>
            <w:pPr>
              <w:ind w:left="500"/>
              <w:spacing w:after="0" w:line="120" w:lineRule="exact"/>
              <w:rPr>
                <w:sz w:val="20"/>
                <w:szCs w:val="20"/>
                <w:color w:val="auto"/>
              </w:rPr>
            </w:pPr>
            <w:r>
              <w:rPr>
                <w:rFonts w:ascii="Arial" w:cs="Arial" w:eastAsia="Arial" w:hAnsi="Arial"/>
                <w:sz w:val="11"/>
                <w:szCs w:val="11"/>
                <w:color w:val="auto"/>
              </w:rPr>
              <w:t>Total current assets</w:t>
            </w:r>
          </w:p>
        </w:tc>
        <w:tc>
          <w:tcPr>
            <w:tcW w:w="2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450,444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553,876</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w:t>
            </w:r>
          </w:p>
        </w:tc>
      </w:tr>
      <w:tr>
        <w:trPr>
          <w:trHeight w:val="153"/>
        </w:trPr>
        <w:tc>
          <w:tcPr>
            <w:tcW w:w="804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18,320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19,558</w:t>
            </w:r>
          </w:p>
        </w:tc>
      </w:tr>
      <w:tr>
        <w:trPr>
          <w:trHeight w:val="144"/>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Long-term investments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147,511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67,097</w:t>
            </w:r>
          </w:p>
        </w:tc>
      </w:tr>
      <w:tr>
        <w:trPr>
          <w:trHeight w:val="142"/>
        </w:trPr>
        <w:tc>
          <w:tcPr>
            <w:tcW w:w="80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long-term assets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w:t>
            </w:r>
          </w:p>
        </w:tc>
      </w:tr>
      <w:tr>
        <w:trPr>
          <w:trHeight w:val="153"/>
        </w:trPr>
        <w:tc>
          <w:tcPr>
            <w:tcW w:w="8040" w:type="dxa"/>
            <w:vAlign w:val="bottom"/>
            <w:tcBorders>
              <w:bottom w:val="single" w:sz="8" w:color="CCEEFF"/>
            </w:tcBorders>
            <w:shd w:val="clear" w:color="auto" w:fill="CCEEFF"/>
          </w:tcPr>
          <w:p>
            <w:pPr>
              <w:ind w:left="320"/>
              <w:spacing w:after="0" w:line="122" w:lineRule="exact"/>
              <w:rPr>
                <w:sz w:val="20"/>
                <w:szCs w:val="20"/>
                <w:color w:val="auto"/>
              </w:rPr>
            </w:pPr>
            <w:r>
              <w:rPr>
                <w:rFonts w:ascii="Arial" w:cs="Arial" w:eastAsia="Arial" w:hAnsi="Arial"/>
                <w:sz w:val="11"/>
                <w:szCs w:val="11"/>
                <w:color w:val="auto"/>
              </w:rPr>
              <w:t>Total assets</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618,503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643,070</w:t>
            </w:r>
          </w:p>
        </w:tc>
      </w:tr>
      <w:tr>
        <w:trPr>
          <w:trHeight w:val="133"/>
        </w:trPr>
        <w:tc>
          <w:tcPr>
            <w:tcW w:w="8040" w:type="dxa"/>
            <w:vAlign w:val="bottom"/>
          </w:tcPr>
          <w:p>
            <w:pPr>
              <w:ind w:left="4480"/>
              <w:spacing w:after="0"/>
              <w:rPr>
                <w:sz w:val="20"/>
                <w:szCs w:val="20"/>
                <w:color w:val="auto"/>
              </w:rPr>
            </w:pPr>
            <w:r>
              <w:rPr>
                <w:rFonts w:ascii="Arial" w:cs="Arial" w:eastAsia="Arial" w:hAnsi="Arial"/>
                <w:sz w:val="11"/>
                <w:szCs w:val="11"/>
                <w:b w:val="1"/>
                <w:bCs w:val="1"/>
                <w:color w:val="auto"/>
              </w:rPr>
              <w:t>LIABILITIES AND STOCKHOLDERS’ EQUITY</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44"/>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Current liabilities: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rPr>
              <w:t>Accounts payable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3,006</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1,741</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Accrued expenses</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16,453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12,853</w:t>
            </w:r>
          </w:p>
        </w:tc>
      </w:tr>
      <w:tr>
        <w:trPr>
          <w:trHeight w:val="142"/>
        </w:trPr>
        <w:tc>
          <w:tcPr>
            <w:tcW w:w="80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Current portion of operating lease liability</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1,505</w:t>
            </w:r>
          </w:p>
        </w:tc>
      </w:tr>
      <w:tr>
        <w:trPr>
          <w:trHeight w:val="135"/>
        </w:trPr>
        <w:tc>
          <w:tcPr>
            <w:tcW w:w="8040" w:type="dxa"/>
            <w:vAlign w:val="bottom"/>
            <w:shd w:val="clear" w:color="auto" w:fill="CCEEFF"/>
          </w:tcPr>
          <w:p>
            <w:pPr>
              <w:ind w:left="500"/>
              <w:spacing w:after="0" w:line="122" w:lineRule="exact"/>
              <w:rPr>
                <w:sz w:val="20"/>
                <w:szCs w:val="20"/>
                <w:color w:val="auto"/>
              </w:rPr>
            </w:pPr>
            <w:r>
              <w:rPr>
                <w:rFonts w:ascii="Arial" w:cs="Arial" w:eastAsia="Arial" w:hAnsi="Arial"/>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16,099</w:t>
            </w: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rPr>
              <w:t>Liability related to sale of future royalties</w:t>
            </w: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301,586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251,093</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Operating lease liability, net of current portion</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19,450</w:t>
            </w: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rPr>
              <w:t>Stockholders’ equity:</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5"/>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$0.001 par value, 10,000 shares authorized and no shares, issued or outstanding at September 30, 2022 and December 31, 2021, respectively</w:t>
            </w:r>
          </w:p>
        </w:tc>
        <w:tc>
          <w:tcPr>
            <w:tcW w:w="2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w w:val="90"/>
              </w:rPr>
              <w:t>Common stock, $0.001 par value, 500,000 shares authorized, 28,354 shares and 27,647 shares issued and outstanding at September 30, 2022 and December 31, 2021, respectively</w:t>
            </w: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 in capital</w:t>
            </w: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707,662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678,575</w:t>
            </w:r>
          </w:p>
        </w:tc>
      </w:tr>
      <w:tr>
        <w:trPr>
          <w:trHeight w:val="142"/>
        </w:trPr>
        <w:tc>
          <w:tcPr>
            <w:tcW w:w="8040" w:type="dxa"/>
            <w:vAlign w:val="bottom"/>
          </w:tcPr>
          <w:p>
            <w:pPr>
              <w:spacing w:after="0"/>
              <w:rPr>
                <w:sz w:val="20"/>
                <w:szCs w:val="20"/>
                <w:color w:val="auto"/>
              </w:rPr>
            </w:pPr>
            <w:r>
              <w:rPr>
                <w:rFonts w:ascii="Arial" w:cs="Arial" w:eastAsia="Arial" w:hAnsi="Arial"/>
                <w:sz w:val="11"/>
                <w:szCs w:val="11"/>
                <w:color w:val="auto"/>
              </w:rPr>
              <w:t>Accumulated other comprehensive loss</w:t>
            </w: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(6,007)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(422)</w:t>
            </w:r>
          </w:p>
        </w:tc>
      </w:tr>
      <w:tr>
        <w:trPr>
          <w:trHeight w:val="146"/>
        </w:trPr>
        <w:tc>
          <w:tcPr>
            <w:tcW w:w="804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(424,064)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(321,753)</w:t>
            </w:r>
          </w:p>
        </w:tc>
      </w:tr>
      <w:tr>
        <w:trPr>
          <w:trHeight w:val="131"/>
        </w:trPr>
        <w:tc>
          <w:tcPr>
            <w:tcW w:w="8040" w:type="dxa"/>
            <w:vAlign w:val="bottom"/>
            <w:tcBorders>
              <w:bottom w:val="single" w:sz="8" w:color="CCEEFF"/>
            </w:tcBorders>
          </w:tcPr>
          <w:p>
            <w:pPr>
              <w:ind w:left="160"/>
              <w:spacing w:after="0" w:line="120" w:lineRule="exact"/>
              <w:rPr>
                <w:sz w:val="20"/>
                <w:szCs w:val="20"/>
                <w:color w:val="auto"/>
              </w:rPr>
            </w:pPr>
            <w:r>
              <w:rPr>
                <w:rFonts w:ascii="Arial" w:cs="Arial" w:eastAsia="Arial" w:hAnsi="Arial"/>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277,619</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356,428</w:t>
            </w:r>
          </w:p>
        </w:tc>
      </w:tr>
      <w:tr>
        <w:trPr>
          <w:trHeight w:val="151"/>
        </w:trPr>
        <w:tc>
          <w:tcPr>
            <w:tcW w:w="8040" w:type="dxa"/>
            <w:vAlign w:val="bottom"/>
            <w:tcBorders>
              <w:bottom w:val="single" w:sz="8" w:color="CCEEFF"/>
            </w:tcBorders>
            <w:shd w:val="clear" w:color="auto" w:fill="CCEEFF"/>
          </w:tcPr>
          <w:p>
            <w:pPr>
              <w:ind w:left="320"/>
              <w:spacing w:after="0" w:line="122" w:lineRule="exact"/>
              <w:rPr>
                <w:sz w:val="20"/>
                <w:szCs w:val="20"/>
                <w:color w:val="auto"/>
              </w:rPr>
            </w:pPr>
            <w:r>
              <w:rPr>
                <w:rFonts w:ascii="Arial" w:cs="Arial" w:eastAsia="Arial" w:hAnsi="Arial"/>
                <w:sz w:val="11"/>
                <w:szCs w:val="11"/>
                <w:color w:val="auto"/>
              </w:rPr>
              <w:t>Total liabilities and stockholders’ equity</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618,503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643,070</w:t>
            </w:r>
          </w:p>
        </w:tc>
      </w:tr>
    </w:tbl>
    <w:p>
      <w:pPr>
        <w:sectPr>
          <w:pgSz w:w="11900" w:h="16838" w:orient="portrait"/>
          <w:cols w:equalWidth="0" w:num="1">
            <w:col w:w="11300"/>
          </w:cols>
          <w:pgMar w:left="300" w:top="667" w:right="299" w:bottom="1440" w:gutter="0" w:footer="0" w:header="0"/>
        </w:sectPr>
      </w:pPr>
    </w:p>
    <w:bookmarkStart w:id="7" w:name="page8"/>
    <w:bookmarkEnd w:id="7"/>
    <w:p>
      <w:pPr>
        <w:ind w:left="5220"/>
        <w:spacing w:after="0"/>
        <w:rPr>
          <w:sz w:val="20"/>
          <w:szCs w:val="20"/>
          <w:color w:val="auto"/>
        </w:rPr>
      </w:pPr>
      <w:r>
        <w:rPr>
          <w:rFonts w:ascii="Arial" w:cs="Arial" w:eastAsia="Arial" w:hAnsi="Arial"/>
          <w:sz w:val="12"/>
          <w:szCs w:val="12"/>
          <w:b w:val="1"/>
          <w:bCs w:val="1"/>
          <w:color w:val="auto"/>
        </w:rPr>
        <w:t>AnaptysBio, Inc.</w:t>
      </w:r>
    </w:p>
    <w:p>
      <w:pPr>
        <w:spacing w:after="0" w:line="51" w:lineRule="exact"/>
        <w:rPr>
          <w:sz w:val="20"/>
          <w:szCs w:val="20"/>
          <w:color w:val="auto"/>
        </w:rPr>
      </w:pPr>
    </w:p>
    <w:p>
      <w:pPr>
        <w:ind w:left="398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0"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(in thousands, except per share data)</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800" w:type="dxa"/>
            <w:vAlign w:val="bottom"/>
          </w:tcPr>
          <w:p>
            <w:pPr>
              <w:spacing w:after="0"/>
              <w:rPr>
                <w:sz w:val="11"/>
                <w:szCs w:val="11"/>
                <w:color w:val="auto"/>
              </w:rPr>
            </w:pPr>
          </w:p>
        </w:tc>
        <w:tc>
          <w:tcPr>
            <w:tcW w:w="226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0"/>
                <w:szCs w:val="10"/>
                <w:b w:val="1"/>
                <w:bCs w:val="1"/>
                <w:color w:val="auto"/>
              </w:rPr>
              <w:t>Three Months Ended September 30,</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0"/>
                <w:szCs w:val="10"/>
                <w:b w:val="1"/>
                <w:bCs w:val="1"/>
                <w:color w:val="auto"/>
              </w:rPr>
              <w:t>Nine Months Ended September 30,</w:t>
            </w:r>
          </w:p>
        </w:tc>
      </w:tr>
      <w:tr>
        <w:trPr>
          <w:trHeight w:val="127"/>
        </w:trPr>
        <w:tc>
          <w:tcPr>
            <w:tcW w:w="5800" w:type="dxa"/>
            <w:vAlign w:val="bottom"/>
            <w:tcBorders>
              <w:bottom w:val="single" w:sz="8" w:color="CFF0FC"/>
            </w:tcBorders>
          </w:tcPr>
          <w:p>
            <w:pPr>
              <w:spacing w:after="0"/>
              <w:rPr>
                <w:sz w:val="11"/>
                <w:szCs w:val="1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2021</w:t>
            </w:r>
          </w:p>
        </w:tc>
      </w:tr>
      <w:tr>
        <w:trPr>
          <w:trHeight w:val="139"/>
        </w:trPr>
        <w:tc>
          <w:tcPr>
            <w:tcW w:w="5800" w:type="dxa"/>
            <w:vAlign w:val="bottom"/>
            <w:shd w:val="clear" w:color="auto" w:fill="CFF0FC"/>
          </w:tcPr>
          <w:p>
            <w:pPr>
              <w:spacing w:after="0"/>
              <w:rPr>
                <w:sz w:val="20"/>
                <w:szCs w:val="20"/>
                <w:color w:val="auto"/>
              </w:rPr>
            </w:pPr>
            <w:r>
              <w:rPr>
                <w:rFonts w:ascii="Arial" w:cs="Arial" w:eastAsia="Arial" w:hAnsi="Arial"/>
                <w:sz w:val="11"/>
                <w:szCs w:val="11"/>
                <w:color w:val="auto"/>
              </w:rPr>
              <w:t>Collaboration revenue</w:t>
            </w:r>
          </w:p>
        </w:tc>
        <w:tc>
          <w:tcPr>
            <w:tcW w:w="840" w:type="dxa"/>
            <w:vAlign w:val="bottom"/>
            <w:tcBorders>
              <w:bottom w:val="single" w:sz="8" w:color="auto"/>
            </w:tcBorders>
            <w:shd w:val="clear" w:color="auto" w:fill="CFF0FC"/>
          </w:tcPr>
          <w:p>
            <w:pPr>
              <w:jc w:val="right"/>
              <w:ind w:right="70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1,293</w:t>
            </w:r>
          </w:p>
        </w:tc>
        <w:tc>
          <w:tcPr>
            <w:tcW w:w="8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20,890</w:t>
            </w: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3,479</w:t>
            </w: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62,164</w:t>
            </w:r>
          </w:p>
        </w:tc>
      </w:tr>
      <w:tr>
        <w:trPr>
          <w:trHeight w:val="122"/>
        </w:trPr>
        <w:tc>
          <w:tcPr>
            <w:tcW w:w="5800" w:type="dxa"/>
            <w:vAlign w:val="bottom"/>
          </w:tcPr>
          <w:p>
            <w:pPr>
              <w:spacing w:after="0" w:line="120" w:lineRule="exact"/>
              <w:rPr>
                <w:sz w:val="20"/>
                <w:szCs w:val="20"/>
                <w:color w:val="auto"/>
              </w:rPr>
            </w:pPr>
            <w:r>
              <w:rPr>
                <w:rFonts w:ascii="Arial" w:cs="Arial" w:eastAsia="Arial" w:hAnsi="Arial"/>
                <w:sz w:val="11"/>
                <w:szCs w:val="11"/>
                <w:color w:val="auto"/>
              </w:rPr>
              <w:t>Operating expenses:</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6"/>
        </w:trPr>
        <w:tc>
          <w:tcPr>
            <w:tcW w:w="5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Research and development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22,064</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22,221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65,424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71,720</w:t>
            </w:r>
          </w:p>
        </w:tc>
      </w:tr>
      <w:tr>
        <w:trPr>
          <w:trHeight w:val="142"/>
        </w:trPr>
        <w:tc>
          <w:tcPr>
            <w:tcW w:w="580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General and administrative</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8,862</w:t>
            </w:r>
          </w:p>
        </w:tc>
        <w:tc>
          <w:tcPr>
            <w:tcW w:w="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5,432</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27,236</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16,101</w:t>
            </w:r>
          </w:p>
        </w:tc>
      </w:tr>
      <w:tr>
        <w:trPr>
          <w:trHeight w:val="135"/>
        </w:trPr>
        <w:tc>
          <w:tcPr>
            <w:tcW w:w="5800" w:type="dxa"/>
            <w:vAlign w:val="bottom"/>
            <w:shd w:val="clear" w:color="auto" w:fill="CFF0FC"/>
          </w:tcPr>
          <w:p>
            <w:pPr>
              <w:ind w:left="320"/>
              <w:spacing w:after="0" w:line="122" w:lineRule="exact"/>
              <w:rPr>
                <w:sz w:val="20"/>
                <w:szCs w:val="20"/>
                <w:color w:val="auto"/>
              </w:rPr>
            </w:pPr>
            <w:r>
              <w:rPr>
                <w:rFonts w:ascii="Arial" w:cs="Arial" w:eastAsia="Arial" w:hAnsi="Arial"/>
                <w:sz w:val="11"/>
                <w:szCs w:val="11"/>
                <w:color w:val="auto"/>
              </w:rPr>
              <w:t>Total operating expenses</w:t>
            </w:r>
          </w:p>
        </w:tc>
        <w:tc>
          <w:tcPr>
            <w:tcW w:w="8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30,926</w:t>
            </w:r>
          </w:p>
        </w:tc>
        <w:tc>
          <w:tcPr>
            <w:tcW w:w="80" w:type="dxa"/>
            <w:vAlign w:val="bottom"/>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27,653</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92,660</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87,821</w:t>
            </w:r>
          </w:p>
        </w:tc>
      </w:tr>
      <w:tr>
        <w:trPr>
          <w:trHeight w:val="131"/>
        </w:trPr>
        <w:tc>
          <w:tcPr>
            <w:tcW w:w="5800" w:type="dxa"/>
            <w:vAlign w:val="bottom"/>
            <w:tcBorders>
              <w:bottom w:val="single" w:sz="8" w:color="CFF0FC"/>
            </w:tcBorders>
          </w:tcPr>
          <w:p>
            <w:pPr>
              <w:ind w:left="500"/>
              <w:spacing w:after="0" w:line="120" w:lineRule="exact"/>
              <w:rPr>
                <w:sz w:val="20"/>
                <w:szCs w:val="20"/>
                <w:color w:val="auto"/>
              </w:rPr>
            </w:pPr>
            <w:r>
              <w:rPr>
                <w:rFonts w:ascii="Arial" w:cs="Arial" w:eastAsia="Arial" w:hAnsi="Arial"/>
                <w:sz w:val="11"/>
                <w:szCs w:val="11"/>
                <w:color w:val="auto"/>
              </w:rPr>
              <w:t>Loss from operations</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(29,633)</w:t>
            </w:r>
          </w:p>
        </w:tc>
        <w:tc>
          <w:tcPr>
            <w:tcW w:w="80" w:type="dxa"/>
            <w:vAlign w:val="bottom"/>
            <w:tcBorders>
              <w:bottom w:val="single" w:sz="8" w:color="CFF0FC"/>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(6,763)</w:t>
            </w: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(89,181)</w:t>
            </w: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(25,657)</w:t>
            </w:r>
          </w:p>
        </w:tc>
      </w:tr>
      <w:tr>
        <w:trPr>
          <w:trHeight w:val="126"/>
        </w:trPr>
        <w:tc>
          <w:tcPr>
            <w:tcW w:w="580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Other income (expense), net:</w:t>
            </w:r>
          </w:p>
        </w:tc>
        <w:tc>
          <w:tcPr>
            <w:tcW w:w="8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42"/>
        </w:trPr>
        <w:tc>
          <w:tcPr>
            <w:tcW w:w="5800" w:type="dxa"/>
            <w:vAlign w:val="bottom"/>
          </w:tcPr>
          <w:p>
            <w:pPr>
              <w:ind w:left="140"/>
              <w:spacing w:after="0"/>
              <w:rPr>
                <w:sz w:val="20"/>
                <w:szCs w:val="20"/>
                <w:color w:val="auto"/>
              </w:rPr>
            </w:pPr>
            <w:r>
              <w:rPr>
                <w:rFonts w:ascii="Arial" w:cs="Arial" w:eastAsia="Arial" w:hAnsi="Arial"/>
                <w:sz w:val="11"/>
                <w:szCs w:val="11"/>
                <w:color w:val="auto"/>
              </w:rPr>
              <w:t>Interest income</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2,262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363</w:t>
            </w:r>
          </w:p>
        </w:tc>
      </w:tr>
      <w:tr>
        <w:trPr>
          <w:trHeight w:val="146"/>
        </w:trPr>
        <w:tc>
          <w:tcPr>
            <w:tcW w:w="5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Non-cash interest expense for the sale of future royalties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(6,135)</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(16,857)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800" w:type="dxa"/>
            <w:vAlign w:val="bottom"/>
            <w:tcBorders>
              <w:bottom w:val="single" w:sz="8" w:color="CFF0FC"/>
            </w:tcBorders>
          </w:tcPr>
          <w:p>
            <w:pPr>
              <w:ind w:left="140"/>
              <w:spacing w:after="0"/>
              <w:rPr>
                <w:sz w:val="20"/>
                <w:szCs w:val="20"/>
                <w:color w:val="auto"/>
              </w:rPr>
            </w:pPr>
            <w:r>
              <w:rPr>
                <w:rFonts w:ascii="Arial" w:cs="Arial" w:eastAsia="Arial" w:hAnsi="Arial"/>
                <w:sz w:val="11"/>
                <w:szCs w:val="11"/>
                <w:color w:val="auto"/>
              </w:rPr>
              <w:t>Other income, net</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r>
      <w:tr>
        <w:trPr>
          <w:trHeight w:val="135"/>
        </w:trPr>
        <w:tc>
          <w:tcPr>
            <w:tcW w:w="5800" w:type="dxa"/>
            <w:vAlign w:val="bottom"/>
            <w:shd w:val="clear" w:color="auto" w:fill="CFF0FC"/>
          </w:tcPr>
          <w:p>
            <w:pPr>
              <w:ind w:left="320"/>
              <w:spacing w:after="0" w:line="122" w:lineRule="exact"/>
              <w:rPr>
                <w:sz w:val="20"/>
                <w:szCs w:val="20"/>
                <w:color w:val="auto"/>
              </w:rPr>
            </w:pPr>
            <w:r>
              <w:rPr>
                <w:rFonts w:ascii="Arial" w:cs="Arial" w:eastAsia="Arial" w:hAnsi="Arial"/>
                <w:sz w:val="11"/>
                <w:szCs w:val="11"/>
                <w:color w:val="auto"/>
              </w:rPr>
              <w:t>Total other income (expense), net</w:t>
            </w:r>
          </w:p>
        </w:tc>
        <w:tc>
          <w:tcPr>
            <w:tcW w:w="8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(3,869)</w:t>
            </w:r>
          </w:p>
        </w:tc>
        <w:tc>
          <w:tcPr>
            <w:tcW w:w="80" w:type="dxa"/>
            <w:vAlign w:val="bottom"/>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(13,130)</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399</w:t>
            </w:r>
          </w:p>
        </w:tc>
      </w:tr>
      <w:tr>
        <w:trPr>
          <w:trHeight w:val="131"/>
        </w:trPr>
        <w:tc>
          <w:tcPr>
            <w:tcW w:w="5800" w:type="dxa"/>
            <w:vAlign w:val="bottom"/>
            <w:tcBorders>
              <w:bottom w:val="single" w:sz="8" w:color="CFF0FC"/>
            </w:tcBorders>
          </w:tcPr>
          <w:p>
            <w:pPr>
              <w:ind w:left="460"/>
              <w:spacing w:after="0" w:line="120" w:lineRule="exact"/>
              <w:rPr>
                <w:sz w:val="20"/>
                <w:szCs w:val="20"/>
                <w:color w:val="auto"/>
              </w:rPr>
            </w:pPr>
            <w:r>
              <w:rPr>
                <w:rFonts w:ascii="Arial" w:cs="Arial" w:eastAsia="Arial" w:hAnsi="Arial"/>
                <w:sz w:val="11"/>
                <w:szCs w:val="11"/>
                <w:color w:val="auto"/>
              </w:rPr>
              <w:t>Net loss</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(33,502)</w:t>
            </w:r>
          </w:p>
        </w:tc>
        <w:tc>
          <w:tcPr>
            <w:tcW w:w="80" w:type="dxa"/>
            <w:vAlign w:val="bottom"/>
            <w:tcBorders>
              <w:bottom w:val="single" w:sz="8" w:color="CFF0FC"/>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(6,666)</w:t>
            </w: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(102,311)</w:t>
            </w:r>
          </w:p>
        </w:tc>
        <w:tc>
          <w:tcPr>
            <w:tcW w:w="10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(25,258)</w:t>
            </w:r>
          </w:p>
        </w:tc>
      </w:tr>
      <w:tr>
        <w:trPr>
          <w:trHeight w:val="135"/>
        </w:trPr>
        <w:tc>
          <w:tcPr>
            <w:tcW w:w="5800" w:type="dxa"/>
            <w:vAlign w:val="bottom"/>
            <w:shd w:val="clear" w:color="auto" w:fill="CFF0FC"/>
          </w:tcPr>
          <w:p>
            <w:pPr>
              <w:ind w:left="320"/>
              <w:spacing w:after="0" w:line="122" w:lineRule="exact"/>
              <w:rPr>
                <w:sz w:val="20"/>
                <w:szCs w:val="20"/>
                <w:color w:val="auto"/>
              </w:rPr>
            </w:pPr>
            <w:r>
              <w:rPr>
                <w:rFonts w:ascii="Arial" w:cs="Arial" w:eastAsia="Arial" w:hAnsi="Arial"/>
                <w:sz w:val="11"/>
                <w:szCs w:val="11"/>
                <w:color w:val="auto"/>
              </w:rPr>
              <w:t>Unrealized loss on available for sale securities</w:t>
            </w:r>
          </w:p>
        </w:tc>
        <w:tc>
          <w:tcPr>
            <w:tcW w:w="84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(2,146)</w:t>
            </w:r>
          </w:p>
        </w:tc>
        <w:tc>
          <w:tcPr>
            <w:tcW w:w="80" w:type="dxa"/>
            <w:vAlign w:val="bottom"/>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(5,585)</w:t>
            </w:r>
          </w:p>
        </w:tc>
        <w:tc>
          <w:tcPr>
            <w:tcW w:w="10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(196)</w:t>
            </w:r>
          </w:p>
        </w:tc>
      </w:tr>
      <w:tr>
        <w:trPr>
          <w:trHeight w:val="151"/>
        </w:trPr>
        <w:tc>
          <w:tcPr>
            <w:tcW w:w="5800" w:type="dxa"/>
            <w:vAlign w:val="bottom"/>
            <w:tcBorders>
              <w:bottom w:val="single" w:sz="8" w:color="CFF0FC"/>
            </w:tcBorders>
          </w:tcPr>
          <w:p>
            <w:pPr>
              <w:ind w:left="500"/>
              <w:spacing w:after="0" w:line="120" w:lineRule="exact"/>
              <w:rPr>
                <w:sz w:val="20"/>
                <w:szCs w:val="20"/>
                <w:color w:val="auto"/>
              </w:rPr>
            </w:pPr>
            <w:r>
              <w:rPr>
                <w:rFonts w:ascii="Arial" w:cs="Arial" w:eastAsia="Arial" w:hAnsi="Arial"/>
                <w:sz w:val="11"/>
                <w:szCs w:val="11"/>
                <w:color w:val="auto"/>
              </w:rPr>
              <w:t>Comprehensive loss</w:t>
            </w:r>
          </w:p>
        </w:tc>
        <w:tc>
          <w:tcPr>
            <w:tcW w:w="840" w:type="dxa"/>
            <w:vAlign w:val="bottom"/>
            <w:tcBorders>
              <w:bottom w:val="single" w:sz="8" w:color="auto"/>
            </w:tcBorders>
          </w:tcPr>
          <w:p>
            <w:pPr>
              <w:jc w:val="right"/>
              <w:ind w:right="70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(35,648)</w:t>
            </w:r>
          </w:p>
        </w:tc>
        <w:tc>
          <w:tcPr>
            <w:tcW w:w="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(6,690)</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(107,896)</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(25,454)</w:t>
            </w:r>
          </w:p>
        </w:tc>
      </w:tr>
      <w:tr>
        <w:trPr>
          <w:trHeight w:val="124"/>
        </w:trPr>
        <w:tc>
          <w:tcPr>
            <w:tcW w:w="5800" w:type="dxa"/>
            <w:vAlign w:val="bottom"/>
            <w:shd w:val="clear" w:color="auto" w:fill="CFF0FC"/>
          </w:tcPr>
          <w:p>
            <w:pPr>
              <w:ind w:left="160"/>
              <w:spacing w:after="0" w:line="120" w:lineRule="exact"/>
              <w:rPr>
                <w:sz w:val="20"/>
                <w:szCs w:val="20"/>
                <w:color w:val="auto"/>
              </w:rPr>
            </w:pPr>
            <w:r>
              <w:rPr>
                <w:rFonts w:ascii="Arial" w:cs="Arial" w:eastAsia="Arial" w:hAnsi="Arial"/>
                <w:sz w:val="11"/>
                <w:szCs w:val="11"/>
                <w:color w:val="auto"/>
              </w:rPr>
              <w:t>Net loss per common share:</w:t>
            </w:r>
          </w:p>
        </w:tc>
        <w:tc>
          <w:tcPr>
            <w:tcW w:w="8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42"/>
        </w:trPr>
        <w:tc>
          <w:tcPr>
            <w:tcW w:w="5800" w:type="dxa"/>
            <w:vAlign w:val="bottom"/>
            <w:tcBorders>
              <w:bottom w:val="single" w:sz="8" w:color="CFF0FC"/>
            </w:tcBorders>
          </w:tcPr>
          <w:p>
            <w:pPr>
              <w:ind w:left="500"/>
              <w:spacing w:after="0"/>
              <w:rPr>
                <w:sz w:val="20"/>
                <w:szCs w:val="20"/>
                <w:color w:val="auto"/>
              </w:rPr>
            </w:pPr>
            <w:r>
              <w:rPr>
                <w:rFonts w:ascii="Arial" w:cs="Arial" w:eastAsia="Arial" w:hAnsi="Arial"/>
                <w:sz w:val="11"/>
                <w:szCs w:val="11"/>
                <w:color w:val="auto"/>
              </w:rPr>
              <w:t>Basic and diluted</w:t>
            </w:r>
          </w:p>
        </w:tc>
        <w:tc>
          <w:tcPr>
            <w:tcW w:w="840" w:type="dxa"/>
            <w:vAlign w:val="bottom"/>
            <w:tcBorders>
              <w:bottom w:val="single" w:sz="8" w:color="auto"/>
            </w:tcBorders>
          </w:tcPr>
          <w:p>
            <w:pPr>
              <w:jc w:val="right"/>
              <w:ind w:right="70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w:t>
            </w:r>
          </w:p>
        </w:tc>
        <w:tc>
          <w:tcPr>
            <w:tcW w:w="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(0.24)</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(0.92)</w:t>
            </w:r>
          </w:p>
        </w:tc>
      </w:tr>
      <w:tr>
        <w:trPr>
          <w:trHeight w:val="126"/>
        </w:trPr>
        <w:tc>
          <w:tcPr>
            <w:tcW w:w="5800" w:type="dxa"/>
            <w:vAlign w:val="bottom"/>
            <w:shd w:val="clear" w:color="auto" w:fill="CFF0FC"/>
          </w:tcPr>
          <w:p>
            <w:pPr>
              <w:ind w:left="160"/>
              <w:spacing w:after="0" w:line="122" w:lineRule="exact"/>
              <w:rPr>
                <w:sz w:val="20"/>
                <w:szCs w:val="20"/>
                <w:color w:val="auto"/>
              </w:rPr>
            </w:pPr>
            <w:r>
              <w:rPr>
                <w:rFonts w:ascii="Arial" w:cs="Arial" w:eastAsia="Arial" w:hAnsi="Arial"/>
                <w:sz w:val="11"/>
                <w:szCs w:val="11"/>
                <w:color w:val="auto"/>
              </w:rPr>
              <w:t>Weighted-average number of shares outstanding:</w:t>
            </w:r>
          </w:p>
        </w:tc>
        <w:tc>
          <w:tcPr>
            <w:tcW w:w="8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42"/>
        </w:trPr>
        <w:tc>
          <w:tcPr>
            <w:tcW w:w="5800" w:type="dxa"/>
            <w:vAlign w:val="bottom"/>
          </w:tcPr>
          <w:p>
            <w:pPr>
              <w:ind w:left="500"/>
              <w:spacing w:after="0"/>
              <w:rPr>
                <w:sz w:val="20"/>
                <w:szCs w:val="20"/>
                <w:color w:val="auto"/>
              </w:rPr>
            </w:pPr>
            <w:r>
              <w:rPr>
                <w:rFonts w:ascii="Arial" w:cs="Arial" w:eastAsia="Arial" w:hAnsi="Arial"/>
                <w:sz w:val="11"/>
                <w:szCs w:val="11"/>
                <w:color w:val="auto"/>
              </w:rPr>
              <w:t>Basic and diluted</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28,289</w:t>
            </w: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27,436</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28,071</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27,397</w:t>
            </w:r>
          </w:p>
        </w:tc>
      </w:tr>
      <w:tr>
        <w:trPr>
          <w:trHeight w:val="20"/>
        </w:trPr>
        <w:tc>
          <w:tcPr>
            <w:tcW w:w="5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67"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3999865</wp:posOffset>
            </wp:positionV>
            <wp:extent cx="71304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2022-11-08T15:35:14Z</dcterms:created>
  <dcterms:modified xsi:type="dcterms:W3CDTF">2022-11-08T15:35:14Z</dcterms:modified>
</cp:coreProperties>
</file>