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 PURSUANT 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November 24, 2023</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earliest event reported)</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7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auto"/>
        </w:rPr>
        <w:t>001-37985</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20-3828755</w:t>
      </w:r>
    </w:p>
    <w:p>
      <w:pPr>
        <w:spacing w:after="0" w:line="44"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4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10770 Wateridge Circle, Suite 210,</w:t>
      </w:r>
    </w:p>
    <w:p>
      <w:pPr>
        <w:spacing w:after="0" w:line="3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San Diego, CA 92121</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(858) 362-6295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4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 pursuant to Rule 425 under the Securities Act (17 CFR 230.425)</w:t>
      </w:r>
    </w:p>
    <w:p>
      <w:pPr>
        <w:spacing w:after="0" w:line="7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210" w:type="dxa"/>
        <w:tblCellMar>
          <w:top w:w="0" w:type="dxa"/>
          <w:left w:w="0" w:type="dxa"/>
          <w:bottom w:w="0" w:type="dxa"/>
          <w:right w:w="0" w:type="dxa"/>
        </w:tblCellMar>
      </w:tblPr>
      <w:tr>
        <w:trPr>
          <w:trHeight w:val="248"/>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8"/>
        </w:trPr>
        <w:tc>
          <w:tcPr>
            <w:tcW w:w="3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4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292"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62"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1.01</w:t>
      </w:r>
      <w:r>
        <w:rPr>
          <w:sz w:val="20"/>
          <w:szCs w:val="20"/>
          <w:color w:val="auto"/>
        </w:rPr>
        <w:tab/>
      </w:r>
      <w:r>
        <w:rPr>
          <w:rFonts w:ascii="Times New Roman" w:cs="Times New Roman" w:eastAsia="Times New Roman" w:hAnsi="Times New Roman"/>
          <w:sz w:val="19"/>
          <w:szCs w:val="19"/>
          <w:b w:val="1"/>
          <w:bCs w:val="1"/>
          <w:color w:val="auto"/>
        </w:rPr>
        <w:t>Entry into a Material Definitive Agreement.</w:t>
      </w:r>
    </w:p>
    <w:p>
      <w:pPr>
        <w:spacing w:after="0" w:line="21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On November 24, 2023, AnaptysBio, Inc. (“</w:t>
      </w:r>
      <w:r>
        <w:rPr>
          <w:rFonts w:ascii="Times New Roman" w:cs="Times New Roman" w:eastAsia="Times New Roman" w:hAnsi="Times New Roman"/>
          <w:sz w:val="20"/>
          <w:szCs w:val="20"/>
          <w:b w:val="1"/>
          <w:bCs w:val="1"/>
          <w:i w:val="1"/>
          <w:iCs w:val="1"/>
          <w:color w:val="auto"/>
        </w:rPr>
        <w:t>Anaptys</w:t>
      </w:r>
      <w:r>
        <w:rPr>
          <w:rFonts w:ascii="Times New Roman" w:cs="Times New Roman" w:eastAsia="Times New Roman" w:hAnsi="Times New Roman"/>
          <w:sz w:val="20"/>
          <w:szCs w:val="20"/>
          <w:color w:val="auto"/>
        </w:rPr>
        <w:t>”) entered into a License Agreement (the “</w:t>
      </w:r>
      <w:r>
        <w:rPr>
          <w:rFonts w:ascii="Times New Roman" w:cs="Times New Roman" w:eastAsia="Times New Roman" w:hAnsi="Times New Roman"/>
          <w:sz w:val="20"/>
          <w:szCs w:val="20"/>
          <w:b w:val="1"/>
          <w:bCs w:val="1"/>
          <w:i w:val="1"/>
          <w:iCs w:val="1"/>
          <w:color w:val="auto"/>
        </w:rPr>
        <w:t>License Agreement</w:t>
      </w:r>
      <w:r>
        <w:rPr>
          <w:rFonts w:ascii="Times New Roman" w:cs="Times New Roman" w:eastAsia="Times New Roman" w:hAnsi="Times New Roman"/>
          <w:sz w:val="20"/>
          <w:szCs w:val="20"/>
          <w:color w:val="auto"/>
        </w:rPr>
        <w:t>”) with Centessa Pharmaceuticals (UK) Limited (“</w:t>
      </w:r>
      <w:r>
        <w:rPr>
          <w:rFonts w:ascii="Times New Roman" w:cs="Times New Roman" w:eastAsia="Times New Roman" w:hAnsi="Times New Roman"/>
          <w:sz w:val="20"/>
          <w:szCs w:val="20"/>
          <w:b w:val="1"/>
          <w:bCs w:val="1"/>
          <w:i w:val="1"/>
          <w:iCs w:val="1"/>
          <w:color w:val="auto"/>
        </w:rPr>
        <w:t>Centessa</w:t>
      </w:r>
      <w:r>
        <w:rPr>
          <w:rFonts w:ascii="Times New Roman" w:cs="Times New Roman" w:eastAsia="Times New Roman" w:hAnsi="Times New Roman"/>
          <w:sz w:val="20"/>
          <w:szCs w:val="20"/>
          <w:color w:val="auto"/>
        </w:rPr>
        <w:t>”) pursuant to which Centessa granted to Anaptys an exclusive worldwide license under Centessa’s rights to the blood dendritic cell antigen 2 (BDCA2) modulator antibody portfolio, including lead asset CBS004 and related family of backup antibodies, for the treatment of autoimmune and inflammatory diseases.</w:t>
      </w:r>
    </w:p>
    <w:p>
      <w:pPr>
        <w:spacing w:after="0" w:line="182"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Pursuant to the terms of the License Agreement, Anaptys will pay Centessa a one-time cash payment of $7 million, inclusive of $4 million upfront and $3 million for manufactured and released GMP supply of CBS004, which will be renamed ANB101. Centessa is eligible to receive an additional $10 million milestone payment, in either cash or shares of common stock, upon initiation of the first Phase 3 clinical trial and low single-digit royalties on global net sales.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The License Agreement includes various representations, warranties, covenants, indemnities, and other customary provisions and contains customary provisions for termination (i) by AnaptysBio upon 90 days’ written notice to Centessa or (ii) by either party in the event of breach of the License Agreement (subject to cure), subject, in each case, to certain reversion rights, or upon the other party’s bankruptcy.</w:t>
      </w:r>
    </w:p>
    <w:p>
      <w:pPr>
        <w:spacing w:after="0" w:line="181" w:lineRule="exact"/>
        <w:rPr>
          <w:sz w:val="20"/>
          <w:szCs w:val="20"/>
          <w:color w:val="auto"/>
        </w:rPr>
      </w:pPr>
    </w:p>
    <w:p>
      <w:pPr>
        <w:jc w:val="both"/>
        <w:ind w:right="40"/>
        <w:spacing w:after="0" w:line="244" w:lineRule="exact"/>
        <w:rPr>
          <w:sz w:val="20"/>
          <w:szCs w:val="20"/>
          <w:color w:val="auto"/>
        </w:rPr>
      </w:pPr>
      <w:r>
        <w:rPr>
          <w:rFonts w:ascii="Times New Roman" w:cs="Times New Roman" w:eastAsia="Times New Roman" w:hAnsi="Times New Roman"/>
          <w:sz w:val="20"/>
          <w:szCs w:val="20"/>
          <w:color w:val="auto"/>
        </w:rPr>
        <w:t>The foregoing summary of the License Agreement does not purport to be complete and is qualified in its entirety by reference to the full text of the License Agreement. A copy of the License Agreement will be filed as an exhibit to AnaptysBio’s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year ended December 31,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7.01. Regulation FD.</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On November 27, 2023, AnaptysBio issued a press release announcing the entry into the License Agreement with Centessa, a copy of which is attached hereto as Exhibit 99.1.</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b w:val="1"/>
                <w:bCs w:val="1"/>
                <w:color w:val="auto"/>
              </w:rPr>
              <w:t>Exhibit Title or Description</w:t>
            </w:r>
          </w:p>
        </w:tc>
      </w:tr>
      <w:tr>
        <w:trPr>
          <w:trHeight w:val="237"/>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99.</w:t>
            </w:r>
            <w:r>
              <w:rPr>
                <w:rFonts w:ascii="Times New Roman" w:cs="Times New Roman" w:eastAsia="Times New Roman" w:hAnsi="Times New Roman"/>
                <w:sz w:val="20"/>
                <w:szCs w:val="20"/>
                <w:u w:val="single" w:color="auto"/>
                <w:color w:val="0000FF"/>
              </w:rPr>
              <w:t>1</w:t>
            </w: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Press release issued by AnaptysBio, Inc. regarding the Centessa License Agreement, dated November 27,</w:t>
            </w:r>
          </w:p>
        </w:tc>
      </w:tr>
      <w:tr>
        <w:trPr>
          <w:trHeight w:val="256"/>
        </w:trPr>
        <w:tc>
          <w:tcPr>
            <w:tcW w:w="20" w:type="dxa"/>
            <w:vAlign w:val="bottom"/>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2023.</w:t>
            </w:r>
          </w:p>
        </w:tc>
      </w:tr>
      <w:tr>
        <w:trPr>
          <w:trHeight w:val="255"/>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Cover Page Interactive Data File (the cover page XBRL tags are embedded within the inline XBRL</w:t>
            </w:r>
          </w:p>
        </w:tc>
      </w:tr>
      <w:tr>
        <w:trPr>
          <w:trHeight w:val="258"/>
        </w:trPr>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document).</w:t>
            </w:r>
          </w:p>
        </w:tc>
      </w:tr>
      <w:tr>
        <w:trPr>
          <w:trHeight w:val="865"/>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6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AnaptysBio, Inc.</w:t>
      </w:r>
    </w:p>
    <w:p>
      <w:pPr>
        <w:spacing w:after="0" w:line="28" w:lineRule="exact"/>
        <w:rPr>
          <w:sz w:val="20"/>
          <w:szCs w:val="20"/>
          <w:color w:val="auto"/>
        </w:rPr>
      </w:pPr>
    </w:p>
    <w:p>
      <w:pPr>
        <w:ind w:left="20"/>
        <w:spacing w:after="0"/>
        <w:tabs>
          <w:tab w:leader="none" w:pos="4220" w:val="left"/>
          <w:tab w:leader="none" w:pos="4780" w:val="left"/>
        </w:tabs>
        <w:rPr>
          <w:sz w:val="20"/>
          <w:szCs w:val="20"/>
          <w:color w:val="auto"/>
        </w:rPr>
      </w:pPr>
      <w:r>
        <w:rPr>
          <w:rFonts w:ascii="Times New Roman" w:cs="Times New Roman" w:eastAsia="Times New Roman" w:hAnsi="Times New Roman"/>
          <w:sz w:val="20"/>
          <w:szCs w:val="20"/>
          <w:color w:val="auto"/>
        </w:rPr>
        <w:t>Date: November 27, 2023</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21590</wp:posOffset>
            </wp:positionV>
            <wp:extent cx="409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890"/>
                    </a:xfrm>
                    <a:prstGeom prst="rect">
                      <a:avLst/>
                    </a:prstGeom>
                    <a:noFill/>
                  </pic:spPr>
                </pic:pic>
              </a:graphicData>
            </a:graphic>
          </wp:anchor>
        </w:drawing>
      </w:r>
    </w:p>
    <w:p>
      <w:pPr>
        <w:spacing w:after="0" w:line="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Name: Eric Loumeau</w:t>
      </w:r>
    </w:p>
    <w:p>
      <w:pPr>
        <w:spacing w:after="0" w:line="4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Title: Chief Legal Officer</w:t>
      </w:r>
    </w:p>
    <w:p>
      <w:pPr>
        <w:sectPr>
          <w:pgSz w:w="11900" w:h="16838" w:orient="portrait"/>
          <w:cols w:equalWidth="0" w:num="1">
            <w:col w:w="11220"/>
          </w:cols>
          <w:pgMar w:left="320" w:top="1409" w:right="359" w:bottom="1440" w:gutter="0" w:footer="0" w:header="0"/>
        </w:sectPr>
      </w:pPr>
    </w:p>
    <w:bookmarkStart w:id="3" w:name="page4"/>
    <w:bookmarkEnd w:id="3"/>
    <w:p>
      <w:pPr>
        <w:ind w:left="1440"/>
        <w:spacing w:after="0"/>
        <w:rPr>
          <w:sz w:val="20"/>
          <w:szCs w:val="20"/>
          <w:color w:val="auto"/>
        </w:rPr>
      </w:pPr>
      <w:r>
        <w:rPr>
          <w:rFonts w:ascii="Times New Roman" w:cs="Times New Roman" w:eastAsia="Times New Roman" w:hAnsi="Times New Roman"/>
          <w:sz w:val="25"/>
          <w:szCs w:val="25"/>
          <w:b w:val="1"/>
          <w:bCs w:val="1"/>
          <w:color w:val="auto"/>
        </w:rPr>
        <w:t>Anaptys Expands Immune Cell Modulator Pipeline with Exclusive License to</w:t>
      </w:r>
    </w:p>
    <w:p>
      <w:pPr>
        <w:spacing w:after="0" w:line="4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5"/>
          <w:szCs w:val="25"/>
          <w:b w:val="1"/>
          <w:bCs w:val="1"/>
          <w:color w:val="auto"/>
        </w:rPr>
        <w:t>BDCA2 Modulator Antibody Portfolio from Centessa Pharmaceuticals</w:t>
      </w:r>
    </w:p>
    <w:p>
      <w:pPr>
        <w:spacing w:after="0" w:line="109" w:lineRule="exact"/>
        <w:rPr>
          <w:sz w:val="20"/>
          <w:szCs w:val="20"/>
          <w:color w:val="auto"/>
        </w:rPr>
      </w:pPr>
    </w:p>
    <w:p>
      <w:pPr>
        <w:ind w:left="660" w:right="820" w:hanging="328"/>
        <w:spacing w:after="0" w:line="271" w:lineRule="auto"/>
        <w:tabs>
          <w:tab w:leader="none" w:pos="65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Anaptys licenses exclusive global development and commercialization rights to a potential best-in-class BDCA2 modulator portfolio</w:t>
      </w:r>
    </w:p>
    <w:p>
      <w:pPr>
        <w:spacing w:after="0" w:line="6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 filing to support clinical development of ANB101 in autoimmune and inflammatory diseases expected in H2 2024</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Reiterating year-end 2023 cash and investments of $400 to $410 million and cash runway through year-end 2026</w:t>
      </w:r>
    </w:p>
    <w:p>
      <w:pPr>
        <w:spacing w:after="0" w:line="21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SAN DIEGO, Nov. 27, 2023 </w:t>
      </w:r>
      <w:r>
        <w:rPr>
          <w:rFonts w:ascii="Times New Roman" w:cs="Times New Roman" w:eastAsia="Times New Roman" w:hAnsi="Times New Roman"/>
          <w:sz w:val="22"/>
          <w:szCs w:val="22"/>
          <w:color w:val="auto"/>
        </w:rPr>
        <w:t>— AnaptysBio, Inc. (Nasdaq: ANAB), a clinical-stage biotechnology company focused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delivering innovative immunology therapeutics, today announced an exclusive license agreement for Centessa Pharmaceuticals’ (NASDAQ: CNTA) blood dendritic cell antigen 2 (BDCA2) modulator antibody portfolio, including lead asset CBS004 and related family of backup antibodies, for the treatment of autoimmune and inflammatory diseases. Anaptys anticipates filing an IND application for CBS004, which will be renamed ANB101, in H2 2024.</w:t>
      </w:r>
    </w:p>
    <w:p>
      <w:pPr>
        <w:spacing w:after="0" w:line="17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“Acquiring the rights to this BDCA2 modulator portfolio, which specifically targets plasmacytoid dendritic cells, known to be key drivers of interferon secretion and antigen presentation, complements our portfolio of best-in-class immune cell modulators to drive differentiated clinical outcomes in systemic, heterogeneous autoimmune and inflammatory diseases,” said Daniel Faga, president and chief executive officer of Anaptys. “We now plan to file two INDs in 2024: ANB101 in H2 2024 and ANB033, our CD122 antagonist, in H1 2024.”</w:t>
      </w:r>
    </w:p>
    <w:p>
      <w:pPr>
        <w:spacing w:after="0" w:line="1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“We are pleased to enter into this agreement with Anaptys, which enables the continued advancement of Centessa’s BDCA2 modulators,” said Saurabh Saha, M.D., Ph.D., chief executive officer of Centessa. “With their focus on developing immune cell modulators, Anaptys is well positioned to further the research and development of this program in autoimmune and inflammatory diseases.”</w:t>
      </w:r>
    </w:p>
    <w:p>
      <w:pPr>
        <w:spacing w:after="0" w:line="19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1"/>
          <w:szCs w:val="21"/>
          <w:color w:val="auto"/>
        </w:rPr>
        <w:t>Plasmacytoid dendritic cells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w:t>
      </w:r>
    </w:p>
    <w:p>
      <w:pPr>
        <w:spacing w:after="0" w:line="16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2"/>
          <w:szCs w:val="22"/>
          <w:color w:val="auto"/>
        </w:rPr>
        <w:t>BDCA2 is a molecule specifically expressed on pDCs, a class of immune cells which, while found in relatively small numbers in healthy patients, are enriched in patients with a variety of inflammatory diseases, that is critical to the regulation of toll-like receptor signaling and interferon secretion. BDCA2 has been implicated in the pathophysiology of systemic lupus erythematosus (SLE), where there exists mechanistic clinical proof of concept for pDC modulation. ANB101 is a potentially best-in-class BDCA2 modulator antibody that targets pDCs and potently inhibits interferon secretion and modulates antigen presentation for the treatment of autoimmune and inflammatory diseases.</w:t>
      </w:r>
    </w:p>
    <w:p>
      <w:pPr>
        <w:spacing w:after="0" w:line="18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2"/>
          <w:szCs w:val="22"/>
          <w:color w:val="auto"/>
        </w:rPr>
        <w:t>Under the terms of the agreement, Anaptys will receive from Centessa Pharmaceuticals an exclusive, global license for ANB101. Anaptys will also receive the same rights to ANB102, an extended half-life BDCA2 modulator with the potential to enable quarterly or less frequent dosing. ANB101 has</w:t>
      </w:r>
    </w:p>
    <w:p>
      <w:pPr>
        <w:sectPr>
          <w:pgSz w:w="11900" w:h="16838" w:orient="portrait"/>
          <w:cols w:equalWidth="0" w:num="1">
            <w:col w:w="11220"/>
          </w:cols>
          <w:pgMar w:left="320" w:top="1272" w:right="359" w:bottom="1440" w:gutter="0" w:footer="0" w:header="0"/>
        </w:sectPr>
      </w:pPr>
    </w:p>
    <w:bookmarkStart w:id="4" w:name="page5"/>
    <w:bookmarkEnd w:id="4"/>
    <w:p>
      <w:pPr>
        <w:spacing w:after="0" w:line="63"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22"/>
          <w:szCs w:val="22"/>
          <w:color w:val="auto"/>
        </w:rPr>
        <w:t>successfully completed IND-enabling studies and manufacturing scale-up. Anaptys will assume responsibility for all future clinical development.</w:t>
      </w:r>
    </w:p>
    <w:p>
      <w:pPr>
        <w:spacing w:after="0" w:line="14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2"/>
          <w:szCs w:val="22"/>
          <w:color w:val="auto"/>
        </w:rPr>
        <w:t>In exchange, Anaptys will pay Centessa a one-time upfront cash payment of $7 million, inclusive of a one-time cash payment of $3 million for manufactured and released GMP supply of ANB101. Centessa is eligible to receive an additional development milestone payment and low single-digit royalties on global net sales.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Anaptys</w:t>
      </w:r>
    </w:p>
    <w:p>
      <w:pPr>
        <w:spacing w:after="0" w:line="23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Anaptys is a clinical-stage biotechnology company focused on delivering innovative immunology therapeutics. It is developing immune cell modulators, including two checkpoint agonists for autoimmune and inflammatory disease: rosnilimab, its PD-1 agonist, in a Phase 2b trial for the treatment of rheumatoid arthritis and in a Phase 2 trial for the treatment of ulcerative colitis; and ANB032, its BTLA agonist, in a Phase 2b trial for the treatment of atopic dermatitis. Its preclinical immune cell modulator portfolio includes ANB033, an anti-CD122 antagonist antibody, and ANB101, a BDCA2 modulator antibody, for the treatment of autoimmune and inflammatory diseases. In addition, Anaptys has developed two cytokine antagonists available for out-licensing: imsidolimab, an anti-IL-36R antagonist, in Phase 3 for the treatment of generalized pustular psoriasis, or GPP, and etokimab, an anti-IL-33 antagonist for the treatment of respiratory disorders that is Phase 2/3 ready. Anaptys has also discovered multiple therapeutic antibodies licensed to GSK in a financial collaboration for immuno-oncology, including an anti-PD-1 antagonist antibody (</w:t>
      </w:r>
      <w:r>
        <w:rPr>
          <w:rFonts w:ascii="Times New Roman" w:cs="Times New Roman" w:eastAsia="Times New Roman" w:hAnsi="Times New Roman"/>
          <w:sz w:val="22"/>
          <w:szCs w:val="22"/>
          <w:i w:val="1"/>
          <w:iCs w:val="1"/>
          <w:color w:val="auto"/>
        </w:rPr>
        <w:t>Jemperli</w:t>
      </w:r>
      <w:r>
        <w:rPr>
          <w:rFonts w:ascii="Times New Roman" w:cs="Times New Roman" w:eastAsia="Times New Roman" w:hAnsi="Times New Roman"/>
          <w:sz w:val="22"/>
          <w:szCs w:val="22"/>
          <w:color w:val="auto"/>
        </w:rPr>
        <w:t xml:space="preserve"> (dostarlimab-gxly)) and an anti-TIM-3 antagonist antibody (cobolimab, GSK4069889). To learn more, visit www.AnaptysBio.com or follow us on LinkedIn and X.</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2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the "safe harbor" provisions of the Private Securities Litigation Reform Act of 1995, including, but not limited to: the timing of IND filings for ANB033 and ANB101; whether any of the Company’s product candidates will be best in class; the potential to receive any additional royalties from the GSK collaboration; the Company’s ability to find a licensing partner for imsidolimab or etokimab and the timing of any such transaction; and the Company’s projected cash runway and estimated year-end cash balance. Statements including words such as “plan,” “intend,”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ectPr>
          <w:pgSz w:w="11900" w:h="16838" w:orient="portrait"/>
          <w:cols w:equalWidth="0" w:num="1">
            <w:col w:w="11240"/>
          </w:cols>
          <w:pgMar w:left="320" w:top="1440" w:right="339" w:bottom="1440" w:gutter="0" w:footer="0" w:header="0"/>
        </w:sectPr>
      </w:pPr>
    </w:p>
    <w:bookmarkStart w:id="5" w:name="page6"/>
    <w:bookmarkEnd w:id="5"/>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Nick Montemarano</w:t>
      </w:r>
    </w:p>
    <w:p>
      <w:pPr>
        <w:spacing w:after="0" w:line="15" w:lineRule="exact"/>
        <w:rPr>
          <w:sz w:val="20"/>
          <w:szCs w:val="20"/>
          <w:color w:val="auto"/>
        </w:rPr>
      </w:pPr>
    </w:p>
    <w:p>
      <w:pPr>
        <w:ind w:right="4399"/>
        <w:spacing w:after="0" w:line="243" w:lineRule="auto"/>
        <w:rPr>
          <w:sz w:val="20"/>
          <w:szCs w:val="20"/>
          <w:color w:val="auto"/>
        </w:rPr>
      </w:pPr>
      <w:r>
        <w:rPr>
          <w:rFonts w:ascii="Times New Roman" w:cs="Times New Roman" w:eastAsia="Times New Roman" w:hAnsi="Times New Roman"/>
          <w:sz w:val="22"/>
          <w:szCs w:val="22"/>
          <w:color w:val="auto"/>
        </w:rPr>
        <w:t>Senior Director, Investor Relations and Strategic Communications 858.732.0178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563C1"/>
        </w:rPr>
        <w:t>investors@anaptysbio.com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2023-11-27T15:37:45Z</dcterms:created>
  <dcterms:modified xsi:type="dcterms:W3CDTF">2023-11-27T15:37:45Z</dcterms:modified>
</cp:coreProperties>
</file>