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September 14, 2023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 of earliest event reported)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ANAPTYSBIO,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Registrant as Specified in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0"/>
        <w:gridCol w:w="1350"/>
        <w:gridCol w:w="1366"/>
        <w:gridCol w:w="877"/>
        <w:gridCol w:w="877"/>
        <w:gridCol w:w="885"/>
        <w:gridCol w:w="966"/>
        <w:gridCol w:w="966"/>
        <w:gridCol w:w="137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001-37985</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20-3828755</w:t>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(State or Other Jurisdiction of Incorporation)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(Commission File Number)</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10770 Wateridge Circle, Suite 210,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San Diego, CA 92121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and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(858) 362-6295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Written communication pursuant to Rule 425 under the Securities Act (17 CFR 230.425)</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14d-2(b) under the Exchange Act (17 CFR 240.14d-2(b))</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13e-4(c) under the Exchange Act (17 CFR 240.13e-4(c))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Indicate by check mark whether the registrant is an emerging growth company as defined in Rule 405 of the Securities Act of 1933 </w:t>
      </w:r>
      <w:r>
        <w:rPr>
          <w:rFonts w:ascii="Times New Roman;sans-serif" w:hAnsi="Times New Roman;sans-serif"/>
          <w:b w:val="false"/>
          <w:color w:val="000000"/>
          <w:sz w:val="20"/>
        </w:rPr>
        <w:t>(17 CFR §230.405 of this chapter) or Rule 12b-2 of the Securities Exchange Act of 1934 (17 CFR §240.12b-2 of this chapter).</w:t>
      </w:r>
    </w:p>
    <w:p>
      <w:pPr>
        <w:pStyle w:val="TextBody"/>
        <w:bidi w:val="0"/>
        <w:spacing w:before="0" w:after="0"/>
        <w:jc w:val="right"/>
        <w:rPr/>
      </w:pPr>
      <w:r>
        <w:rPr/>
      </w:r>
    </w:p>
    <w:p>
      <w:pPr>
        <w:pStyle w:val="TextBody"/>
        <w:bidi w:val="0"/>
        <w:spacing w:lineRule="auto" w:line="288" w:before="0" w:after="0"/>
        <w:jc w:val="right"/>
        <w:rPr/>
      </w:pPr>
      <w:r>
        <w:rPr>
          <w:rFonts w:ascii="Times New Roman;sans-serif" w:hAnsi="Times New Roman;sans-serif"/>
          <w:b w:val="false"/>
          <w:color w:val="000000"/>
          <w:sz w:val="20"/>
          <w:shd w:fill="FFFFFF" w:val="clear"/>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Item 5.02    Departure of Directors or Certain Officers; Election of Directors; Appointment of Certain Officers; Compensatory Arrangements of Certain Officers.</w:t>
      </w:r>
    </w:p>
    <w:p>
      <w:pPr>
        <w:pStyle w:val="TextBody"/>
        <w:bidi w:val="0"/>
        <w:spacing w:lineRule="auto" w:line="288" w:before="24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(b)</w:t>
      </w:r>
    </w:p>
    <w:p>
      <w:pPr>
        <w:pStyle w:val="TextBody"/>
        <w:bidi w:val="0"/>
        <w:spacing w:lineRule="auto" w:line="288" w:before="180" w:after="283"/>
        <w:jc w:val="left"/>
        <w:rPr/>
      </w:pPr>
      <w:r>
        <w:rPr>
          <w:rFonts w:ascii="Times New Roman;sans-serif" w:hAnsi="Times New Roman;sans-serif"/>
          <w:b w:val="false"/>
          <w:color w:val="000000"/>
          <w:sz w:val="22"/>
        </w:rPr>
        <w:t>On September 14, 2023, James N. Topper, M.D., Ph.D., advised 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of AnaptysBio,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that he would resign as a Class II director and as Chairman of the Board, effective on September 15, 2023. Dr. Topper’s resignation is not the result of any disagreement with the Company on any matter relating to its operations, policies or practices. Dr. Topper has served on the Company’s Board of Directors since 2007 and as Chairman since 2015. During this tenure, he has overseen the evolution of the Company from an early-stage antibody generation platform to a clinical-stage organization. Following Dr. Topper’s resignation from the Board, the Company entered into an Advisory Agreement with him, through which he will remain in a transitionary role as an advisor to the Board through Q1 2024.</w:t>
      </w:r>
    </w:p>
    <w:p>
      <w:pPr>
        <w:pStyle w:val="TextBody"/>
        <w:bidi w:val="0"/>
        <w:spacing w:lineRule="auto" w:line="288" w:before="24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(d)</w: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On September 15, 2023, the Board appointed John Orwin as a Class II director, a member of the Nominating and Corporate Governance Committee and Chairman of the Board, effective immediately.</w:t>
      </w:r>
    </w:p>
    <w:p>
      <w:pPr>
        <w:pStyle w:val="TextBody"/>
        <w:bidi w:val="0"/>
        <w:spacing w:lineRule="auto" w:line="288" w:before="180" w:after="283"/>
        <w:jc w:val="left"/>
        <w:rPr/>
      </w:pPr>
      <w:r>
        <w:rPr>
          <w:rFonts w:ascii="Times New Roman;sans-serif" w:hAnsi="Times New Roman;sans-serif"/>
          <w:b w:val="false"/>
          <w:color w:val="000000"/>
          <w:sz w:val="22"/>
          <w:shd w:fill="FFFFFF" w:val="clear"/>
        </w:rPr>
        <w:t>In connection with his appointment as a non-employee director of the Board, and in accordance with the Company’s existing compensation policy for non-employee directors,</w:t>
      </w:r>
      <w:r>
        <w:rPr>
          <w:color w:val="000000"/>
        </w:rPr>
        <w:t xml:space="preserve"> </w:t>
      </w:r>
      <w:r>
        <w:rPr>
          <w:rFonts w:ascii="Times New Roman;sans-serif" w:hAnsi="Times New Roman;sans-serif"/>
          <w:b w:val="false"/>
          <w:color w:val="000000"/>
          <w:sz w:val="22"/>
        </w:rPr>
        <w:t>Mr. Orwin</w:t>
      </w:r>
      <w:r>
        <w:rPr>
          <w:color w:val="000000"/>
          <w:shd w:fill="FFFFFF" w:val="clear"/>
        </w:rPr>
        <w:t xml:space="preserve"> </w:t>
      </w:r>
      <w:r>
        <w:rPr>
          <w:rFonts w:ascii="Times New Roman;sans-serif" w:hAnsi="Times New Roman;sans-serif"/>
          <w:b w:val="false"/>
          <w:color w:val="000000"/>
          <w:sz w:val="22"/>
          <w:shd w:fill="FFFFFF" w:val="clear"/>
        </w:rPr>
        <w:t>received a pro rata portion of the annual retainer for service as a director for the remaining portion of the year, which includes (i) a stock option to purchase 3,311 shares of common stock at an exercise price equal to the closing sale price of the common stock on September 15</w:t>
      </w:r>
      <w:r>
        <w:rPr>
          <w:rFonts w:ascii="Times New Roman;sans-serif" w:hAnsi="Times New Roman;sans-serif"/>
          <w:b w:val="false"/>
          <w:color w:val="000000"/>
          <w:sz w:val="22"/>
        </w:rPr>
        <w:t>, 2023</w:t>
      </w:r>
      <w:r>
        <w:rPr>
          <w:rFonts w:ascii="Times New Roman;sans-serif" w:hAnsi="Times New Roman;sans-serif"/>
          <w:b w:val="false"/>
          <w:color w:val="000000"/>
          <w:sz w:val="22"/>
          <w:shd w:fill="FFFFFF" w:val="clear"/>
        </w:rPr>
        <w:t>, as reported by the Nasdaq Global Market, which shall vest in equal monthly installments and in full on January 6</w:t>
      </w:r>
      <w:r>
        <w:rPr>
          <w:rFonts w:ascii="Times New Roman;sans-serif" w:hAnsi="Times New Roman;sans-serif"/>
          <w:b w:val="false"/>
          <w:color w:val="000000"/>
          <w:sz w:val="22"/>
        </w:rPr>
        <w:t>, 2024</w:t>
      </w:r>
      <w:r>
        <w:rPr>
          <w:rFonts w:ascii="Times New Roman;sans-serif" w:hAnsi="Times New Roman;sans-serif"/>
          <w:b w:val="false"/>
          <w:color w:val="000000"/>
          <w:sz w:val="22"/>
          <w:shd w:fill="FFFFFF" w:val="clear"/>
        </w:rPr>
        <w:t xml:space="preserve">, and (ii) 2,035 restricted stock units which shall vest in full on the date of the Company’s 2024 annual meeting, in each case subject to Mr. Orwin’s continued service to the Company. In addition, the Board granted to Mr. </w:t>
      </w:r>
      <w:r>
        <w:rPr>
          <w:rFonts w:ascii="Times New Roman;sans-serif" w:hAnsi="Times New Roman;sans-serif"/>
          <w:b w:val="false"/>
          <w:color w:val="000000"/>
          <w:sz w:val="22"/>
        </w:rPr>
        <w:t>Orwin</w:t>
      </w:r>
      <w:r>
        <w:rPr>
          <w:rFonts w:ascii="Times New Roman;sans-serif" w:hAnsi="Times New Roman;sans-serif"/>
          <w:b w:val="false"/>
          <w:color w:val="000000"/>
          <w:sz w:val="22"/>
          <w:shd w:fill="FFFFFF" w:val="clear"/>
        </w:rPr>
        <w:t>, a stock option to purchase 10,600 shares of common stock at an exercise price equal to the closing sale price of the common stock on September 15</w:t>
      </w:r>
      <w:r>
        <w:rPr>
          <w:rFonts w:ascii="Times New Roman;sans-serif" w:hAnsi="Times New Roman;sans-serif"/>
          <w:b w:val="false"/>
          <w:color w:val="000000"/>
          <w:sz w:val="22"/>
        </w:rPr>
        <w:t>, 2023</w:t>
      </w:r>
      <w:r>
        <w:rPr>
          <w:rFonts w:ascii="Times New Roman;sans-serif" w:hAnsi="Times New Roman;sans-serif"/>
          <w:b w:val="false"/>
          <w:color w:val="000000"/>
          <w:sz w:val="22"/>
          <w:shd w:fill="FFFFFF" w:val="clear"/>
        </w:rPr>
        <w:t>, as reported by the Nasdaq Global Market, which will vest monthly over three years, and 3,900 restricted stock units, which shall vest over a three-year period such that one-third of the shares shall vest one year after September 15, 2023, and on each yearly anniversary thereafter, in each case subject to Mr. Orwin’s continued service to the Company.</w:t>
      </w:r>
    </w:p>
    <w:p>
      <w:pPr>
        <w:pStyle w:val="TextBody"/>
        <w:bidi w:val="0"/>
        <w:spacing w:lineRule="auto" w:line="288" w:before="180" w:after="283"/>
        <w:jc w:val="left"/>
        <w:rPr/>
      </w:pPr>
      <w:r>
        <w:rPr>
          <w:rFonts w:ascii="Times New Roman;sans-serif" w:hAnsi="Times New Roman;sans-serif"/>
          <w:b w:val="false"/>
          <w:color w:val="000000"/>
          <w:sz w:val="22"/>
        </w:rPr>
        <w:t xml:space="preserve">The Company has entered into its standard form of indemnification agreement with Mr. Orwin. The form of the </w:t>
      </w:r>
      <w:r>
        <w:rPr>
          <w:rFonts w:ascii="Times New Roman;sans-serif" w:hAnsi="Times New Roman;sans-serif"/>
          <w:b w:val="false"/>
          <w:color w:val="000000"/>
          <w:sz w:val="22"/>
          <w:shd w:fill="FFFFFF" w:val="clear"/>
        </w:rPr>
        <w:t>indemnification</w:t>
      </w:r>
      <w:r>
        <w:rPr>
          <w:color w:val="000000"/>
        </w:rPr>
        <w:t xml:space="preserve"> </w:t>
      </w:r>
      <w:r>
        <w:rPr>
          <w:rFonts w:ascii="Times New Roman;sans-serif" w:hAnsi="Times New Roman;sans-serif"/>
          <w:b w:val="false"/>
          <w:color w:val="000000"/>
          <w:sz w:val="22"/>
        </w:rPr>
        <w:t>agreement was previously filed by the Company as Exhibit 10.1 to the Company’s Registration Statement on Form S-1 filed with the Securities and Exchange Commission on September 9, 2015 and incorporated by reference herein.</w:t>
      </w:r>
    </w:p>
    <w:p>
      <w:pPr>
        <w:pStyle w:val="TextBody"/>
        <w:bidi w:val="0"/>
        <w:spacing w:lineRule="auto" w:line="288" w:before="180" w:after="283"/>
        <w:jc w:val="left"/>
        <w:rPr/>
      </w:pPr>
      <w:r>
        <w:rPr>
          <w:rFonts w:ascii="Times New Roman;sans-serif" w:hAnsi="Times New Roman;sans-serif"/>
          <w:b w:val="false"/>
          <w:color w:val="000000"/>
          <w:sz w:val="22"/>
        </w:rPr>
        <w:t xml:space="preserve">There are no arrangements or understandings between Mr. Orwin and any other persons, pursuant to which Mr. Orwin was selected </w:t>
      </w:r>
      <w:r>
        <w:rPr>
          <w:rFonts w:ascii="Times New Roman;sans-serif" w:hAnsi="Times New Roman;sans-serif"/>
          <w:b w:val="false"/>
          <w:color w:val="000000"/>
          <w:sz w:val="22"/>
          <w:shd w:fill="FFFFFF" w:val="clear"/>
        </w:rPr>
        <w:t>as</w:t>
      </w:r>
      <w:r>
        <w:rPr>
          <w:color w:val="000000"/>
        </w:rPr>
        <w:t xml:space="preserve"> </w:t>
      </w:r>
      <w:r>
        <w:rPr>
          <w:rFonts w:ascii="Times New Roman;sans-serif" w:hAnsi="Times New Roman;sans-serif"/>
          <w:b w:val="false"/>
          <w:color w:val="000000"/>
          <w:sz w:val="22"/>
        </w:rPr>
        <w:t>a member of the Board. There are also no family relationships among any of the Company’s other directors or executive officers and Mr. Orwin, and Mr. Orwin does not have any direct or indirect material interest in any transaction required to be disclosed pursuant to Item 404(a)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bl>
      <w:tblPr>
        <w:tblW w:w="5879" w:type="dxa"/>
        <w:jc w:val="center"/>
        <w:tblInd w:w="0" w:type="dxa"/>
        <w:tblLayout w:type="fixed"/>
        <w:tblCellMar>
          <w:top w:w="28" w:type="dxa"/>
          <w:left w:w="28" w:type="dxa"/>
          <w:bottom w:w="28" w:type="dxa"/>
          <w:right w:w="28" w:type="dxa"/>
        </w:tblCellMar>
      </w:tblPr>
      <w:tblGrid>
        <w:gridCol w:w="475"/>
        <w:gridCol w:w="418"/>
        <w:gridCol w:w="418"/>
        <w:gridCol w:w="418"/>
        <w:gridCol w:w="418"/>
        <w:gridCol w:w="418"/>
        <w:gridCol w:w="270"/>
        <w:gridCol w:w="270"/>
        <w:gridCol w:w="270"/>
        <w:gridCol w:w="725"/>
        <w:gridCol w:w="725"/>
        <w:gridCol w:w="1054"/>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5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AnaptysBio, Inc.</w:t>
            </w:r>
          </w:p>
        </w:tc>
      </w:tr>
      <w:tr>
        <w:trPr/>
        <w:tc>
          <w:tcPr>
            <w:tcW w:w="25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September 18, 2023</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Eric Loumeau</w:t>
            </w:r>
          </w:p>
        </w:tc>
      </w:tr>
      <w:tr>
        <w:trPr/>
        <w:tc>
          <w:tcPr>
            <w:tcW w:w="25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Eric Loumeau</w:t>
            </w:r>
          </w:p>
        </w:tc>
      </w:tr>
      <w:tr>
        <w:trPr/>
        <w:tc>
          <w:tcPr>
            <w:tcW w:w="25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Legal Officer</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4727</Characters>
  <CharactersWithSpaces>5607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