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w:t>
      </w:r>
      <w:r>
        <w:rPr>
          <w:rFonts w:ascii="Times New Roman" w:cs="Times New Roman" w:eastAsia="Times New Roman" w:hAnsi="Times New Roman"/>
          <w:sz w:val="17"/>
          <w:szCs w:val="17"/>
          <w:b w:val="1"/>
          <w:bCs w:val="1"/>
          <w:color w:val="auto"/>
        </w:rPr>
        <w:t>ashington</w:t>
      </w:r>
      <w:r>
        <w:rPr>
          <w:rFonts w:ascii="Times New Roman" w:cs="Times New Roman" w:eastAsia="Times New Roman" w:hAnsi="Times New Roman"/>
          <w:sz w:val="25"/>
          <w:szCs w:val="25"/>
          <w:b w:val="1"/>
          <w:bCs w:val="1"/>
          <w:color w:val="auto"/>
        </w:rPr>
        <w:t>, DC 20549</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2)*</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AnaptysBio,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032724106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13G/A</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80" w:type="dxa"/>
            <w:vAlign w:val="bottom"/>
            <w:tcBorders>
              <w:left w:val="single" w:sz="8" w:color="auto"/>
            </w:tcBorders>
          </w:tcPr>
          <w:p>
            <w:pPr>
              <w:spacing w:after="0"/>
              <w:rPr>
                <w:sz w:val="13"/>
                <w:szCs w:val="13"/>
                <w:color w:val="auto"/>
              </w:rPr>
            </w:pPr>
          </w:p>
        </w:tc>
        <w:tc>
          <w:tcPr>
            <w:tcW w:w="2940" w:type="dxa"/>
            <w:vAlign w:val="bottom"/>
            <w:tcBorders>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80" w:type="dxa"/>
            <w:vAlign w:val="bottom"/>
            <w:tcBorders>
              <w:left w:val="single" w:sz="8" w:color="auto"/>
            </w:tcBorders>
          </w:tcPr>
          <w:p>
            <w:pPr>
              <w:spacing w:after="0"/>
              <w:rPr>
                <w:sz w:val="6"/>
                <w:szCs w:val="6"/>
                <w:color w:val="auto"/>
              </w:rPr>
            </w:pPr>
          </w:p>
        </w:tc>
        <w:tc>
          <w:tcPr>
            <w:tcW w:w="2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780" w:type="dxa"/>
            <w:vAlign w:val="bottom"/>
            <w:tcBorders>
              <w:left w:val="single" w:sz="8" w:color="auto"/>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tcBorders>
            <w:vMerge w:val="restart"/>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7"/>
                <w:szCs w:val="17"/>
                <w:color w:val="auto"/>
              </w:rPr>
            </w:pPr>
          </w:p>
        </w:tc>
        <w:tc>
          <w:tcPr>
            <w:tcW w:w="2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NAMES OF REPORTING PERSONS</w:t>
            </w:r>
          </w:p>
        </w:tc>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PARTNERS, LP</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0" w:type="dxa"/>
            <w:vAlign w:val="bottom"/>
            <w:tcBorders>
              <w:left w:val="single" w:sz="8" w:color="auto"/>
            </w:tcBorders>
          </w:tcPr>
          <w:p>
            <w:pPr>
              <w:jc w:val="center"/>
              <w:ind w:left="108"/>
              <w:spacing w:after="0" w:line="252" w:lineRule="exact"/>
              <w:rPr>
                <w:sz w:val="20"/>
                <w:szCs w:val="20"/>
                <w:color w:val="auto"/>
              </w:rPr>
            </w:pPr>
            <w:r>
              <w:rPr>
                <w:rFonts w:ascii="Times New Roman" w:cs="Times New Roman" w:eastAsia="Times New Roman" w:hAnsi="Times New Roman"/>
                <w:sz w:val="29"/>
                <w:szCs w:val="29"/>
                <w:b w:val="1"/>
                <w:bCs w:val="1"/>
                <w:color w:val="auto"/>
              </w:rPr>
              <w:t>2</w:t>
            </w:r>
          </w:p>
        </w:tc>
        <w:tc>
          <w:tcPr>
            <w:tcW w:w="240" w:type="dxa"/>
            <w:vAlign w:val="bottom"/>
            <w:tcBorders>
              <w:right w:val="single" w:sz="8" w:color="auto"/>
            </w:tcBorders>
          </w:tcPr>
          <w:p>
            <w:pPr>
              <w:spacing w:after="0"/>
              <w:rPr>
                <w:sz w:val="21"/>
                <w:szCs w:val="21"/>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4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line="24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4"/>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line="242"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right w:val="single" w:sz="8" w:color="auto"/>
            </w:tcBorders>
          </w:tcPr>
          <w:p>
            <w:pPr>
              <w:spacing w:after="0"/>
              <w:rPr>
                <w:sz w:val="24"/>
                <w:szCs w:val="24"/>
                <w:color w:val="auto"/>
              </w:rPr>
            </w:pPr>
          </w:p>
        </w:tc>
        <w:tc>
          <w:tcPr>
            <w:tcW w:w="1900" w:type="dxa"/>
            <w:vAlign w:val="bottom"/>
            <w:tcBorders>
              <w:bottom w:val="single" w:sz="8" w:color="CCCCCC"/>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2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80" w:type="dxa"/>
            <w:vAlign w:val="bottom"/>
            <w:tcBorders>
              <w:left w:val="single" w:sz="8" w:color="CCCCCC"/>
              <w:bottom w:val="single" w:sz="8" w:color="CCCCCC"/>
            </w:tcBorders>
            <w:shd w:val="clear" w:color="auto" w:fill="CCCCCC"/>
          </w:tcPr>
          <w:p>
            <w:pPr>
              <w:spacing w:after="0"/>
              <w:rPr>
                <w:sz w:val="24"/>
                <w:szCs w:val="24"/>
                <w:color w:val="auto"/>
              </w:rPr>
            </w:pPr>
          </w:p>
        </w:tc>
        <w:tc>
          <w:tcPr>
            <w:tcW w:w="1040" w:type="dxa"/>
            <w:vAlign w:val="bottom"/>
            <w:tcBorders>
              <w:bottom w:val="single" w:sz="8" w:color="CCCCCC"/>
              <w:right w:val="single" w:sz="8" w:color="CCCCCC"/>
            </w:tcBorders>
            <w:shd w:val="clear" w:color="auto" w:fill="CCCCCC"/>
          </w:tcPr>
          <w:p>
            <w:pPr>
              <w:spacing w:after="0"/>
              <w:rPr>
                <w:sz w:val="24"/>
                <w:szCs w:val="24"/>
                <w:color w:val="auto"/>
              </w:rPr>
            </w:pPr>
          </w:p>
        </w:tc>
        <w:tc>
          <w:tcPr>
            <w:tcW w:w="190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top w:val="single" w:sz="8" w:color="auto"/>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top w:val="single" w:sz="8" w:color="auto"/>
              <w:right w:val="single" w:sz="8" w:color="auto"/>
            </w:tcBorders>
          </w:tcPr>
          <w:p>
            <w:pPr>
              <w:spacing w:after="0"/>
              <w:rPr>
                <w:sz w:val="24"/>
                <w:szCs w:val="24"/>
                <w:color w:val="auto"/>
              </w:rPr>
            </w:pPr>
          </w:p>
        </w:tc>
        <w:tc>
          <w:tcPr>
            <w:tcW w:w="74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4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7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1,950,609</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7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40" w:type="dxa"/>
            <w:vAlign w:val="bottom"/>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8"/>
                <w:szCs w:val="18"/>
                <w:color w:val="auto"/>
                <w:w w:val="99"/>
              </w:rPr>
              <w:t>EACH REPORTING</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1,950,609</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1,950,609</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8"/>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Page 2 of 8 Pages</w:t>
            </w: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6"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13G/A</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80" w:type="dxa"/>
            <w:vAlign w:val="bottom"/>
            <w:tcBorders>
              <w:left w:val="single" w:sz="8" w:color="auto"/>
            </w:tcBorders>
          </w:tcPr>
          <w:p>
            <w:pPr>
              <w:spacing w:after="0"/>
              <w:rPr>
                <w:sz w:val="13"/>
                <w:szCs w:val="13"/>
                <w:color w:val="auto"/>
              </w:rPr>
            </w:pPr>
          </w:p>
        </w:tc>
        <w:tc>
          <w:tcPr>
            <w:tcW w:w="2940" w:type="dxa"/>
            <w:vAlign w:val="bottom"/>
            <w:tcBorders>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80" w:type="dxa"/>
            <w:vAlign w:val="bottom"/>
            <w:tcBorders>
              <w:left w:val="single" w:sz="8" w:color="auto"/>
            </w:tcBorders>
          </w:tcPr>
          <w:p>
            <w:pPr>
              <w:spacing w:after="0"/>
              <w:rPr>
                <w:sz w:val="6"/>
                <w:szCs w:val="6"/>
                <w:color w:val="auto"/>
              </w:rPr>
            </w:pPr>
          </w:p>
        </w:tc>
        <w:tc>
          <w:tcPr>
            <w:tcW w:w="2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29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0" w:type="dxa"/>
            <w:vAlign w:val="bottom"/>
            <w:tcBorders>
              <w:left w:val="single" w:sz="8" w:color="auto"/>
            </w:tcBorders>
          </w:tcPr>
          <w:p>
            <w:pPr>
              <w:jc w:val="center"/>
              <w:ind w:left="108"/>
              <w:spacing w:after="0" w:line="252" w:lineRule="exact"/>
              <w:rPr>
                <w:sz w:val="20"/>
                <w:szCs w:val="20"/>
                <w:color w:val="auto"/>
              </w:rPr>
            </w:pPr>
            <w:r>
              <w:rPr>
                <w:rFonts w:ascii="Times New Roman" w:cs="Times New Roman" w:eastAsia="Times New Roman" w:hAnsi="Times New Roman"/>
                <w:sz w:val="29"/>
                <w:szCs w:val="29"/>
                <w:b w:val="1"/>
                <w:bCs w:val="1"/>
                <w:color w:val="auto"/>
              </w:rPr>
              <w:t>2</w:t>
            </w:r>
          </w:p>
        </w:tc>
        <w:tc>
          <w:tcPr>
            <w:tcW w:w="240" w:type="dxa"/>
            <w:vAlign w:val="bottom"/>
            <w:tcBorders>
              <w:right w:val="single" w:sz="8" w:color="auto"/>
            </w:tcBorders>
          </w:tcPr>
          <w:p>
            <w:pPr>
              <w:spacing w:after="0"/>
              <w:rPr>
                <w:sz w:val="21"/>
                <w:szCs w:val="21"/>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4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line="24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4"/>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line="242"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right w:val="single" w:sz="8" w:color="auto"/>
            </w:tcBorders>
          </w:tcPr>
          <w:p>
            <w:pPr>
              <w:spacing w:after="0"/>
              <w:rPr>
                <w:sz w:val="24"/>
                <w:szCs w:val="24"/>
                <w:color w:val="auto"/>
              </w:rPr>
            </w:pPr>
          </w:p>
        </w:tc>
        <w:tc>
          <w:tcPr>
            <w:tcW w:w="1900" w:type="dxa"/>
            <w:vAlign w:val="bottom"/>
            <w:tcBorders>
              <w:bottom w:val="single" w:sz="8" w:color="CCCCCC"/>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2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80" w:type="dxa"/>
            <w:vAlign w:val="bottom"/>
            <w:tcBorders>
              <w:left w:val="single" w:sz="8" w:color="CCCCCC"/>
              <w:bottom w:val="single" w:sz="8" w:color="CCCCCC"/>
            </w:tcBorders>
            <w:shd w:val="clear" w:color="auto" w:fill="CCCCCC"/>
          </w:tcPr>
          <w:p>
            <w:pPr>
              <w:spacing w:after="0"/>
              <w:rPr>
                <w:sz w:val="24"/>
                <w:szCs w:val="24"/>
                <w:color w:val="auto"/>
              </w:rPr>
            </w:pPr>
          </w:p>
        </w:tc>
        <w:tc>
          <w:tcPr>
            <w:tcW w:w="1040" w:type="dxa"/>
            <w:vAlign w:val="bottom"/>
            <w:tcBorders>
              <w:bottom w:val="single" w:sz="8" w:color="CCCCCC"/>
              <w:right w:val="single" w:sz="8" w:color="CCCCCC"/>
            </w:tcBorders>
            <w:shd w:val="clear" w:color="auto" w:fill="CCCCCC"/>
          </w:tcPr>
          <w:p>
            <w:pPr>
              <w:spacing w:after="0"/>
              <w:rPr>
                <w:sz w:val="24"/>
                <w:szCs w:val="24"/>
                <w:color w:val="auto"/>
              </w:rPr>
            </w:pPr>
          </w:p>
        </w:tc>
        <w:tc>
          <w:tcPr>
            <w:tcW w:w="190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top w:val="single" w:sz="8" w:color="auto"/>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top w:val="single" w:sz="8" w:color="auto"/>
              <w:right w:val="single" w:sz="8" w:color="auto"/>
            </w:tcBorders>
          </w:tcPr>
          <w:p>
            <w:pPr>
              <w:spacing w:after="0"/>
              <w:rPr>
                <w:sz w:val="24"/>
                <w:szCs w:val="24"/>
                <w:color w:val="auto"/>
              </w:rPr>
            </w:pPr>
          </w:p>
        </w:tc>
        <w:tc>
          <w:tcPr>
            <w:tcW w:w="74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4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7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1,950,609</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7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40" w:type="dxa"/>
            <w:vAlign w:val="bottom"/>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8"/>
                <w:szCs w:val="18"/>
                <w:color w:val="auto"/>
                <w:w w:val="99"/>
              </w:rPr>
              <w:t>EACH REPORTING</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1,950,609</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1,950,609</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8"/>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Page 3 of 8 Pages</w:t>
            </w: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6"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13G/A</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780" w:type="dxa"/>
            <w:vAlign w:val="bottom"/>
            <w:vMerge w:val="continue"/>
          </w:tcPr>
          <w:p>
            <w:pPr>
              <w:spacing w:after="0"/>
              <w:rPr>
                <w:sz w:val="13"/>
                <w:szCs w:val="13"/>
                <w:color w:val="auto"/>
              </w:rPr>
            </w:pPr>
          </w:p>
        </w:tc>
        <w:tc>
          <w:tcPr>
            <w:tcW w:w="780" w:type="dxa"/>
            <w:vAlign w:val="bottom"/>
            <w:tcBorders>
              <w:left w:val="single" w:sz="8" w:color="auto"/>
            </w:tcBorders>
          </w:tcPr>
          <w:p>
            <w:pPr>
              <w:spacing w:after="0"/>
              <w:rPr>
                <w:sz w:val="13"/>
                <w:szCs w:val="13"/>
                <w:color w:val="auto"/>
              </w:rPr>
            </w:pPr>
          </w:p>
        </w:tc>
        <w:tc>
          <w:tcPr>
            <w:tcW w:w="2940" w:type="dxa"/>
            <w:vAlign w:val="bottom"/>
            <w:tcBorders>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Page 4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780" w:type="dxa"/>
            <w:vAlign w:val="bottom"/>
            <w:tcBorders>
              <w:left w:val="single" w:sz="8" w:color="auto"/>
            </w:tcBorders>
          </w:tcPr>
          <w:p>
            <w:pPr>
              <w:spacing w:after="0"/>
              <w:rPr>
                <w:sz w:val="6"/>
                <w:szCs w:val="6"/>
                <w:color w:val="auto"/>
              </w:rPr>
            </w:pPr>
          </w:p>
        </w:tc>
        <w:tc>
          <w:tcPr>
            <w:tcW w:w="2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780" w:type="dxa"/>
            <w:vAlign w:val="bottom"/>
            <w:tcBorders>
              <w:left w:val="single" w:sz="8" w:color="auto"/>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tcBorders>
            <w:vMerge w:val="restart"/>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7"/>
                <w:szCs w:val="17"/>
                <w:color w:val="auto"/>
              </w:rPr>
            </w:pPr>
          </w:p>
        </w:tc>
        <w:tc>
          <w:tcPr>
            <w:tcW w:w="2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NAMES OF REPORTING PERSONS</w:t>
            </w:r>
          </w:p>
        </w:tc>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KEVIN TANG</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0" w:type="dxa"/>
            <w:vAlign w:val="bottom"/>
            <w:tcBorders>
              <w:left w:val="single" w:sz="8" w:color="auto"/>
            </w:tcBorders>
          </w:tcPr>
          <w:p>
            <w:pPr>
              <w:jc w:val="center"/>
              <w:ind w:left="108"/>
              <w:spacing w:after="0" w:line="252" w:lineRule="exact"/>
              <w:rPr>
                <w:sz w:val="20"/>
                <w:szCs w:val="20"/>
                <w:color w:val="auto"/>
              </w:rPr>
            </w:pPr>
            <w:r>
              <w:rPr>
                <w:rFonts w:ascii="Times New Roman" w:cs="Times New Roman" w:eastAsia="Times New Roman" w:hAnsi="Times New Roman"/>
                <w:sz w:val="29"/>
                <w:szCs w:val="29"/>
                <w:b w:val="1"/>
                <w:bCs w:val="1"/>
                <w:color w:val="auto"/>
              </w:rPr>
              <w:t>2</w:t>
            </w:r>
          </w:p>
        </w:tc>
        <w:tc>
          <w:tcPr>
            <w:tcW w:w="240" w:type="dxa"/>
            <w:vAlign w:val="bottom"/>
            <w:tcBorders>
              <w:right w:val="single" w:sz="8" w:color="auto"/>
            </w:tcBorders>
          </w:tcPr>
          <w:p>
            <w:pPr>
              <w:spacing w:after="0"/>
              <w:rPr>
                <w:sz w:val="21"/>
                <w:szCs w:val="21"/>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4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line="24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4"/>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line="242"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right w:val="single" w:sz="8" w:color="auto"/>
            </w:tcBorders>
          </w:tcPr>
          <w:p>
            <w:pPr>
              <w:spacing w:after="0"/>
              <w:rPr>
                <w:sz w:val="24"/>
                <w:szCs w:val="24"/>
                <w:color w:val="auto"/>
              </w:rPr>
            </w:pPr>
          </w:p>
        </w:tc>
        <w:tc>
          <w:tcPr>
            <w:tcW w:w="1900" w:type="dxa"/>
            <w:vAlign w:val="bottom"/>
            <w:tcBorders>
              <w:bottom w:val="single" w:sz="8" w:color="CCCCCC"/>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20" w:type="dxa"/>
            <w:vAlign w:val="bottom"/>
            <w:tcBorders>
              <w:bottom w:val="single" w:sz="8" w:color="CCCCCC"/>
              <w:right w:val="single" w:sz="8" w:color="CCCCCC"/>
            </w:tcBorders>
            <w:shd w:val="clear" w:color="auto" w:fill="CCCCCC"/>
          </w:tcPr>
          <w:p>
            <w:pPr>
              <w:spacing w:after="0"/>
              <w:rPr>
                <w:sz w:val="24"/>
                <w:szCs w:val="24"/>
                <w:color w:val="auto"/>
              </w:rPr>
            </w:pPr>
          </w:p>
        </w:tc>
        <w:tc>
          <w:tcPr>
            <w:tcW w:w="3780" w:type="dxa"/>
            <w:vAlign w:val="bottom"/>
            <w:tcBorders>
              <w:bottom w:val="single" w:sz="8" w:color="CCCCCC"/>
            </w:tcBorders>
            <w:shd w:val="clear" w:color="auto" w:fill="CCCCCC"/>
          </w:tcPr>
          <w:p>
            <w:pPr>
              <w:spacing w:after="0"/>
              <w:rPr>
                <w:sz w:val="24"/>
                <w:szCs w:val="24"/>
                <w:color w:val="auto"/>
              </w:rPr>
            </w:pPr>
          </w:p>
        </w:tc>
        <w:tc>
          <w:tcPr>
            <w:tcW w:w="780" w:type="dxa"/>
            <w:vAlign w:val="bottom"/>
            <w:tcBorders>
              <w:left w:val="single" w:sz="8" w:color="CCCCCC"/>
              <w:bottom w:val="single" w:sz="8" w:color="CCCCCC"/>
            </w:tcBorders>
            <w:shd w:val="clear" w:color="auto" w:fill="CCCCCC"/>
          </w:tcPr>
          <w:p>
            <w:pPr>
              <w:spacing w:after="0"/>
              <w:rPr>
                <w:sz w:val="24"/>
                <w:szCs w:val="24"/>
                <w:color w:val="auto"/>
              </w:rPr>
            </w:pPr>
          </w:p>
        </w:tc>
        <w:tc>
          <w:tcPr>
            <w:tcW w:w="1040" w:type="dxa"/>
            <w:vAlign w:val="bottom"/>
            <w:tcBorders>
              <w:bottom w:val="single" w:sz="8" w:color="CCCCCC"/>
              <w:right w:val="single" w:sz="8" w:color="CCCCCC"/>
            </w:tcBorders>
            <w:shd w:val="clear" w:color="auto" w:fill="CCCCCC"/>
          </w:tcPr>
          <w:p>
            <w:pPr>
              <w:spacing w:after="0"/>
              <w:rPr>
                <w:sz w:val="24"/>
                <w:szCs w:val="24"/>
                <w:color w:val="auto"/>
              </w:rPr>
            </w:pPr>
          </w:p>
        </w:tc>
        <w:tc>
          <w:tcPr>
            <w:tcW w:w="190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top w:val="single" w:sz="8" w:color="auto"/>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top w:val="single" w:sz="8" w:color="auto"/>
              <w:right w:val="single" w:sz="8" w:color="auto"/>
            </w:tcBorders>
          </w:tcPr>
          <w:p>
            <w:pPr>
              <w:spacing w:after="0"/>
              <w:rPr>
                <w:sz w:val="24"/>
                <w:szCs w:val="24"/>
                <w:color w:val="auto"/>
              </w:rPr>
            </w:pPr>
          </w:p>
        </w:tc>
        <w:tc>
          <w:tcPr>
            <w:tcW w:w="74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4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3"/>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7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04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1,950,609</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7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40" w:type="dxa"/>
            <w:vAlign w:val="bottom"/>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8"/>
                <w:szCs w:val="18"/>
                <w:color w:val="auto"/>
                <w:w w:val="99"/>
              </w:rPr>
              <w:t>EACH REPORTING</w:t>
            </w:r>
          </w:p>
        </w:tc>
        <w:tc>
          <w:tcPr>
            <w:tcW w:w="8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1,950,609</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1,950,609</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8"/>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8"/>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Page 4 of 8 Pages</w:t>
            </w: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6" w:right="33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AnaptysBio, Inc., a Delaware corporation (the "Issuer")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10770 Wateridge Circle, Suite 210, San Diego, CA 92121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9" w:lineRule="exact"/>
        <w:rPr>
          <w:sz w:val="20"/>
          <w:szCs w:val="20"/>
          <w:color w:val="auto"/>
        </w:rPr>
      </w:pPr>
    </w:p>
    <w:p>
      <w:pPr>
        <w:ind w:left="1300" w:right="240"/>
        <w:spacing w:after="0" w:line="266" w:lineRule="auto"/>
        <w:rPr>
          <w:sz w:val="20"/>
          <w:szCs w:val="20"/>
          <w:color w:val="auto"/>
        </w:rPr>
      </w:pPr>
      <w:r>
        <w:rPr>
          <w:rFonts w:ascii="Times New Roman" w:cs="Times New Roman" w:eastAsia="Times New Roman" w:hAnsi="Times New Roman"/>
          <w:sz w:val="18"/>
          <w:szCs w:val="18"/>
          <w:color w:val="auto"/>
        </w:rPr>
        <w:t>This Statement on Schedule 13G (this “Statement”) is filed by Tang Capital Partners, LP (“Tang Capital Partners”); Tang Capital Management, LLC, the general partner of Tang Capital Partners (“Tang Capital Management”); and Kevin Tang, the manager of Tang Capital Management.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color w:val="auto"/>
        </w:rPr>
        <w:t>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4747 Executive Drive, Suite 210, San Diego, CA 92121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Tang Capital Partners is a Delaware limited partnership. Tang Capital Management is a Delaware limited liability company. Mr. Tang is a United States citizen.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par value $0.001 per share (the “Common Stock”)</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color w:val="auto"/>
        </w:rPr>
        <w:t>CUSIP Number: 032724106</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1300" w:hanging="48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Tang Capital Partners. </w:t>
      </w:r>
      <w:r>
        <w:rPr>
          <w:rFonts w:ascii="Times New Roman" w:cs="Times New Roman" w:eastAsia="Times New Roman" w:hAnsi="Times New Roman"/>
          <w:sz w:val="18"/>
          <w:szCs w:val="18"/>
          <w:color w:val="auto"/>
        </w:rPr>
        <w:t>Tang Capital Partners beneficially owns 1,950,609 shares of the Issuer’s Common Stock.</w:t>
      </w:r>
    </w:p>
    <w:p>
      <w:pPr>
        <w:spacing w:after="0" w:line="229" w:lineRule="exact"/>
        <w:rPr>
          <w:rFonts w:ascii="Times New Roman" w:cs="Times New Roman" w:eastAsia="Times New Roman" w:hAnsi="Times New Roman"/>
          <w:sz w:val="18"/>
          <w:szCs w:val="18"/>
          <w:color w:val="auto"/>
        </w:rPr>
      </w:pPr>
    </w:p>
    <w:p>
      <w:pPr>
        <w:jc w:val="both"/>
        <w:ind w:left="1300" w:right="9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Tang Capital Partners shares voting and dispositive power over such shares with Tang Capital Management and Kevin Tang. </w:t>
      </w:r>
      <w:r>
        <w:rPr>
          <w:rFonts w:ascii="Times New Roman" w:cs="Times New Roman" w:eastAsia="Times New Roman" w:hAnsi="Times New Roman"/>
          <w:sz w:val="18"/>
          <w:szCs w:val="18"/>
          <w:b w:val="1"/>
          <w:bCs w:val="1"/>
          <w:color w:val="auto"/>
        </w:rPr>
        <w:t xml:space="preserve">Tang Capital Management. </w:t>
      </w:r>
      <w:r>
        <w:rPr>
          <w:rFonts w:ascii="Times New Roman" w:cs="Times New Roman" w:eastAsia="Times New Roman" w:hAnsi="Times New Roman"/>
          <w:sz w:val="18"/>
          <w:szCs w:val="18"/>
          <w:color w:val="auto"/>
        </w:rPr>
        <w:t>Tang Capital Management beneficially owns 1,950,609 shares of the Issuer’s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Tang Capital Management shares voting and dispositive power over such shares with Tang Capital Partners and Kevin Tang. </w:t>
      </w:r>
      <w:r>
        <w:rPr>
          <w:rFonts w:ascii="Times New Roman" w:cs="Times New Roman" w:eastAsia="Times New Roman" w:hAnsi="Times New Roman"/>
          <w:sz w:val="18"/>
          <w:szCs w:val="18"/>
          <w:b w:val="1"/>
          <w:bCs w:val="1"/>
          <w:color w:val="auto"/>
        </w:rPr>
        <w:t xml:space="preserve">Kevin Tang. </w:t>
      </w:r>
      <w:r>
        <w:rPr>
          <w:rFonts w:ascii="Times New Roman" w:cs="Times New Roman" w:eastAsia="Times New Roman" w:hAnsi="Times New Roman"/>
          <w:sz w:val="18"/>
          <w:szCs w:val="18"/>
          <w:color w:val="auto"/>
        </w:rPr>
        <w:t>Kevin Tang beneficially owns 1,950,609 shares of the Issuer’s Common Stock.</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Tang shares voting and dispositive power over such shares with Tang Capital Partners and Tang Capital Management.</w:t>
      </w:r>
    </w:p>
    <w:p>
      <w:pPr>
        <w:spacing w:after="0" w:line="225" w:lineRule="exact"/>
        <w:rPr>
          <w:rFonts w:ascii="Times New Roman" w:cs="Times New Roman" w:eastAsia="Times New Roman" w:hAnsi="Times New Roman"/>
          <w:sz w:val="18"/>
          <w:szCs w:val="18"/>
          <w:color w:val="auto"/>
        </w:rPr>
      </w:pPr>
    </w:p>
    <w:p>
      <w:pPr>
        <w:ind w:left="1300" w:right="3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percentages used herein are based on 26,575,178 shares of Common Stock outstanding as of October 30, 2023, as set forth in the Issuer’s Quarterly Report filed on Form 10-Q that was filed with the Securities and Exchange Commission on November 2, 2023.</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6" w:right="379" w:bottom="1440" w:gutter="0" w:footer="0" w:header="0"/>
        </w:sectPr>
      </w:pPr>
    </w:p>
    <w:bookmarkStart w:id="5" w:name="page6"/>
    <w:bookmarkEnd w:id="5"/>
    <w:tbl>
      <w:tblPr>
        <w:tblLayout w:type="fixed"/>
        <w:tblInd w:w="82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 of Class:</w:t>
            </w:r>
          </w:p>
        </w:tc>
        <w:tc>
          <w:tcPr>
            <w:tcW w:w="16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Tang Capital Partners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4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Tang Capital Management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34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Tang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c>
          <w:tcPr>
            <w:tcW w:w="16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1600" w:type="dxa"/>
            <w:vAlign w:val="bottom"/>
          </w:tcPr>
          <w:p>
            <w:pPr>
              <w:spacing w:after="0"/>
              <w:rPr>
                <w:sz w:val="24"/>
                <w:szCs w:val="24"/>
                <w:color w:val="auto"/>
              </w:rPr>
            </w:pPr>
          </w:p>
        </w:tc>
      </w:tr>
    </w:tbl>
    <w:p>
      <w:pPr>
        <w:spacing w:after="0" w:line="198" w:lineRule="exact"/>
        <w:rPr>
          <w:sz w:val="20"/>
          <w:szCs w:val="20"/>
          <w:color w:val="auto"/>
        </w:rPr>
      </w:pPr>
    </w:p>
    <w:p>
      <w:pPr>
        <w:sectPr>
          <w:pgSz w:w="11900" w:h="16838" w:orient="portrait"/>
          <w:cols w:equalWidth="0" w:num="1">
            <w:col w:w="10980"/>
          </w:cols>
          <w:pgMar w:left="320" w:top="810" w:right="599" w:bottom="1440" w:gutter="0" w:footer="0" w:header="0"/>
        </w:sectPr>
      </w:pPr>
    </w:p>
    <w:p>
      <w:pPr>
        <w:ind w:left="172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0" w:lineRule="exact"/>
        <w:rPr>
          <w:sz w:val="20"/>
          <w:szCs w:val="20"/>
          <w:color w:val="auto"/>
        </w:rPr>
      </w:pPr>
    </w:p>
    <w:p>
      <w:pPr>
        <w:sectPr>
          <w:pgSz w:w="11900" w:h="16838" w:orient="portrait"/>
          <w:cols w:equalWidth="0" w:num="2">
            <w:col w:w="6500" w:space="720"/>
            <w:col w:w="3760"/>
          </w:cols>
          <w:pgMar w:left="320" w:top="810" w:right="599" w:bottom="1440" w:gutter="0" w:footer="0" w:header="0"/>
          <w:type w:val="continuous"/>
        </w:sectPr>
      </w:pPr>
    </w:p>
    <w:p>
      <w:pPr>
        <w:spacing w:after="0" w:line="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(ii)</w:t>
        <w:tab/>
        <w:t>shared power to vote or to direct the vote:</w:t>
      </w:r>
    </w:p>
    <w:p>
      <w:pPr>
        <w:sectPr>
          <w:pgSz w:w="11900" w:h="16838" w:orient="portrait"/>
          <w:cols w:equalWidth="0" w:num="1">
            <w:col w:w="10980"/>
          </w:cols>
          <w:pgMar w:left="320" w:top="810" w:right="599" w:bottom="1440" w:gutter="0" w:footer="0" w:header="0"/>
          <w:type w:val="continuous"/>
        </w:sectPr>
      </w:pPr>
    </w:p>
    <w:p>
      <w:pPr>
        <w:spacing w:after="0" w:line="2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1,950,609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1,950,609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1,950,609 shares</w:t>
      </w:r>
    </w:p>
    <w:p>
      <w:pPr>
        <w:spacing w:after="0" w:line="200" w:lineRule="exact"/>
        <w:rPr>
          <w:sz w:val="20"/>
          <w:szCs w:val="20"/>
          <w:color w:val="auto"/>
        </w:rPr>
      </w:pPr>
    </w:p>
    <w:p>
      <w:pPr>
        <w:sectPr>
          <w:pgSz w:w="11900" w:h="16838" w:orient="portrait"/>
          <w:cols w:equalWidth="0" w:num="2">
            <w:col w:w="6500" w:space="720"/>
            <w:col w:w="3760"/>
          </w:cols>
          <w:pgMar w:left="320" w:top="810" w:right="599" w:bottom="1440" w:gutter="0" w:footer="0" w:header="0"/>
          <w:type w:val="continuous"/>
        </w:sectPr>
      </w:pPr>
    </w:p>
    <w:p>
      <w:pPr>
        <w:spacing w:after="0" w:line="7"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7"/>
          <w:szCs w:val="17"/>
          <w:color w:val="auto"/>
        </w:rPr>
        <w:t>(iii)</w:t>
        <w:tab/>
        <w:t>sole power to dispose or to direct the disposition of:</w:t>
      </w:r>
    </w:p>
    <w:p>
      <w:pPr>
        <w:sectPr>
          <w:pgSz w:w="11900" w:h="16838" w:orient="portrait"/>
          <w:cols w:equalWidth="0" w:num="1">
            <w:col w:w="10980"/>
          </w:cols>
          <w:pgMar w:left="320" w:top="810" w:right="599" w:bottom="1440" w:gutter="0" w:footer="0" w:header="0"/>
          <w:type w:val="continuous"/>
        </w:sectPr>
      </w:pPr>
    </w:p>
    <w:p>
      <w:pPr>
        <w:spacing w:after="0" w:line="2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0" w:lineRule="exact"/>
        <w:rPr>
          <w:sz w:val="20"/>
          <w:szCs w:val="20"/>
          <w:color w:val="auto"/>
        </w:rPr>
      </w:pPr>
    </w:p>
    <w:p>
      <w:pPr>
        <w:sectPr>
          <w:pgSz w:w="11900" w:h="16838" w:orient="portrait"/>
          <w:cols w:equalWidth="0" w:num="2">
            <w:col w:w="6500" w:space="720"/>
            <w:col w:w="3760"/>
          </w:cols>
          <w:pgMar w:left="320" w:top="810" w:right="599" w:bottom="1440" w:gutter="0" w:footer="0" w:header="0"/>
          <w:type w:val="continuous"/>
        </w:sectPr>
      </w:pPr>
    </w:p>
    <w:p>
      <w:pPr>
        <w:spacing w:after="0" w:line="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(iv)</w:t>
        <w:tab/>
        <w:t>shared power to dispose or to direct the disposition of:</w:t>
      </w:r>
    </w:p>
    <w:p>
      <w:pPr>
        <w:sectPr>
          <w:pgSz w:w="11900" w:h="16838" w:orient="portrait"/>
          <w:cols w:equalWidth="0" w:num="1">
            <w:col w:w="10980"/>
          </w:cols>
          <w:pgMar w:left="320" w:top="810" w:right="599" w:bottom="1440" w:gutter="0" w:footer="0" w:header="0"/>
          <w:type w:val="continuous"/>
        </w:sectPr>
      </w:pPr>
    </w:p>
    <w:p>
      <w:pPr>
        <w:spacing w:after="0" w:line="2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1,950,609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1,950,609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1,950,609 shares</w:t>
      </w:r>
    </w:p>
    <w:p>
      <w:pPr>
        <w:spacing w:after="0" w:line="200" w:lineRule="exact"/>
        <w:rPr>
          <w:sz w:val="20"/>
          <w:szCs w:val="20"/>
          <w:color w:val="auto"/>
        </w:rPr>
      </w:pPr>
    </w:p>
    <w:p>
      <w:pPr>
        <w:sectPr>
          <w:pgSz w:w="11900" w:h="16838" w:orient="portrait"/>
          <w:cols w:equalWidth="0" w:num="2">
            <w:col w:w="6500" w:space="720"/>
            <w:col w:w="3760"/>
          </w:cols>
          <w:pgMar w:left="320" w:top="810" w:right="599" w:bottom="1440" w:gutter="0" w:footer="0" w:header="0"/>
          <w:type w:val="continuous"/>
        </w:sectPr>
      </w:pPr>
    </w:p>
    <w:p>
      <w:pPr>
        <w:spacing w:after="0" w:line="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820"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810" w:right="599" w:bottom="1440" w:gutter="0" w:footer="0" w:header="0"/>
          <w:type w:val="continuous"/>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06" w:right="53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Tang Capital Management, LLC, its General Partner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Kevin Tang, Manager</w:t>
            </w:r>
          </w:p>
        </w:tc>
      </w:tr>
      <w:tr>
        <w:trPr>
          <w:trHeight w:val="6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228"/>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Kevin Tang, Manager</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Tang</w:t>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80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2024-02-14T15:13:31Z</dcterms:created>
  <dcterms:modified xsi:type="dcterms:W3CDTF">2024-02-14T15:13:31Z</dcterms:modified>
</cp:coreProperties>
</file>