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March 1, 2023</w:t>
      </w:r>
    </w:p>
    <w:p>
      <w:pPr>
        <w:spacing w:after="0" w:line="77"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134620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jc w:val="center"/>
        <w:ind w:right="-19"/>
        <w:spacing w:after="0" w:line="212" w:lineRule="auto"/>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 xml:space="preserve">UNDER </w:t>
      </w:r>
      <w:r>
        <w:rPr>
          <w:rFonts w:ascii="Arial" w:cs="Arial" w:eastAsia="Arial" w:hAnsi="Arial"/>
          <w:sz w:val="17"/>
          <w:szCs w:val="17"/>
          <w:b w:val="1"/>
          <w:bCs w:val="1"/>
          <w:i w:val="1"/>
          <w:iCs w:val="1"/>
          <w:color w:val="auto"/>
        </w:rPr>
        <w:t>THE</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ANAPTYSBIO,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31" w:lineRule="exact"/>
        <w:rPr>
          <w:sz w:val="24"/>
          <w:szCs w:val="24"/>
          <w:color w:val="auto"/>
        </w:rPr>
      </w:pPr>
    </w:p>
    <w:p>
      <w:pPr>
        <w:sectPr>
          <w:pgSz w:w="11900" w:h="16838" w:orient="portrait"/>
          <w:cols w:equalWidth="0" w:num="2">
            <w:col w:w="7420" w:space="720"/>
            <w:col w:w="3100"/>
          </w:cols>
          <w:pgMar w:left="320" w:top="1440" w:right="3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140" w:space="720"/>
            <w:col w:w="3380"/>
          </w:cols>
          <w:pgMar w:left="320" w:top="1440" w:right="339" w:bottom="1440" w:gutter="0" w:footer="0" w:header="0"/>
          <w:type w:val="continuous"/>
        </w:sectPr>
      </w:pPr>
    </w:p>
    <w:p>
      <w:pPr>
        <w:spacing w:after="0" w:line="3" w:lineRule="exact"/>
        <w:rPr>
          <w:sz w:val="24"/>
          <w:szCs w:val="24"/>
          <w:color w:val="auto"/>
        </w:rPr>
      </w:pPr>
    </w:p>
    <w:p>
      <w:pPr>
        <w:ind w:left="4320"/>
        <w:spacing w:after="0"/>
        <w:rPr>
          <w:sz w:val="20"/>
          <w:szCs w:val="20"/>
          <w:color w:val="auto"/>
        </w:rPr>
      </w:pPr>
      <w:r>
        <w:rPr>
          <w:rFonts w:ascii="Arial" w:cs="Arial" w:eastAsia="Arial" w:hAnsi="Arial"/>
          <w:sz w:val="16"/>
          <w:szCs w:val="16"/>
          <w:b w:val="1"/>
          <w:bCs w:val="1"/>
          <w:color w:val="auto"/>
        </w:rPr>
        <w:t>10770 Wateridge Circle, Suite 210</w:t>
      </w:r>
    </w:p>
    <w:p>
      <w:pPr>
        <w:jc w:val="center"/>
        <w:spacing w:after="0" w:line="232" w:lineRule="auto"/>
        <w:rPr>
          <w:sz w:val="20"/>
          <w:szCs w:val="20"/>
          <w:color w:val="auto"/>
        </w:rPr>
      </w:pPr>
      <w:r>
        <w:rPr>
          <w:rFonts w:ascii="Arial" w:cs="Arial" w:eastAsia="Arial" w:hAnsi="Arial"/>
          <w:sz w:val="18"/>
          <w:szCs w:val="18"/>
          <w:b w:val="1"/>
          <w:bCs w:val="1"/>
          <w:color w:val="auto"/>
        </w:rPr>
        <w:t>San Diego, CA 92121</w:t>
      </w:r>
    </w:p>
    <w:p>
      <w:pPr>
        <w:jc w:val="center"/>
        <w:spacing w:after="0"/>
        <w:rPr>
          <w:sz w:val="20"/>
          <w:szCs w:val="20"/>
          <w:color w:val="auto"/>
        </w:rPr>
      </w:pPr>
      <w:r>
        <w:rPr>
          <w:rFonts w:ascii="Arial" w:cs="Arial" w:eastAsia="Arial" w:hAnsi="Arial"/>
          <w:sz w:val="18"/>
          <w:szCs w:val="18"/>
          <w:b w:val="1"/>
          <w:bCs w:val="1"/>
          <w:color w:val="auto"/>
        </w:rPr>
        <w:t>(858) 362-6295</w:t>
      </w:r>
    </w:p>
    <w:p>
      <w:pPr>
        <w:sectPr>
          <w:pgSz w:w="11900" w:h="16838" w:orient="portrait"/>
          <w:cols w:equalWidth="0" w:num="1">
            <w:col w:w="11240"/>
          </w:cols>
          <w:pgMar w:left="320" w:top="1440" w:right="339" w:bottom="1440" w:gutter="0" w:footer="0" w:header="0"/>
          <w:type w:val="continuous"/>
        </w:sectPr>
      </w:pPr>
    </w:p>
    <w:p>
      <w:pPr>
        <w:jc w:val="center"/>
        <w:spacing w:after="0" w:line="194" w:lineRule="auto"/>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2017 Equity Incentive Plan</w:t>
      </w:r>
    </w:p>
    <w:p>
      <w:pPr>
        <w:jc w:val="center"/>
        <w:spacing w:after="0" w:line="209" w:lineRule="auto"/>
        <w:rPr>
          <w:sz w:val="20"/>
          <w:szCs w:val="20"/>
          <w:color w:val="auto"/>
        </w:rPr>
      </w:pPr>
      <w:r>
        <w:rPr>
          <w:rFonts w:ascii="Arial" w:cs="Arial" w:eastAsia="Arial" w:hAnsi="Arial"/>
          <w:sz w:val="18"/>
          <w:szCs w:val="18"/>
          <w:b w:val="1"/>
          <w:bCs w:val="1"/>
          <w:color w:val="auto"/>
        </w:rPr>
        <w:t>2017 Employee Stock Purchase Plan</w:t>
      </w: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78"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Daniel Faga</w:t>
      </w:r>
    </w:p>
    <w:p>
      <w:pPr>
        <w:ind w:left="3840"/>
        <w:spacing w:after="0" w:line="205" w:lineRule="auto"/>
        <w:rPr>
          <w:sz w:val="20"/>
          <w:szCs w:val="20"/>
          <w:color w:val="auto"/>
        </w:rPr>
      </w:pPr>
      <w:r>
        <w:rPr>
          <w:rFonts w:ascii="Arial" w:cs="Arial" w:eastAsia="Arial" w:hAnsi="Arial"/>
          <w:sz w:val="18"/>
          <w:szCs w:val="18"/>
          <w:b w:val="1"/>
          <w:bCs w:val="1"/>
          <w:color w:val="auto"/>
        </w:rPr>
        <w:t>Interim President and Chief Executive Officer</w:t>
      </w:r>
    </w:p>
    <w:p>
      <w:pPr>
        <w:jc w:val="center"/>
        <w:spacing w:after="0" w:line="204" w:lineRule="auto"/>
        <w:rPr>
          <w:sz w:val="20"/>
          <w:szCs w:val="20"/>
          <w:color w:val="auto"/>
        </w:rPr>
      </w:pPr>
      <w:r>
        <w:rPr>
          <w:rFonts w:ascii="Arial" w:cs="Arial" w:eastAsia="Arial" w:hAnsi="Arial"/>
          <w:sz w:val="18"/>
          <w:szCs w:val="18"/>
          <w:b w:val="1"/>
          <w:bCs w:val="1"/>
          <w:color w:val="auto"/>
        </w:rPr>
        <w:t>AnaptysBio, Inc.</w:t>
      </w:r>
    </w:p>
    <w:p>
      <w:pPr>
        <w:jc w:val="center"/>
        <w:spacing w:after="0" w:line="219" w:lineRule="auto"/>
        <w:rPr>
          <w:sz w:val="20"/>
          <w:szCs w:val="20"/>
          <w:color w:val="auto"/>
        </w:rPr>
      </w:pPr>
      <w:r>
        <w:rPr>
          <w:rFonts w:ascii="Arial" w:cs="Arial" w:eastAsia="Arial" w:hAnsi="Arial"/>
          <w:sz w:val="18"/>
          <w:szCs w:val="18"/>
          <w:b w:val="1"/>
          <w:bCs w:val="1"/>
          <w:color w:val="auto"/>
        </w:rPr>
        <w:t>10770 Wateridge Circle, Suite 210</w:t>
      </w:r>
    </w:p>
    <w:p>
      <w:pPr>
        <w:jc w:val="center"/>
        <w:spacing w:after="0" w:line="203" w:lineRule="auto"/>
        <w:rPr>
          <w:sz w:val="20"/>
          <w:szCs w:val="20"/>
          <w:color w:val="auto"/>
        </w:rPr>
      </w:pPr>
      <w:r>
        <w:rPr>
          <w:rFonts w:ascii="Arial" w:cs="Arial" w:eastAsia="Arial" w:hAnsi="Arial"/>
          <w:sz w:val="18"/>
          <w:szCs w:val="18"/>
          <w:b w:val="1"/>
          <w:bCs w:val="1"/>
          <w:color w:val="auto"/>
        </w:rPr>
        <w:t>San Diego, CA 92121</w:t>
      </w:r>
    </w:p>
    <w:p>
      <w:pPr>
        <w:jc w:val="center"/>
        <w:spacing w:after="0" w:line="194" w:lineRule="auto"/>
        <w:rPr>
          <w:sz w:val="20"/>
          <w:szCs w:val="20"/>
          <w:color w:val="auto"/>
        </w:rPr>
      </w:pPr>
      <w:r>
        <w:rPr>
          <w:rFonts w:ascii="Arial" w:cs="Arial" w:eastAsia="Arial" w:hAnsi="Arial"/>
          <w:sz w:val="18"/>
          <w:szCs w:val="18"/>
          <w:b w:val="1"/>
          <w:bCs w:val="1"/>
          <w:color w:val="auto"/>
        </w:rPr>
        <w:t>(858) 362-6295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Effie Toshav, Esq.</w:t>
      </w:r>
    </w:p>
    <w:p>
      <w:pPr>
        <w:jc w:val="center"/>
        <w:spacing w:after="0" w:line="219" w:lineRule="auto"/>
        <w:rPr>
          <w:sz w:val="20"/>
          <w:szCs w:val="20"/>
          <w:color w:val="auto"/>
        </w:rPr>
      </w:pPr>
      <w:r>
        <w:rPr>
          <w:rFonts w:ascii="Arial" w:cs="Arial" w:eastAsia="Arial" w:hAnsi="Arial"/>
          <w:sz w:val="18"/>
          <w:szCs w:val="18"/>
          <w:b w:val="1"/>
          <w:bCs w:val="1"/>
          <w:color w:val="auto"/>
        </w:rPr>
        <w:t>Ryan Mitteness, Esq.</w:t>
      </w:r>
    </w:p>
    <w:p>
      <w:pPr>
        <w:jc w:val="center"/>
        <w:spacing w:after="0" w:line="203" w:lineRule="auto"/>
        <w:rPr>
          <w:sz w:val="20"/>
          <w:szCs w:val="20"/>
          <w:color w:val="auto"/>
        </w:rPr>
      </w:pPr>
      <w:r>
        <w:rPr>
          <w:rFonts w:ascii="Arial" w:cs="Arial" w:eastAsia="Arial" w:hAnsi="Arial"/>
          <w:sz w:val="18"/>
          <w:szCs w:val="18"/>
          <w:b w:val="1"/>
          <w:bCs w:val="1"/>
          <w:color w:val="auto"/>
        </w:rPr>
        <w:t>Fenwick &amp; West LLP</w:t>
      </w:r>
    </w:p>
    <w:p>
      <w:pPr>
        <w:jc w:val="center"/>
        <w:spacing w:after="0" w:line="204" w:lineRule="auto"/>
        <w:rPr>
          <w:sz w:val="20"/>
          <w:szCs w:val="20"/>
          <w:color w:val="auto"/>
        </w:rPr>
      </w:pPr>
      <w:r>
        <w:rPr>
          <w:rFonts w:ascii="Arial" w:cs="Arial" w:eastAsia="Arial" w:hAnsi="Arial"/>
          <w:sz w:val="18"/>
          <w:szCs w:val="18"/>
          <w:b w:val="1"/>
          <w:bCs w:val="1"/>
          <w:color w:val="auto"/>
        </w:rPr>
        <w:t>555 California Street</w:t>
      </w:r>
    </w:p>
    <w:p>
      <w:pPr>
        <w:jc w:val="center"/>
        <w:spacing w:after="0" w:line="219" w:lineRule="auto"/>
        <w:rPr>
          <w:sz w:val="20"/>
          <w:szCs w:val="20"/>
          <w:color w:val="auto"/>
        </w:rPr>
      </w:pPr>
      <w:r>
        <w:rPr>
          <w:rFonts w:ascii="Arial" w:cs="Arial" w:eastAsia="Arial" w:hAnsi="Arial"/>
          <w:sz w:val="18"/>
          <w:szCs w:val="18"/>
          <w:b w:val="1"/>
          <w:bCs w:val="1"/>
          <w:color w:val="auto"/>
        </w:rPr>
        <w:t>San Francisco, CA 94104</w:t>
      </w:r>
    </w:p>
    <w:p>
      <w:pPr>
        <w:ind w:left="5500" w:hanging="438"/>
        <w:spacing w:after="0" w:line="206" w:lineRule="auto"/>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875-2300</w:t>
      </w:r>
    </w:p>
    <w:p>
      <w:pPr>
        <w:ind w:left="4740"/>
        <w:spacing w:after="0"/>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______________________</w:t>
      </w:r>
    </w:p>
    <w:p>
      <w:pPr>
        <w:spacing w:after="0" w:line="28" w:lineRule="exact"/>
        <w:rPr>
          <w:sz w:val="24"/>
          <w:szCs w:val="24"/>
          <w:color w:val="auto"/>
        </w:rPr>
      </w:pPr>
    </w:p>
    <w:p>
      <w:pPr>
        <w:jc w:val="both"/>
        <w:spacing w:after="0" w:line="232"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0"/>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80" w:type="dxa"/>
            <w:vAlign w:val="bottom"/>
          </w:tcPr>
          <w:p>
            <w:pPr>
              <w:ind w:left="740"/>
              <w:spacing w:after="0"/>
              <w:rPr>
                <w:sz w:val="20"/>
                <w:szCs w:val="20"/>
                <w:color w:val="auto"/>
              </w:rPr>
            </w:pPr>
            <w:r>
              <w:rPr>
                <w:rFonts w:ascii="Arial" w:cs="Arial" w:eastAsia="Arial" w:hAnsi="Arial"/>
                <w:sz w:val="14"/>
                <w:szCs w:val="14"/>
                <w:color w:val="auto"/>
              </w:rPr>
              <w:t>x</w:t>
            </w:r>
          </w:p>
        </w:tc>
        <w:tc>
          <w:tcPr>
            <w:tcW w:w="474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40"/>
              <w:spacing w:after="0"/>
              <w:rPr>
                <w:sz w:val="20"/>
                <w:szCs w:val="20"/>
                <w:color w:val="auto"/>
              </w:rPr>
            </w:pPr>
            <w:r>
              <w:rPr>
                <w:rFonts w:ascii="Arial" w:cs="Arial" w:eastAsia="Arial" w:hAnsi="Arial"/>
                <w:sz w:val="14"/>
                <w:szCs w:val="14"/>
                <w:color w:val="auto"/>
              </w:rPr>
              <w:t>x</w:t>
            </w:r>
          </w:p>
        </w:tc>
      </w:tr>
      <w:tr>
        <w:trPr>
          <w:trHeight w:val="273"/>
        </w:trPr>
        <w:tc>
          <w:tcPr>
            <w:tcW w:w="20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474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8"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7(a)(2)(B) of the Securities Act. [ ]</w:t>
      </w:r>
    </w:p>
    <w:p>
      <w:pPr>
        <w:sectPr>
          <w:pgSz w:w="11900" w:h="16838" w:orient="portrait"/>
          <w:cols w:equalWidth="0" w:num="1">
            <w:col w:w="10940"/>
          </w:cols>
          <w:pgMar w:left="360" w:top="1440" w:right="599" w:bottom="1440" w:gutter="0" w:footer="0" w:header="0"/>
        </w:sectPr>
      </w:pPr>
    </w:p>
    <w:bookmarkStart w:id="2" w:name="page3"/>
    <w:bookmarkEnd w:id="2"/>
    <w:p>
      <w:pPr>
        <w:spacing w:after="0" w:line="19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REGISTRATION OF ADDITIONAL SHARES</w:t>
      </w:r>
    </w:p>
    <w:p>
      <w:pPr>
        <w:ind w:left="3980"/>
        <w:spacing w:after="0"/>
        <w:rPr>
          <w:sz w:val="20"/>
          <w:szCs w:val="20"/>
          <w:color w:val="auto"/>
        </w:rPr>
      </w:pPr>
      <w:r>
        <w:rPr>
          <w:rFonts w:ascii="Arial" w:cs="Arial" w:eastAsia="Arial" w:hAnsi="Arial"/>
          <w:sz w:val="18"/>
          <w:szCs w:val="18"/>
          <w:b w:val="1"/>
          <w:bCs w:val="1"/>
          <w:color w:val="auto"/>
        </w:rPr>
        <w:t>PURSUANT TO GENERAL INSTRUCTION E</w:t>
      </w:r>
    </w:p>
    <w:p>
      <w:pPr>
        <w:spacing w:after="0" w:line="209" w:lineRule="exact"/>
        <w:rPr>
          <w:sz w:val="20"/>
          <w:szCs w:val="20"/>
          <w:color w:val="auto"/>
        </w:rPr>
      </w:pPr>
    </w:p>
    <w:p>
      <w:pPr>
        <w:ind w:firstLine="405"/>
        <w:spacing w:after="0" w:line="241" w:lineRule="auto"/>
        <w:rPr>
          <w:sz w:val="20"/>
          <w:szCs w:val="20"/>
          <w:color w:val="auto"/>
        </w:rPr>
      </w:pPr>
      <w:r>
        <w:rPr>
          <w:rFonts w:ascii="Arial" w:cs="Arial" w:eastAsia="Arial" w:hAnsi="Arial"/>
          <w:sz w:val="16"/>
          <w:szCs w:val="16"/>
          <w:color w:val="auto"/>
        </w:rPr>
        <w:t>Pursuant to General Instruction E of Form S-8, AnaptysBio, Inc. (the “Registrant”) is filing this Registration Statement with the Securities and Exchange Commission (the “Commission”) to register 1,140,527 additional shares of Common Stock under the Registrant’s 2017 Equity Incentive Plan (“EIP”), pursuant to the provisions of the EIP providing for an automatic increase in the number of shares reserved for issuance under the EIP, and 285,131</w:t>
      </w:r>
    </w:p>
    <w:p>
      <w:pPr>
        <w:spacing w:after="0" w:line="2"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additional shares of Common Stock under the Registrant’s 2017 Employee Stock Purchase Plan (“ESPP”), pursuant to the provisions of the ESPP providing for an automatic increase in the number of shares reserved for issuance under the ESPP. This Registration Statement hereby incorporates by</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reference the contents of the Registrant’s registration statements on Form S-8 filed with the Commission on January 26, 2017 (Registration No. 333-215741), March 5, 2018 (Registration No. 333-223446), February 28, 2019 (Registration No. 333-229927), March 2, 2020 (Registration No. 333-236805),</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February 25, 2021 (Registration No. 333-253504), and March 7, 2022 (Registration No. 333-263332). In accordance with the instructional note to Part I of Form S-8 as promulgated by the Commission, the information specified by Part I of the Form S-8 has been omitted from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80"/>
          </w:cols>
          <w:pgMar w:left="320" w:top="1440" w:right="399" w:bottom="1440" w:gutter="0" w:footer="0" w:header="0"/>
        </w:sectPr>
      </w:pPr>
    </w:p>
    <w:bookmarkStart w:id="3" w:name="page4"/>
    <w:bookmarkEnd w:id="3"/>
    <w:p>
      <w:pPr>
        <w:spacing w:after="0" w:line="207"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5"/>
        </w:trPr>
        <w:tc>
          <w:tcPr>
            <w:tcW w:w="1320" w:type="dxa"/>
            <w:vAlign w:val="bottom"/>
            <w:vMerge w:val="continue"/>
          </w:tcPr>
          <w:p>
            <w:pPr>
              <w:spacing w:after="0"/>
              <w:rPr>
                <w:sz w:val="2"/>
                <w:szCs w:val="2"/>
                <w:color w:val="auto"/>
              </w:rPr>
            </w:pPr>
          </w:p>
        </w:tc>
        <w:tc>
          <w:tcPr>
            <w:tcW w:w="558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5580" w:type="dxa"/>
            <w:vAlign w:val="bottom"/>
            <w:gridSpan w:val="10"/>
            <w:vMerge w:val="continue"/>
          </w:tcPr>
          <w:p>
            <w:pPr>
              <w:spacing w:after="0"/>
              <w:rPr>
                <w:sz w:val="16"/>
                <w:szCs w:val="16"/>
                <w:color w:val="auto"/>
              </w:rPr>
            </w:pPr>
          </w:p>
        </w:tc>
        <w:tc>
          <w:tcPr>
            <w:tcW w:w="5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File No.</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0"/>
                <w:szCs w:val="20"/>
                <w:color w:val="auto"/>
              </w:rPr>
            </w:pPr>
            <w:r>
              <w:rPr>
                <w:rFonts w:ascii="Arial" w:cs="Arial" w:eastAsia="Arial" w:hAnsi="Arial"/>
                <w:sz w:val="18"/>
                <w:szCs w:val="18"/>
                <w:color w:val="auto"/>
              </w:rPr>
              <w:t>4.1</w:t>
            </w:r>
          </w:p>
        </w:tc>
        <w:tc>
          <w:tcPr>
            <w:tcW w:w="5580" w:type="dxa"/>
            <w:vAlign w:val="bottom"/>
            <w:gridSpan w:val="10"/>
          </w:tcPr>
          <w:p>
            <w:pPr>
              <w:spacing w:after="0"/>
              <w:rPr>
                <w:rFonts w:ascii="Arial" w:cs="Arial" w:eastAsia="Arial" w:hAnsi="Arial"/>
                <w:sz w:val="18"/>
                <w:szCs w:val="18"/>
                <w:color w:val="0000FF"/>
              </w:rPr>
            </w:pPr>
            <w:hyperlink r:id="rId13">
              <w:r>
                <w:rPr>
                  <w:rFonts w:ascii="Arial" w:cs="Arial" w:eastAsia="Arial" w:hAnsi="Arial"/>
                  <w:sz w:val="18"/>
                  <w:szCs w:val="18"/>
                  <w:color w:val="0000FF"/>
                </w:rPr>
                <w:t>Amended and Restated Certificate of Incorporation of the Registrant</w:t>
              </w:r>
            </w:hyperlink>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89"/>
              </w:rPr>
              <w:t>10-Q</w:t>
            </w: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0"/>
              </w:rPr>
              <w:t>001-37985</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4.2</w:t>
            </w:r>
          </w:p>
        </w:tc>
        <w:tc>
          <w:tcPr>
            <w:tcW w:w="4920" w:type="dxa"/>
            <w:vAlign w:val="bottom"/>
            <w:tcBorders>
              <w:top w:val="single" w:sz="8" w:color="0000FF"/>
            </w:tcBorders>
            <w:gridSpan w:val="8"/>
          </w:tcPr>
          <w:p>
            <w:pPr>
              <w:spacing w:after="0"/>
              <w:rPr>
                <w:rFonts w:ascii="Arial" w:cs="Arial" w:eastAsia="Arial" w:hAnsi="Arial"/>
                <w:sz w:val="18"/>
                <w:szCs w:val="18"/>
                <w:color w:val="0000FF"/>
              </w:rPr>
            </w:pPr>
            <w:hyperlink r:id="rId14">
              <w:r>
                <w:rPr>
                  <w:rFonts w:ascii="Arial" w:cs="Arial" w:eastAsia="Arial" w:hAnsi="Arial"/>
                  <w:sz w:val="18"/>
                  <w:szCs w:val="18"/>
                  <w:color w:val="0000FF"/>
                </w:rPr>
                <w:t>Second Amended and Restated Bylaws of the Registrant</w:t>
              </w:r>
            </w:hyperlink>
          </w:p>
        </w:tc>
        <w:tc>
          <w:tcPr>
            <w:tcW w:w="660" w:type="dxa"/>
            <w:vAlign w:val="bottom"/>
            <w:gridSpan w:val="2"/>
          </w:tcPr>
          <w:p>
            <w:pPr>
              <w:spacing w:after="0"/>
              <w:rPr>
                <w:sz w:val="24"/>
                <w:szCs w:val="24"/>
                <w:color w:val="auto"/>
              </w:rPr>
            </w:pPr>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99"/>
              </w:rPr>
              <w:t>8-K</w:t>
            </w: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0"/>
              </w:rPr>
              <w:t>001-37985</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4.3</w:t>
            </w:r>
          </w:p>
        </w:tc>
        <w:tc>
          <w:tcPr>
            <w:tcW w:w="34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Form of Registrant’s Common Stock certificate</w:t>
              </w:r>
            </w:hyperlink>
          </w:p>
        </w:tc>
        <w:tc>
          <w:tcPr>
            <w:tcW w:w="640" w:type="dxa"/>
            <w:vAlign w:val="bottom"/>
            <w:tcBorders>
              <w:top w:val="single" w:sz="8" w:color="0000FF"/>
            </w:tcBorders>
          </w:tcPr>
          <w:p>
            <w:pPr>
              <w:spacing w:after="0"/>
              <w:rPr>
                <w:sz w:val="24"/>
                <w:szCs w:val="24"/>
                <w:color w:val="auto"/>
              </w:rPr>
            </w:pPr>
          </w:p>
        </w:tc>
        <w:tc>
          <w:tcPr>
            <w:tcW w:w="1520" w:type="dxa"/>
            <w:vAlign w:val="bottom"/>
            <w:gridSpan w:val="5"/>
          </w:tcPr>
          <w:p>
            <w:pPr>
              <w:spacing w:after="0"/>
              <w:rPr>
                <w:sz w:val="24"/>
                <w:szCs w:val="24"/>
                <w:color w:val="auto"/>
              </w:rPr>
            </w:pPr>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85"/>
              </w:rPr>
              <w:t>S-1</w:t>
            </w: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333-206849</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4.4</w:t>
            </w:r>
          </w:p>
        </w:tc>
        <w:tc>
          <w:tcPr>
            <w:tcW w:w="4280" w:type="dxa"/>
            <w:vAlign w:val="bottom"/>
            <w:tcBorders>
              <w:bottom w:val="single" w:sz="8" w:color="0000FF"/>
            </w:tcBorders>
            <w:gridSpan w:val="6"/>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2017 Equity Incentive Plan and forms of award agreements</w:t>
              </w:r>
            </w:hyperlink>
          </w:p>
        </w:tc>
        <w:tc>
          <w:tcPr>
            <w:tcW w:w="1300" w:type="dxa"/>
            <w:vAlign w:val="bottom"/>
            <w:gridSpan w:val="4"/>
          </w:tcPr>
          <w:p>
            <w:pPr>
              <w:spacing w:after="0"/>
              <w:rPr>
                <w:sz w:val="24"/>
                <w:szCs w:val="24"/>
                <w:color w:val="auto"/>
              </w:rPr>
            </w:pPr>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85"/>
              </w:rPr>
              <w:t>S-1</w:t>
            </w: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333-206849</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4.5</w:t>
            </w:r>
          </w:p>
        </w:tc>
        <w:tc>
          <w:tcPr>
            <w:tcW w:w="4960" w:type="dxa"/>
            <w:vAlign w:val="bottom"/>
            <w:tcBorders>
              <w:bottom w:val="single" w:sz="8" w:color="0000FF"/>
            </w:tcBorders>
            <w:gridSpan w:val="9"/>
          </w:tcPr>
          <w:p>
            <w:pPr>
              <w:spacing w:after="0"/>
              <w:rPr>
                <w:rFonts w:ascii="Arial" w:cs="Arial" w:eastAsia="Arial" w:hAnsi="Arial"/>
                <w:sz w:val="18"/>
                <w:szCs w:val="18"/>
                <w:color w:val="0000FF"/>
                <w:w w:val="88"/>
              </w:rPr>
            </w:pPr>
            <w:hyperlink r:id="rId17">
              <w:r>
                <w:rPr>
                  <w:rFonts w:ascii="Arial" w:cs="Arial" w:eastAsia="Arial" w:hAnsi="Arial"/>
                  <w:sz w:val="18"/>
                  <w:szCs w:val="18"/>
                  <w:color w:val="0000FF"/>
                  <w:w w:val="88"/>
                </w:rPr>
                <w:t>2017 Employee Stock Purchase Plan and forms of award agreements</w:t>
              </w:r>
            </w:hyperlink>
          </w:p>
        </w:tc>
        <w:tc>
          <w:tcPr>
            <w:tcW w:w="620" w:type="dxa"/>
            <w:vAlign w:val="bottom"/>
          </w:tcPr>
          <w:p>
            <w:pPr>
              <w:spacing w:after="0"/>
              <w:rPr>
                <w:sz w:val="24"/>
                <w:szCs w:val="24"/>
                <w:color w:val="auto"/>
              </w:rPr>
            </w:pPr>
          </w:p>
        </w:tc>
        <w:tc>
          <w:tcPr>
            <w:tcW w:w="580" w:type="dxa"/>
            <w:vAlign w:val="bottom"/>
          </w:tcPr>
          <w:p>
            <w:pPr>
              <w:jc w:val="center"/>
              <w:ind w:left="13"/>
              <w:spacing w:after="0"/>
              <w:rPr>
                <w:sz w:val="20"/>
                <w:szCs w:val="20"/>
                <w:color w:val="auto"/>
              </w:rPr>
            </w:pPr>
            <w:r>
              <w:rPr>
                <w:rFonts w:ascii="Arial" w:cs="Arial" w:eastAsia="Arial" w:hAnsi="Arial"/>
                <w:sz w:val="18"/>
                <w:szCs w:val="18"/>
                <w:color w:val="auto"/>
                <w:w w:val="85"/>
              </w:rPr>
              <w:t>S-1</w:t>
            </w: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333-206849</w:t>
            </w: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5.1</w:t>
            </w:r>
          </w:p>
        </w:tc>
        <w:tc>
          <w:tcPr>
            <w:tcW w:w="24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4"/>
              </w:rPr>
              <w:t>Opinion of Fenwick &amp; West LLP</w:t>
            </w:r>
          </w:p>
        </w:tc>
        <w:tc>
          <w:tcPr>
            <w:tcW w:w="318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23.1</w:t>
            </w:r>
          </w:p>
        </w:tc>
        <w:tc>
          <w:tcPr>
            <w:tcW w:w="5580" w:type="dxa"/>
            <w:vAlign w:val="bottom"/>
            <w:gridSpan w:val="10"/>
          </w:tcPr>
          <w:p>
            <w:pPr>
              <w:spacing w:after="0"/>
              <w:rPr>
                <w:sz w:val="20"/>
                <w:szCs w:val="20"/>
                <w:color w:val="auto"/>
              </w:rPr>
            </w:pPr>
            <w:r>
              <w:rPr>
                <w:rFonts w:ascii="Arial" w:cs="Arial" w:eastAsia="Arial" w:hAnsi="Arial"/>
                <w:sz w:val="18"/>
                <w:szCs w:val="18"/>
                <w:color w:val="0000FF"/>
              </w:rPr>
              <w:t>Consent of Fenwick &amp; West LLP (contained in Exhibit 5.1)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23.2</w:t>
            </w:r>
          </w:p>
        </w:tc>
        <w:tc>
          <w:tcPr>
            <w:tcW w:w="47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Consent of KPMG, independent registered public accounting firm</w:t>
            </w:r>
          </w:p>
        </w:tc>
        <w:tc>
          <w:tcPr>
            <w:tcW w:w="82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20" w:type="dxa"/>
            <w:vAlign w:val="bottom"/>
          </w:tcPr>
          <w:p>
            <w:pPr>
              <w:spacing w:after="0"/>
              <w:rPr>
                <w:sz w:val="20"/>
                <w:szCs w:val="20"/>
                <w:color w:val="auto"/>
              </w:rPr>
            </w:pPr>
            <w:r>
              <w:rPr>
                <w:rFonts w:ascii="Arial" w:cs="Arial" w:eastAsia="Arial" w:hAnsi="Arial"/>
                <w:sz w:val="18"/>
                <w:szCs w:val="18"/>
                <w:color w:val="auto"/>
              </w:rPr>
              <w:t>24.1</w:t>
            </w:r>
          </w:p>
        </w:tc>
        <w:tc>
          <w:tcPr>
            <w:tcW w:w="13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2"/>
              </w:rPr>
              <w:t>Power of Attorney</w:t>
            </w:r>
          </w:p>
        </w:tc>
        <w:tc>
          <w:tcPr>
            <w:tcW w:w="424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20" w:type="dxa"/>
            <w:vAlign w:val="bottom"/>
          </w:tcPr>
          <w:p>
            <w:pPr>
              <w:spacing w:after="0"/>
              <w:rPr>
                <w:sz w:val="20"/>
                <w:szCs w:val="20"/>
                <w:color w:val="auto"/>
              </w:rPr>
            </w:pPr>
            <w:r>
              <w:rPr>
                <w:rFonts w:ascii="Arial" w:cs="Arial" w:eastAsia="Arial" w:hAnsi="Arial"/>
                <w:sz w:val="18"/>
                <w:szCs w:val="18"/>
                <w:color w:val="auto"/>
              </w:rPr>
              <w:t>107.1</w:t>
            </w:r>
          </w:p>
        </w:tc>
        <w:tc>
          <w:tcPr>
            <w:tcW w:w="11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Filing Fee Table</w:t>
            </w:r>
          </w:p>
        </w:tc>
        <w:tc>
          <w:tcPr>
            <w:tcW w:w="44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880" w:space="560"/>
            <w:col w:w="580"/>
          </w:cols>
          <w:pgMar w:left="320" w:top="1440" w:right="5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w:t>
      </w:r>
    </w:p>
    <w:p>
      <w:pPr>
        <w:spacing w:after="0" w:line="21" w:lineRule="exact"/>
        <w:rPr>
          <w:sz w:val="20"/>
          <w:szCs w:val="20"/>
          <w:color w:val="auto"/>
        </w:rPr>
      </w:pPr>
    </w:p>
    <w:p>
      <w:pPr>
        <w:ind w:right="700"/>
        <w:spacing w:after="0" w:line="233" w:lineRule="auto"/>
        <w:rPr>
          <w:sz w:val="20"/>
          <w:szCs w:val="20"/>
          <w:color w:val="auto"/>
        </w:rPr>
      </w:pPr>
      <w:r>
        <w:rPr>
          <w:rFonts w:ascii="Arial" w:cs="Arial" w:eastAsia="Arial" w:hAnsi="Arial"/>
          <w:sz w:val="18"/>
          <w:szCs w:val="18"/>
          <w:color w:val="auto"/>
        </w:rPr>
        <w:t>requirements for filing on Form S-8 and has duly caused this Registration Statement to be signed on its behalf by the undersigned, thereunto duly authorized, in the City of San Diego, State of California, on this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March, 2023.</w:t>
      </w:r>
    </w:p>
    <w:p>
      <w:pPr>
        <w:spacing w:after="0" w:line="11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AnaptysBio, Inc.</w:t>
      </w:r>
    </w:p>
    <w:p>
      <w:pPr>
        <w:spacing w:after="0" w:line="3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Faga</w:t>
      </w:r>
    </w:p>
    <w:p>
      <w:pPr>
        <w:ind w:left="4860"/>
        <w:spacing w:after="0" w:line="203" w:lineRule="auto"/>
        <w:rPr>
          <w:sz w:val="20"/>
          <w:szCs w:val="20"/>
          <w:color w:val="auto"/>
        </w:rPr>
      </w:pPr>
      <w:r>
        <w:rPr>
          <w:rFonts w:ascii="Arial" w:cs="Arial" w:eastAsia="Arial" w:hAnsi="Arial"/>
          <w:sz w:val="18"/>
          <w:szCs w:val="18"/>
          <w:color w:val="auto"/>
        </w:rPr>
        <w:t>Daniel Faga</w:t>
      </w:r>
    </w:p>
    <w:p>
      <w:pPr>
        <w:ind w:left="4860"/>
        <w:spacing w:after="0"/>
        <w:rPr>
          <w:sz w:val="20"/>
          <w:szCs w:val="20"/>
          <w:color w:val="auto"/>
        </w:rPr>
      </w:pPr>
      <w:r>
        <w:rPr>
          <w:rFonts w:ascii="Arial" w:cs="Arial" w:eastAsia="Arial" w:hAnsi="Arial"/>
          <w:sz w:val="18"/>
          <w:szCs w:val="18"/>
          <w:color w:val="auto"/>
        </w:rPr>
        <w:t>Interim President and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the undersigned officers and directors of AnaptysBio, Inc., a Delaware corporation,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constitute and appoint Daniel Faga, Dennis Mulroy and Eric Loumeau, and each of them, the lawful attorneys-in-fact and agents with full power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w:t>
      </w:r>
    </w:p>
    <w:p>
      <w:pPr>
        <w:spacing w:after="0" w:line="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thereof, and each of the undersigned hereby ratifies and confirms that all said attorneys and agents, or any one of them, shall do or cause to be done by virtue hereof.</w:t>
      </w:r>
    </w:p>
    <w:p>
      <w:pPr>
        <w:spacing w:after="0" w:line="188"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in the capacities and on the dates indicated.</w:t>
      </w:r>
    </w:p>
    <w:p>
      <w:pPr>
        <w:sectPr>
          <w:pgSz w:w="11900" w:h="16838" w:orient="portrait"/>
          <w:cols w:equalWidth="0" w:num="1">
            <w:col w:w="11180"/>
          </w:cols>
          <w:pgMar w:left="320" w:top="1404" w:right="399" w:bottom="1440" w:gutter="0" w:footer="0" w:header="0"/>
        </w:sectPr>
      </w:pPr>
    </w:p>
    <w:bookmarkStart w:id="5" w:name="page6"/>
    <w:bookmarkEnd w:id="5"/>
    <w:p>
      <w:pPr>
        <w:spacing w:after="0" w:line="1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00" w:val="left"/>
        </w:tabs>
        <w:rPr>
          <w:sz w:val="20"/>
          <w:szCs w:val="20"/>
          <w:color w:val="auto"/>
        </w:rPr>
      </w:pP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-1421765</wp:posOffset>
            </wp:positionH>
            <wp:positionV relativeFrom="paragraph">
              <wp:posOffset>31750</wp:posOffset>
            </wp:positionV>
            <wp:extent cx="445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40" w:space="720"/>
            <w:col w:w="4340"/>
          </w:cols>
          <w:pgMar w:left="1220" w:top="1440" w:right="779" w:bottom="1440" w:gutter="0" w:footer="0" w:header="0"/>
        </w:sectPr>
      </w:pPr>
    </w:p>
    <w:p>
      <w:pPr>
        <w:jc w:val="center"/>
        <w:ind w:right="840"/>
        <w:spacing w:after="0"/>
        <w:rPr>
          <w:sz w:val="20"/>
          <w:szCs w:val="20"/>
          <w:color w:val="auto"/>
        </w:rPr>
      </w:pPr>
      <w:r>
        <w:rPr>
          <w:rFonts w:ascii="Arial" w:cs="Arial" w:eastAsia="Arial" w:hAnsi="Arial"/>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48895</wp:posOffset>
            </wp:positionV>
            <wp:extent cx="251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Daniel Faga</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Dennis Mulroy</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Dennis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Dennis Fenton Ph.D.</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Laura J.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Laura J. Hamill</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Magda Marquet, Ph.D.</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Oleg Nodelman</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Hollings Renton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Hollings Renton</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John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John Schmid</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James N.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6"/>
          <w:szCs w:val="16"/>
          <w:color w:val="auto"/>
        </w:rPr>
        <w:t>James N. Topper, M.D., Ph.D.</w:t>
      </w:r>
    </w:p>
    <w:p>
      <w:pPr>
        <w:spacing w:after="0" w:line="16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/s/ J. Anthony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23495</wp:posOffset>
            </wp:positionV>
            <wp:extent cx="251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J. Anthony Ware, M.D.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Interim President, Chief Executive Officer and Director</w:t>
      </w:r>
    </w:p>
    <w:p>
      <w:pPr>
        <w:spacing w:after="0" w:line="8" w:lineRule="exact"/>
        <w:rPr>
          <w:sz w:val="20"/>
          <w:szCs w:val="20"/>
          <w:color w:val="auto"/>
        </w:rPr>
      </w:pPr>
    </w:p>
    <w:p>
      <w:pPr>
        <w:jc w:val="center"/>
        <w:ind w:right="38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Chief Financial Officer</w:t>
      </w:r>
    </w:p>
    <w:p>
      <w:pPr>
        <w:jc w:val="center"/>
        <w:ind w:right="38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30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March 1, 2023</w:t>
      </w:r>
    </w:p>
    <w:p>
      <w:pPr>
        <w:sectPr>
          <w:pgSz w:w="11900" w:h="16838" w:orient="portrait"/>
          <w:cols w:equalWidth="0" w:num="3">
            <w:col w:w="3020" w:space="720"/>
            <w:col w:w="4380" w:space="720"/>
            <w:col w:w="1060"/>
          </w:cols>
          <w:pgMar w:left="1220" w:top="1440" w:right="779" w:bottom="1440" w:gutter="0" w:footer="0" w:header="0"/>
          <w:type w:val="continuous"/>
        </w:sectPr>
      </w:pPr>
    </w:p>
    <w:bookmarkStart w:id="6" w:name="page7"/>
    <w:bookmarkEnd w:id="6"/>
    <w:p>
      <w:pPr>
        <w:ind w:left="10220"/>
        <w:spacing w:after="0"/>
        <w:rPr>
          <w:sz w:val="20"/>
          <w:szCs w:val="20"/>
          <w:color w:val="auto"/>
        </w:rPr>
      </w:pPr>
      <w:r>
        <w:rPr>
          <w:rFonts w:ascii="Arial" w:cs="Arial" w:eastAsia="Arial" w:hAnsi="Arial"/>
          <w:sz w:val="17"/>
          <w:szCs w:val="17"/>
          <w:b w:val="1"/>
          <w:bCs w:val="1"/>
          <w:color w:val="auto"/>
        </w:rPr>
        <w:t>Exhibit 107.1</w:t>
      </w:r>
    </w:p>
    <w:p>
      <w:pPr>
        <w:spacing w:after="0" w:line="201"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auto"/>
        </w:rPr>
        <w:t>Calculation of Filing Fee Tables</w:t>
      </w:r>
    </w:p>
    <w:p>
      <w:pPr>
        <w:jc w:val="center"/>
        <w:ind w:left="640"/>
        <w:spacing w:after="0" w:line="204" w:lineRule="auto"/>
        <w:rPr>
          <w:sz w:val="20"/>
          <w:szCs w:val="20"/>
          <w:color w:val="auto"/>
        </w:rPr>
      </w:pPr>
      <w:r>
        <w:rPr>
          <w:rFonts w:ascii="Arial" w:cs="Arial" w:eastAsia="Arial" w:hAnsi="Arial"/>
          <w:sz w:val="22"/>
          <w:szCs w:val="22"/>
          <w:color w:val="auto"/>
        </w:rPr>
        <w:t>Form S-8</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(Form Type)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AnaptysBio, Inc.</w:t>
      </w:r>
    </w:p>
    <w:p>
      <w:pPr>
        <w:jc w:val="center"/>
        <w:ind w:left="640"/>
        <w:spacing w:after="0" w:line="209" w:lineRule="auto"/>
        <w:rPr>
          <w:sz w:val="20"/>
          <w:szCs w:val="20"/>
          <w:color w:val="auto"/>
        </w:rPr>
      </w:pPr>
      <w:r>
        <w:rPr>
          <w:rFonts w:ascii="Arial" w:cs="Arial" w:eastAsia="Arial" w:hAnsi="Arial"/>
          <w:sz w:val="22"/>
          <w:szCs w:val="22"/>
          <w:color w:val="auto"/>
        </w:rPr>
        <w:t>(Exact Name of Registrant as Specified in its Charter)</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Newly Registered Securities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860" w:type="dxa"/>
            <w:vAlign w:val="bottom"/>
            <w:tcBorders>
              <w:top w:val="single" w:sz="8" w:color="auto"/>
              <w:left w:val="single" w:sz="8" w:color="auto"/>
              <w:right w:val="single" w:sz="8" w:color="auto"/>
            </w:tcBorders>
          </w:tcPr>
          <w:p>
            <w:pPr>
              <w:spacing w:after="0"/>
              <w:rPr>
                <w:sz w:val="21"/>
                <w:szCs w:val="21"/>
                <w:color w:val="auto"/>
              </w:rPr>
            </w:pPr>
          </w:p>
        </w:tc>
        <w:tc>
          <w:tcPr>
            <w:tcW w:w="254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Proposed</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Maximum</w:t>
            </w:r>
          </w:p>
        </w:tc>
        <w:tc>
          <w:tcPr>
            <w:tcW w:w="1180" w:type="dxa"/>
            <w:vAlign w:val="bottom"/>
            <w:tcBorders>
              <w:top w:val="single" w:sz="8" w:color="auto"/>
              <w:right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Security</w:t>
            </w:r>
          </w:p>
        </w:tc>
        <w:tc>
          <w:tcPr>
            <w:tcW w:w="25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Amount</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Maximum</w:t>
            </w:r>
          </w:p>
        </w:tc>
        <w:tc>
          <w:tcPr>
            <w:tcW w:w="14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Amount of</w:t>
            </w: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Security Class Title</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Fee Calculation Rule</w:t>
            </w:r>
          </w:p>
        </w:tc>
        <w:tc>
          <w:tcPr>
            <w:tcW w:w="13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Aggregate Offering</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5"/>
              </w:rPr>
              <w:t>Fee Rate</w:t>
            </w: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Type</w:t>
            </w:r>
          </w:p>
        </w:tc>
        <w:tc>
          <w:tcPr>
            <w:tcW w:w="254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340" w:type="dxa"/>
            <w:vAlign w:val="bottom"/>
            <w:tcBorders>
              <w:right w:val="single" w:sz="8" w:color="auto"/>
            </w:tcBorders>
            <w:vMerge w:val="restart"/>
          </w:tcPr>
          <w:p>
            <w:pPr>
              <w:jc w:val="center"/>
              <w:spacing w:after="0" w:line="203" w:lineRule="exact"/>
              <w:rPr>
                <w:sz w:val="20"/>
                <w:szCs w:val="20"/>
                <w:color w:val="auto"/>
              </w:rPr>
            </w:pPr>
            <w:r>
              <w:rPr>
                <w:rFonts w:ascii="Arial" w:cs="Arial" w:eastAsia="Arial" w:hAnsi="Arial"/>
                <w:sz w:val="16"/>
                <w:szCs w:val="16"/>
                <w:color w:val="auto"/>
                <w:w w:val="86"/>
              </w:rPr>
              <w:t xml:space="preserve">Registered </w:t>
            </w:r>
            <w:r>
              <w:rPr>
                <w:rFonts w:ascii="Arial" w:cs="Arial" w:eastAsia="Arial" w:hAnsi="Arial"/>
                <w:sz w:val="21"/>
                <w:szCs w:val="21"/>
                <w:color w:val="auto"/>
                <w:w w:val="86"/>
                <w:vertAlign w:val="superscript"/>
              </w:rPr>
              <w:t>(1)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Offering Price</w:t>
            </w:r>
          </w:p>
        </w:tc>
        <w:tc>
          <w:tcPr>
            <w:tcW w:w="14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Registration Fee</w:t>
            </w: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continue"/>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Price</w:t>
            </w:r>
          </w:p>
        </w:tc>
        <w:tc>
          <w:tcPr>
            <w:tcW w:w="118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60" w:type="dxa"/>
            <w:vAlign w:val="bottom"/>
            <w:tcBorders>
              <w:left w:val="single" w:sz="8" w:color="auto"/>
              <w:right w:val="single" w:sz="8" w:color="auto"/>
            </w:tcBorders>
          </w:tcPr>
          <w:p>
            <w:pPr>
              <w:spacing w:after="0"/>
              <w:rPr>
                <w:sz w:val="8"/>
                <w:szCs w:val="8"/>
                <w:color w:val="auto"/>
              </w:rPr>
            </w:pPr>
          </w:p>
        </w:tc>
        <w:tc>
          <w:tcPr>
            <w:tcW w:w="25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Per Unit</w:t>
            </w:r>
          </w:p>
        </w:tc>
        <w:tc>
          <w:tcPr>
            <w:tcW w:w="14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Equity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Rule 457(c) and Rule</w:t>
            </w:r>
          </w:p>
        </w:tc>
        <w:tc>
          <w:tcPr>
            <w:tcW w:w="1340" w:type="dxa"/>
            <w:vAlign w:val="bottom"/>
            <w:tcBorders>
              <w:right w:val="single" w:sz="8" w:color="auto"/>
            </w:tcBorders>
          </w:tcPr>
          <w:p>
            <w:pPr>
              <w:jc w:val="center"/>
              <w:ind w:right="179"/>
              <w:spacing w:after="0" w:line="220" w:lineRule="exact"/>
              <w:rPr>
                <w:sz w:val="20"/>
                <w:szCs w:val="20"/>
                <w:color w:val="auto"/>
              </w:rPr>
            </w:pPr>
            <w:r>
              <w:rPr>
                <w:rFonts w:ascii="Arial" w:cs="Arial" w:eastAsia="Arial" w:hAnsi="Arial"/>
                <w:sz w:val="16"/>
                <w:szCs w:val="16"/>
                <w:color w:val="auto"/>
              </w:rPr>
              <w:t xml:space="preserve">1,140,527 </w:t>
            </w:r>
            <w:r>
              <w:rPr>
                <w:rFonts w:ascii="Arial" w:cs="Arial" w:eastAsia="Arial" w:hAnsi="Arial"/>
                <w:sz w:val="21"/>
                <w:szCs w:val="21"/>
                <w:color w:val="auto"/>
                <w:vertAlign w:val="superscript"/>
              </w:rPr>
              <w:t>(2)</w:t>
            </w:r>
          </w:p>
        </w:tc>
        <w:tc>
          <w:tcPr>
            <w:tcW w:w="1120" w:type="dxa"/>
            <w:vAlign w:val="bottom"/>
            <w:tcBorders>
              <w:right w:val="single" w:sz="8" w:color="auto"/>
            </w:tcBorders>
          </w:tcPr>
          <w:p>
            <w:pPr>
              <w:jc w:val="center"/>
              <w:ind w:right="199"/>
              <w:spacing w:after="0" w:line="220" w:lineRule="exact"/>
              <w:rPr>
                <w:sz w:val="20"/>
                <w:szCs w:val="20"/>
                <w:color w:val="auto"/>
              </w:rPr>
            </w:pPr>
            <w:r>
              <w:rPr>
                <w:rFonts w:ascii="Arial" w:cs="Arial" w:eastAsia="Arial" w:hAnsi="Arial"/>
                <w:sz w:val="16"/>
                <w:szCs w:val="16"/>
                <w:color w:val="auto"/>
              </w:rPr>
              <w:t>$25.75</w:t>
            </w:r>
            <w:r>
              <w:rPr>
                <w:rFonts w:ascii="Arial" w:cs="Arial" w:eastAsia="Arial" w:hAnsi="Arial"/>
                <w:sz w:val="21"/>
                <w:szCs w:val="21"/>
                <w:color w:val="auto"/>
                <w:vertAlign w:val="superscript"/>
              </w:rPr>
              <w:t>(3)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$29,368,570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0.0001102</w:t>
            </w:r>
          </w:p>
        </w:tc>
        <w:tc>
          <w:tcPr>
            <w:tcW w:w="12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w w:val="87"/>
              </w:rPr>
              <w:t xml:space="preserve">$3,236 </w:t>
            </w:r>
            <w:r>
              <w:rPr>
                <w:rFonts w:ascii="Arial" w:cs="Arial" w:eastAsia="Arial" w:hAnsi="Arial"/>
                <w:sz w:val="21"/>
                <w:szCs w:val="21"/>
                <w:color w:val="auto"/>
                <w:w w:val="87"/>
                <w:vertAlign w:val="superscript"/>
              </w:rPr>
              <w:t>(4)</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share, reserved for issuance pursuant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457(h)</w:t>
            </w:r>
          </w:p>
        </w:tc>
        <w:tc>
          <w:tcPr>
            <w:tcW w:w="13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to the 2017 Equity Incentive Plan</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Equity</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Rule 457(c) and Rule</w:t>
            </w:r>
          </w:p>
        </w:tc>
        <w:tc>
          <w:tcPr>
            <w:tcW w:w="1340" w:type="dxa"/>
            <w:vAlign w:val="bottom"/>
            <w:tcBorders>
              <w:right w:val="single" w:sz="8" w:color="auto"/>
            </w:tcBorders>
          </w:tcPr>
          <w:p>
            <w:pPr>
              <w:jc w:val="center"/>
              <w:ind w:right="239"/>
              <w:spacing w:after="0" w:line="220" w:lineRule="exact"/>
              <w:rPr>
                <w:sz w:val="20"/>
                <w:szCs w:val="20"/>
                <w:color w:val="auto"/>
              </w:rPr>
            </w:pPr>
            <w:r>
              <w:rPr>
                <w:rFonts w:ascii="Arial" w:cs="Arial" w:eastAsia="Arial" w:hAnsi="Arial"/>
                <w:sz w:val="16"/>
                <w:szCs w:val="16"/>
                <w:color w:val="auto"/>
              </w:rPr>
              <w:t xml:space="preserve">285,131 </w:t>
            </w:r>
            <w:r>
              <w:rPr>
                <w:rFonts w:ascii="Arial" w:cs="Arial" w:eastAsia="Arial" w:hAnsi="Arial"/>
                <w:sz w:val="21"/>
                <w:szCs w:val="21"/>
                <w:color w:val="auto"/>
                <w:vertAlign w:val="superscript"/>
              </w:rPr>
              <w:t>(4)</w:t>
            </w:r>
          </w:p>
        </w:tc>
        <w:tc>
          <w:tcPr>
            <w:tcW w:w="1120" w:type="dxa"/>
            <w:vAlign w:val="bottom"/>
            <w:tcBorders>
              <w:right w:val="single" w:sz="8" w:color="auto"/>
            </w:tcBorders>
          </w:tcPr>
          <w:p>
            <w:pPr>
              <w:jc w:val="center"/>
              <w:ind w:right="179"/>
              <w:spacing w:after="0" w:line="220" w:lineRule="exact"/>
              <w:rPr>
                <w:sz w:val="20"/>
                <w:szCs w:val="20"/>
                <w:color w:val="auto"/>
              </w:rPr>
            </w:pPr>
            <w:r>
              <w:rPr>
                <w:rFonts w:ascii="Arial" w:cs="Arial" w:eastAsia="Arial" w:hAnsi="Arial"/>
                <w:sz w:val="16"/>
                <w:szCs w:val="16"/>
                <w:color w:val="auto"/>
              </w:rPr>
              <w:t xml:space="preserve">$21.88 </w:t>
            </w:r>
            <w:r>
              <w:rPr>
                <w:rFonts w:ascii="Arial" w:cs="Arial" w:eastAsia="Arial" w:hAnsi="Arial"/>
                <w:sz w:val="21"/>
                <w:szCs w:val="21"/>
                <w:color w:val="auto"/>
                <w:vertAlign w:val="superscript"/>
              </w:rPr>
              <w:t>(5)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$6,238,666</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0.0001102</w:t>
            </w:r>
          </w:p>
        </w:tc>
        <w:tc>
          <w:tcPr>
            <w:tcW w:w="122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w w:val="87"/>
              </w:rPr>
              <w:t>$688</w:t>
            </w:r>
            <w:r>
              <w:rPr>
                <w:rFonts w:ascii="Arial" w:cs="Arial" w:eastAsia="Arial" w:hAnsi="Arial"/>
                <w:sz w:val="21"/>
                <w:szCs w:val="21"/>
                <w:color w:val="auto"/>
                <w:w w:val="87"/>
                <w:vertAlign w:val="superscript"/>
              </w:rPr>
              <w:t>(4)</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share, reserved for issuance pursuant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457(h)</w:t>
            </w:r>
          </w:p>
        </w:tc>
        <w:tc>
          <w:tcPr>
            <w:tcW w:w="13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to the 2017 Equity Stock Purchase</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Plan</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tcBorders>
          </w:tcPr>
          <w:p>
            <w:pPr>
              <w:spacing w:after="0"/>
              <w:rPr>
                <w:sz w:val="19"/>
                <w:szCs w:val="19"/>
                <w:color w:val="auto"/>
              </w:rPr>
            </w:pPr>
          </w:p>
        </w:tc>
        <w:tc>
          <w:tcPr>
            <w:tcW w:w="412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2"/>
              </w:rPr>
              <w:t>Total Offering Amounts</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$35,607,237</w:t>
            </w:r>
          </w:p>
        </w:tc>
        <w:tc>
          <w:tcPr>
            <w:tcW w:w="11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$3,924</w:t>
            </w: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60" w:type="dxa"/>
            <w:vAlign w:val="bottom"/>
            <w:tcBorders>
              <w:left w:val="single" w:sz="8" w:color="auto"/>
            </w:tcBorders>
          </w:tcPr>
          <w:p>
            <w:pPr>
              <w:spacing w:after="0"/>
              <w:rPr>
                <w:sz w:val="19"/>
                <w:szCs w:val="19"/>
                <w:color w:val="auto"/>
              </w:rPr>
            </w:pPr>
          </w:p>
        </w:tc>
        <w:tc>
          <w:tcPr>
            <w:tcW w:w="412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89"/>
              </w:rPr>
              <w:t>Total Fee Offsets</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tcBorders>
          </w:tcPr>
          <w:p>
            <w:pPr>
              <w:spacing w:after="0"/>
              <w:rPr>
                <w:sz w:val="19"/>
                <w:szCs w:val="19"/>
                <w:color w:val="auto"/>
              </w:rPr>
            </w:pPr>
          </w:p>
        </w:tc>
        <w:tc>
          <w:tcPr>
            <w:tcW w:w="412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0"/>
              </w:rPr>
              <w:t>Net Fee Due</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$3,924</w:t>
            </w: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40" w:right="20" w:hanging="332"/>
        <w:spacing w:after="0" w:line="231" w:lineRule="auto"/>
        <w:tabs>
          <w:tab w:leader="none" w:pos="228"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Registration Statement shall also cover any additional shares of the Registrant’s Common Stock that becomes issuable under the Registrant’s 2017 Equity Incentive Plan by reason of any stock dividend, stock split, recapitalization or other similar transaction effected without the receipt of consideration that increases the number of the Registrant’s outstanding shares of Common Stock.</w:t>
      </w:r>
    </w:p>
    <w:p>
      <w:pPr>
        <w:spacing w:after="0" w:line="2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Equity Incentive Plan as of the date of this Registration Statement.</w:t>
      </w:r>
    </w:p>
    <w:p>
      <w:pPr>
        <w:spacing w:after="0" w:line="28" w:lineRule="exact"/>
        <w:rPr>
          <w:rFonts w:ascii="Arial" w:cs="Arial" w:eastAsia="Arial" w:hAnsi="Arial"/>
          <w:sz w:val="14"/>
          <w:szCs w:val="14"/>
          <w:color w:val="auto"/>
        </w:rPr>
      </w:pPr>
    </w:p>
    <w:p>
      <w:pPr>
        <w:ind w:left="340" w:right="40" w:hanging="332"/>
        <w:spacing w:after="0" w:line="253" w:lineRule="auto"/>
        <w:tabs>
          <w:tab w:leader="none" w:pos="222"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22, 2023.</w:t>
      </w:r>
    </w:p>
    <w:p>
      <w:pPr>
        <w:spacing w:after="0" w:line="11" w:lineRule="exact"/>
        <w:rPr>
          <w:rFonts w:ascii="Arial" w:cs="Arial" w:eastAsia="Arial" w:hAnsi="Arial"/>
          <w:sz w:val="14"/>
          <w:szCs w:val="14"/>
          <w:color w:val="auto"/>
        </w:rPr>
      </w:pPr>
    </w:p>
    <w:p>
      <w:pPr>
        <w:ind w:left="220" w:hanging="212"/>
        <w:spacing w:after="0"/>
        <w:tabs>
          <w:tab w:leader="none" w:pos="22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additional shares reserved for issuance under the 2017 Employee Stock Purchase Plan as of the date of this Registration Statement.</w:t>
      </w:r>
    </w:p>
    <w:p>
      <w:pPr>
        <w:spacing w:after="0" w:line="68" w:lineRule="exact"/>
        <w:rPr>
          <w:rFonts w:ascii="Arial" w:cs="Arial" w:eastAsia="Arial" w:hAnsi="Arial"/>
          <w:sz w:val="14"/>
          <w:szCs w:val="14"/>
          <w:color w:val="auto"/>
        </w:rPr>
      </w:pPr>
    </w:p>
    <w:p>
      <w:pPr>
        <w:ind w:left="340" w:right="20" w:hanging="332"/>
        <w:spacing w:after="0" w:line="238" w:lineRule="auto"/>
        <w:tabs>
          <w:tab w:leader="none" w:pos="229"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Calculated solely for the purposes of this offering under Rules 457(c) and (h) of the Securities Act on the basis of the average of the high and low prices of the Registrant’s Common Stock as reported on the Nasdaq Global Market on February 22, 2023. In the case of the 2017 Employee Stock Purchase Plan, this price per share is multiplied by 85%, which is the percentage of the price per share applicable to purchases under the 2017 Employee Stock Purchase Plan.</w:t>
      </w:r>
    </w:p>
    <w:p>
      <w:pPr>
        <w:sectPr>
          <w:pgSz w:w="11900" w:h="16838" w:orient="portrait"/>
          <w:cols w:equalWidth="0" w:num="1">
            <w:col w:w="11260"/>
          </w:cols>
          <w:pgMar w:left="320" w:top="1404"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wp:posOffset>
            </wp:positionV>
            <wp:extent cx="6471920" cy="746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4719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AnaptysBio, Inc.</w:t>
      </w:r>
    </w:p>
    <w:p>
      <w:pPr>
        <w:spacing w:after="0" w:line="204" w:lineRule="auto"/>
        <w:rPr>
          <w:sz w:val="20"/>
          <w:szCs w:val="20"/>
          <w:color w:val="auto"/>
        </w:rPr>
      </w:pPr>
      <w:r>
        <w:rPr>
          <w:rFonts w:ascii="Arial" w:cs="Arial" w:eastAsia="Arial" w:hAnsi="Arial"/>
          <w:sz w:val="22"/>
          <w:szCs w:val="22"/>
          <w:color w:val="auto"/>
        </w:rPr>
        <w:t>10770 Wateridge Circle, Suite 210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San Diego, CA 92121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 Registration Statement on Form S-8</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As counsel to AnaptysBio,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have examined the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be filed by the Company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March 1, 2023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an aggregate of 1,425,658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Company’s Common Stock, $0.001 par value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that consists of (a) 1,140,527 Shares that are subject to issuance by the Company upon the exercise or settlement of awards to be granted under the 2017 Equity Incentive Plan (the “</w:t>
      </w:r>
      <w:r>
        <w:rPr>
          <w:rFonts w:ascii="Arial" w:cs="Arial" w:eastAsia="Arial" w:hAnsi="Arial"/>
          <w:sz w:val="19"/>
          <w:szCs w:val="19"/>
          <w:b w:val="1"/>
          <w:bCs w:val="1"/>
          <w:i w:val="1"/>
          <w:iCs w:val="1"/>
          <w:color w:val="auto"/>
        </w:rPr>
        <w:t>2017 EIP</w:t>
      </w:r>
      <w:r>
        <w:rPr>
          <w:rFonts w:ascii="Arial" w:cs="Arial" w:eastAsia="Arial" w:hAnsi="Arial"/>
          <w:sz w:val="19"/>
          <w:szCs w:val="19"/>
          <w:color w:val="auto"/>
        </w:rPr>
        <w:t>”) and (b) 285,131 Shares that are subject to issuance by the Company pursuant to purchase rights to be granted under the 2017 Employee Stock Purchase Plan (the “</w:t>
      </w:r>
      <w:r>
        <w:rPr>
          <w:rFonts w:ascii="Arial" w:cs="Arial" w:eastAsia="Arial" w:hAnsi="Arial"/>
          <w:sz w:val="19"/>
          <w:szCs w:val="19"/>
          <w:b w:val="1"/>
          <w:bCs w:val="1"/>
          <w:i w:val="1"/>
          <w:iCs w:val="1"/>
          <w:color w:val="auto"/>
        </w:rPr>
        <w:t>2017 ESPP</w:t>
      </w:r>
      <w:r>
        <w:rPr>
          <w:rFonts w:ascii="Arial" w:cs="Arial" w:eastAsia="Arial" w:hAnsi="Arial"/>
          <w:sz w:val="19"/>
          <w:szCs w:val="19"/>
          <w:color w:val="auto"/>
        </w:rPr>
        <w:t>” and, together with the 2017 EIP, the “</w:t>
      </w:r>
      <w:r>
        <w:rPr>
          <w:rFonts w:ascii="Arial" w:cs="Arial" w:eastAsia="Arial" w:hAnsi="Arial"/>
          <w:sz w:val="19"/>
          <w:szCs w:val="19"/>
          <w:b w:val="1"/>
          <w:bCs w:val="1"/>
          <w:i w:val="1"/>
          <w:iCs w:val="1"/>
          <w:color w:val="auto"/>
        </w:rPr>
        <w:t>Plans</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Arial" w:cs="Arial" w:eastAsia="Arial" w:hAnsi="Arial"/>
          <w:sz w:val="21"/>
          <w:szCs w:val="21"/>
          <w:b w:val="1"/>
          <w:bCs w:val="1"/>
          <w:i w:val="1"/>
          <w:iCs w:val="1"/>
          <w:color w:val="auto"/>
        </w:rPr>
        <w:t>Opinion Certificate</w:t>
      </w:r>
      <w:r>
        <w:rPr>
          <w:rFonts w:ascii="Arial" w:cs="Arial" w:eastAsia="Arial" w:hAnsi="Arial"/>
          <w:sz w:val="21"/>
          <w:szCs w:val="21"/>
          <w:color w:val="auto"/>
        </w:rPr>
        <w:t>”).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6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Arial" w:cs="Arial" w:eastAsia="Arial" w:hAnsi="Arial"/>
          <w:sz w:val="21"/>
          <w:szCs w:val="21"/>
          <w:b w:val="1"/>
          <w:bCs w:val="1"/>
          <w:i w:val="1"/>
          <w:iCs w:val="1"/>
          <w:color w:val="auto"/>
        </w:rPr>
        <w:t>EDGAR</w:t>
      </w:r>
      <w:r>
        <w:rPr>
          <w:rFonts w:ascii="Arial" w:cs="Arial" w:eastAsia="Arial" w:hAnsi="Arial"/>
          <w:sz w:val="21"/>
          <w:szCs w:val="21"/>
          <w:color w:val="auto"/>
        </w:rPr>
        <w:t>”), except for required EDGAR formatting changes, to physical copies submitted for our examination.</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opinions in this letter are limited to the existing General Corporation Law of the State of Delaware now in effect. We express no opinion with respect to any other laws.</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Based upon, and subject to, the foregoing, it is our opinion that the Shares, when issued and sold by the Company in accordance with the terms (including, without limitation, payment and authorization provisions) of the applicable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4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6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6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FENWICK &amp; WEST LLP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FENWICK &amp; WEST LLP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00" w:lineRule="exact"/>
        <w:rPr>
          <w:sz w:val="20"/>
          <w:szCs w:val="20"/>
          <w:color w:val="auto"/>
        </w:rPr>
      </w:pPr>
    </w:p>
    <w:p>
      <w:pPr>
        <w:spacing w:after="0" w:line="2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consent to the use of our report dated March 1, 2023, with respect to the consolidated financial statements of AnaptysBio, Inc.,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13" Type="http://schemas.openxmlformats.org/officeDocument/2006/relationships/hyperlink" Target="http://www.sec.gov/Archives/edgar/data/1370053/000137005317000005/anab-033117x10qxexx31.htm" TargetMode="External"/><Relationship Id="rId14" Type="http://schemas.openxmlformats.org/officeDocument/2006/relationships/hyperlink" Target="https://www.sec.gov/Archives/edgar/data/1370053/000137005323000013/anaptysbio-secondamended.htm" TargetMode="External"/><Relationship Id="rId15" Type="http://schemas.openxmlformats.org/officeDocument/2006/relationships/hyperlink" Target="http://www.sec.gov/Archives/edgar/data/1370053/000119312515412604/d942137dex41.htm" TargetMode="External"/><Relationship Id="rId16" Type="http://schemas.openxmlformats.org/officeDocument/2006/relationships/hyperlink" Target="http://www.sec.gov/Archives/edgar/data/1370053/000119312517010405/d320192dex103.htm" TargetMode="External"/><Relationship Id="rId17" Type="http://schemas.openxmlformats.org/officeDocument/2006/relationships/hyperlink" Target="http://www.sec.gov/Archives/edgar/data/1370053/000119312517010405/d320192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2023-03-01T20:31:48Z</dcterms:created>
  <dcterms:modified xsi:type="dcterms:W3CDTF">2023-03-01T20:31:48Z</dcterms:modified>
</cp:coreProperties>
</file>