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Ware J. Anthony</w:t>
              </w:r>
            </w:hyperlink>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C/O ANAPTYSBIO,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02/08/2019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w w:val="99"/>
              </w:rPr>
              <w:t>10421 PACIFIC CENTER COURT, SUITE 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92121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ind w:left="8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8"/>
          </w:tcPr>
          <w:p>
            <w:pPr>
              <w:ind w:left="10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Director</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6,000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68.89</w:t>
            </w:r>
          </w:p>
        </w:tc>
        <w:tc>
          <w:tcPr>
            <w:tcW w:w="180" w:type="dxa"/>
            <w:vAlign w:val="bottom"/>
          </w:tcPr>
          <w:p>
            <w:pPr>
              <w:spacing w:after="0"/>
              <w:rPr>
                <w:sz w:val="5"/>
                <w:szCs w:val="5"/>
                <w:color w:val="auto"/>
              </w:rPr>
            </w:pPr>
          </w:p>
        </w:tc>
        <w:tc>
          <w:tcPr>
            <w:tcW w:w="106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rPr>
              <w:t>02/08/2019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02/07/2029</w:t>
            </w: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6,000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in 12 equal monthly installments beginning on March 8, 2019, until such time as the option is 100% vested, subject to the continuing service of the Reporting Person on each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/s/Eric Loumeau,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02/11/2019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24.1</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Hamza Suria, Eric Loumeau, and Dominic Piscitelli, and each of them, his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6"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his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6"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5th day of September, 2018.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Anthony Ware</w:t>
      </w:r>
    </w:p>
    <w:p>
      <w:pPr>
        <w:spacing w:after="0" w:line="238" w:lineRule="auto"/>
        <w:rPr>
          <w:sz w:val="20"/>
          <w:szCs w:val="20"/>
          <w:color w:val="auto"/>
        </w:rPr>
      </w:pPr>
      <w:r>
        <w:rPr>
          <w:rFonts w:ascii="Courier New" w:cs="Courier New" w:eastAsia="Courier New" w:hAnsi="Courier New"/>
          <w:sz w:val="18"/>
          <w:szCs w:val="18"/>
          <w:color w:val="auto"/>
        </w:rPr>
        <w:t>J. Anthony Ware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5429"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2019-12-24T04:19:34Z</dcterms:created>
  <dcterms:modified xsi:type="dcterms:W3CDTF">2019-12-24T04:19:34Z</dcterms:modified>
</cp:coreProperties>
</file>