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Faga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ANAPTYSBIO,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ANAB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20" w:type="dxa"/>
            <w:vAlign w:val="bottom"/>
          </w:tcPr>
          <w:p>
            <w:pPr>
              <w:spacing w:after="0"/>
              <w:rPr>
                <w:sz w:val="3"/>
                <w:szCs w:val="3"/>
                <w:color w:val="auto"/>
              </w:rPr>
            </w:pPr>
          </w:p>
        </w:tc>
        <w:tc>
          <w:tcPr>
            <w:tcW w:w="2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00" w:type="dxa"/>
            <w:vAlign w:val="bottom"/>
            <w:gridSpan w:val="3"/>
            <w:vMerge w:val="continue"/>
          </w:tcPr>
          <w:p>
            <w:pPr>
              <w:spacing w:after="0"/>
              <w:rPr>
                <w:sz w:val="11"/>
                <w:szCs w:val="11"/>
                <w:color w:val="auto"/>
              </w:rPr>
            </w:pPr>
          </w:p>
        </w:tc>
        <w:tc>
          <w:tcPr>
            <w:tcW w:w="1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03/22/2024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145,940</w:t>
            </w:r>
            <w:r>
              <w:rPr>
                <w:rFonts w:ascii="Times New Roman" w:cs="Times New Roman" w:eastAsia="Times New Roman" w:hAnsi="Times New Roman"/>
                <w:sz w:val="22"/>
                <w:szCs w:val="22"/>
                <w:color w:val="008000"/>
                <w:w w:val="96"/>
                <w:vertAlign w:val="superscript"/>
              </w:rPr>
              <w:t>(2)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22.7846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752,087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03/25/2024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3,000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21.4225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749,087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03/26/2024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F</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347,441</w:t>
            </w:r>
            <w:r>
              <w:rPr>
                <w:rFonts w:ascii="Times New Roman" w:cs="Times New Roman" w:eastAsia="Times New Roman" w:hAnsi="Times New Roman"/>
                <w:sz w:val="22"/>
                <w:szCs w:val="22"/>
                <w:color w:val="008000"/>
                <w:w w:val="91"/>
                <w:vertAlign w:val="superscript"/>
              </w:rPr>
              <w:t>(2)(3)</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401,646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a portion of the tax withholding obligations in connection with the vesting and settlement of RSUs. The sales were to satisfy tax withholding obligations to be funded by "sell to cover transactions" and do not represent discretionary transactions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did not sell or otherwise dispose of any of the shares with respect to the vesting of RSUs reported on this Form 4 for any reason other than to cover required taxes.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a portion of the tax withholding obligation in connection with the vesting of RSUs and do not represent discretionary transactions by the Reporting Person. Following the transactions reflecting in this Form 4, no additional transactions are expected to satisfy the Reporting Person's tax withholding obligation.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52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2024-03-26T19:19:01Z</dcterms:created>
  <dcterms:modified xsi:type="dcterms:W3CDTF">2024-03-26T19:19:01Z</dcterms:modified>
</cp:coreProperties>
</file>