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Hamill Laura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09/24/2019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ANAPTYSBIO,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10421 PACIFIC CENTER COURT,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DIEGO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92121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beneficially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28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0000FF"/>
              </w:rPr>
              <w:t>D</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6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9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6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5"/>
                <w:szCs w:val="15"/>
                <w:color w:val="auto"/>
              </w:rPr>
            </w:pP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24.1 -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9"/>
              </w:rPr>
              <w:t>/s/Eric Loumeau, attorney-in-</w:t>
            </w:r>
          </w:p>
        </w:tc>
        <w:tc>
          <w:tcPr>
            <w:tcW w:w="2440" w:type="dxa"/>
            <w:vAlign w:val="bottom"/>
            <w:gridSpan w:val="4"/>
            <w:vMerge w:val="restart"/>
          </w:tcPr>
          <w:p>
            <w:pPr>
              <w:ind w:left="200"/>
              <w:spacing w:after="0"/>
              <w:rPr>
                <w:sz w:val="20"/>
                <w:szCs w:val="20"/>
                <w:color w:val="auto"/>
              </w:rPr>
            </w:pPr>
            <w:r>
              <w:rPr>
                <w:rFonts w:ascii="Arial" w:cs="Arial" w:eastAsia="Arial" w:hAnsi="Arial"/>
                <w:sz w:val="18"/>
                <w:szCs w:val="18"/>
                <w:color w:val="0000FF"/>
              </w:rPr>
              <w:t>09/26/2019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860" w:type="dxa"/>
            <w:vAlign w:val="bottom"/>
            <w:vMerge w:val="restart"/>
          </w:tcPr>
          <w:p>
            <w:pPr>
              <w:spacing w:after="0"/>
              <w:rPr>
                <w:sz w:val="7"/>
                <w:szCs w:val="7"/>
                <w:color w:val="auto"/>
              </w:rPr>
            </w:pPr>
          </w:p>
        </w:tc>
        <w:tc>
          <w:tcPr>
            <w:tcW w:w="96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24.1</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Hamza Suria and Eric Loumeau, and each of them, her true and lawful attorney-in-fact to:</w:t>
      </w:r>
    </w:p>
    <w:p>
      <w:pPr>
        <w:spacing w:after="0" w:line="209" w:lineRule="exact"/>
        <w:rPr>
          <w:sz w:val="20"/>
          <w:szCs w:val="20"/>
          <w:color w:val="auto"/>
        </w:rPr>
      </w:pPr>
    </w:p>
    <w:p>
      <w:pPr>
        <w:ind w:right="14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AnaptysBio, Inc. ("Company"), any and all Form 3, 4 or 5 reports required to be filed by the undersigned in accordance with Section 16(a) of the Securities Exchange Act of 1934, as amended ("Exchange Act"), and the rules thereunder with respect to transactions in securities of the Company;</w:t>
      </w:r>
    </w:p>
    <w:p>
      <w:pPr>
        <w:spacing w:after="0" w:line="6"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4"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attorney-in-fact may approve in his discretion.</w:t>
      </w:r>
    </w:p>
    <w:p>
      <w:pPr>
        <w:spacing w:after="0" w:line="8"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6"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the 24th day of September,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/s/Laura Hamill</w:t>
      </w:r>
    </w:p>
    <w:p>
      <w:pPr>
        <w:spacing w:after="0" w:line="238" w:lineRule="auto"/>
        <w:rPr>
          <w:sz w:val="20"/>
          <w:szCs w:val="20"/>
          <w:color w:val="auto"/>
        </w:rPr>
      </w:pPr>
      <w:r>
        <w:rPr>
          <w:rFonts w:ascii="Courier New" w:cs="Courier New" w:eastAsia="Courier New" w:hAnsi="Courier New"/>
          <w:sz w:val="18"/>
          <w:szCs w:val="18"/>
          <w:color w:val="auto"/>
        </w:rPr>
        <w:t>Laura Hamill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51804" TargetMode="External"/><Relationship Id="rId12"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2019-12-24T04:53:59Z</dcterms:created>
  <dcterms:modified xsi:type="dcterms:W3CDTF">2019-12-24T04:53:59Z</dcterms:modified>
</cp:coreProperties>
</file>