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424(b)(4)</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Nos. 333-220881</w:t>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3,000,000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236855</wp:posOffset>
            </wp:positionV>
            <wp:extent cx="2118360"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18360"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9"/>
          <w:szCs w:val="29"/>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305435</wp:posOffset>
            </wp:positionV>
            <wp:extent cx="1089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left="460"/>
        <w:spacing w:after="0"/>
        <w:rPr>
          <w:sz w:val="20"/>
          <w:szCs w:val="20"/>
          <w:color w:val="auto"/>
        </w:rPr>
      </w:pPr>
      <w:r>
        <w:rPr>
          <w:rFonts w:ascii="Arial" w:cs="Arial" w:eastAsia="Arial" w:hAnsi="Arial"/>
          <w:sz w:val="18"/>
          <w:szCs w:val="18"/>
          <w:color w:val="auto"/>
        </w:rPr>
        <w:t>We are offering 3,000,000 shares of our common stock.</w:t>
      </w:r>
    </w:p>
    <w:p>
      <w:pPr>
        <w:spacing w:after="0" w:line="320" w:lineRule="exact"/>
        <w:rPr>
          <w:sz w:val="24"/>
          <w:szCs w:val="24"/>
          <w:color w:val="auto"/>
        </w:rPr>
      </w:pPr>
    </w:p>
    <w:p>
      <w:pPr>
        <w:ind w:right="40" w:firstLine="456"/>
        <w:spacing w:after="0" w:line="246" w:lineRule="auto"/>
        <w:rPr>
          <w:sz w:val="20"/>
          <w:szCs w:val="20"/>
          <w:color w:val="auto"/>
        </w:rPr>
      </w:pPr>
      <w:r>
        <w:rPr>
          <w:rFonts w:ascii="Arial" w:cs="Arial" w:eastAsia="Arial" w:hAnsi="Arial"/>
          <w:sz w:val="18"/>
          <w:szCs w:val="18"/>
          <w:color w:val="auto"/>
        </w:rPr>
        <w:t>Our common stock is listed on The NASDAQ Global Select Market under the symbol “ANAB”. The last reported sale price of our common stock on The NASDAQ Global Select Market on October 12, 2017 was $70.80 per share.</w:t>
      </w:r>
    </w:p>
    <w:p>
      <w:pPr>
        <w:spacing w:after="0" w:line="305" w:lineRule="exact"/>
        <w:rPr>
          <w:sz w:val="24"/>
          <w:szCs w:val="24"/>
          <w:color w:val="auto"/>
        </w:rPr>
      </w:pPr>
    </w:p>
    <w:p>
      <w:pPr>
        <w:ind w:right="220" w:firstLine="456"/>
        <w:spacing w:after="0" w:line="246" w:lineRule="auto"/>
        <w:rPr>
          <w:sz w:val="20"/>
          <w:szCs w:val="20"/>
          <w:color w:val="auto"/>
        </w:rPr>
      </w:pPr>
      <w:r>
        <w:rPr>
          <w:rFonts w:ascii="Arial" w:cs="Arial" w:eastAsia="Arial" w:hAnsi="Arial"/>
          <w:sz w:val="18"/>
          <w:szCs w:val="18"/>
          <w:color w:val="auto"/>
        </w:rPr>
        <w:t>We have granted the underwriters a 30-day option to purchase up to 450,000 additional shares from us at the public offering price, less the underwriting discounts and commissions.</w:t>
      </w:r>
    </w:p>
    <w:p>
      <w:pPr>
        <w:spacing w:after="0" w:line="305" w:lineRule="exact"/>
        <w:rPr>
          <w:sz w:val="24"/>
          <w:szCs w:val="24"/>
          <w:color w:val="auto"/>
        </w:rPr>
      </w:pPr>
    </w:p>
    <w:p>
      <w:pPr>
        <w:ind w:right="280" w:firstLine="456"/>
        <w:spacing w:after="0"/>
        <w:rPr>
          <w:sz w:val="20"/>
          <w:szCs w:val="20"/>
          <w:color w:val="auto"/>
        </w:rPr>
      </w:pPr>
      <w:r>
        <w:rPr>
          <w:rFonts w:ascii="Arial" w:cs="Arial" w:eastAsia="Arial" w:hAnsi="Arial"/>
          <w:sz w:val="18"/>
          <w:szCs w:val="18"/>
          <w:color w:val="auto"/>
        </w:rPr>
        <w:t>We are an “emerging growth company” as the term is used in the Jumpstart Our Business Startups Act of 2012 and, as such, have elected to comply with certain reduced public company reporting requirements for this prospectus, the documents incorporated by reference herein and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292100</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15 of this prospectus.</w:t>
      </w: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Underwriting</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Proceeds to</w:t>
            </w:r>
          </w:p>
        </w:tc>
      </w:tr>
      <w:tr>
        <w:trPr>
          <w:trHeight w:val="162"/>
        </w:trPr>
        <w:tc>
          <w:tcPr>
            <w:tcW w:w="5740" w:type="dxa"/>
            <w:vAlign w:val="bottom"/>
          </w:tcPr>
          <w:p>
            <w:pPr>
              <w:spacing w:after="0"/>
              <w:rPr>
                <w:sz w:val="14"/>
                <w:szCs w:val="14"/>
                <w:color w:val="auto"/>
              </w:rPr>
            </w:pPr>
          </w:p>
        </w:tc>
        <w:tc>
          <w:tcPr>
            <w:tcW w:w="2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Price to</w:t>
            </w:r>
          </w:p>
        </w:tc>
        <w:tc>
          <w:tcPr>
            <w:tcW w:w="1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Discounts and</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AnaptysBio,</w:t>
            </w:r>
          </w:p>
        </w:tc>
      </w:tr>
      <w:tr>
        <w:trPr>
          <w:trHeight w:val="189"/>
        </w:trPr>
        <w:tc>
          <w:tcPr>
            <w:tcW w:w="5740" w:type="dxa"/>
            <w:vAlign w:val="bottom"/>
          </w:tcPr>
          <w:p>
            <w:pPr>
              <w:spacing w:after="0"/>
              <w:rPr>
                <w:sz w:val="16"/>
                <w:szCs w:val="16"/>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Public</w:t>
            </w:r>
          </w:p>
        </w:tc>
        <w:tc>
          <w:tcPr>
            <w:tcW w:w="1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Commissions(1)</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9"/>
              </w:rPr>
              <w:t>Inc.</w:t>
            </w:r>
          </w:p>
        </w:tc>
      </w:tr>
      <w:tr>
        <w:trPr>
          <w:trHeight w:val="195"/>
        </w:trPr>
        <w:tc>
          <w:tcPr>
            <w:tcW w:w="5740" w:type="dxa"/>
            <w:vAlign w:val="bottom"/>
          </w:tcPr>
          <w:p>
            <w:pPr>
              <w:spacing w:after="0" w:line="195" w:lineRule="exact"/>
              <w:rPr>
                <w:sz w:val="20"/>
                <w:szCs w:val="20"/>
                <w:color w:val="auto"/>
              </w:rPr>
            </w:pPr>
            <w:r>
              <w:rPr>
                <w:rFonts w:ascii="Arial" w:cs="Arial" w:eastAsia="Arial" w:hAnsi="Arial"/>
                <w:sz w:val="18"/>
                <w:szCs w:val="18"/>
                <w:color w:val="auto"/>
              </w:rPr>
              <w:t>Per Share</w:t>
            </w:r>
          </w:p>
        </w:tc>
        <w:tc>
          <w:tcPr>
            <w:tcW w:w="1820" w:type="dxa"/>
            <w:vAlign w:val="bottom"/>
            <w:tcBorders>
              <w:top w:val="single" w:sz="8" w:color="auto"/>
            </w:tcBorders>
          </w:tcPr>
          <w:p>
            <w:pPr>
              <w:jc w:val="right"/>
              <w:ind w:right="559"/>
              <w:spacing w:after="0" w:line="195" w:lineRule="exact"/>
              <w:rPr>
                <w:sz w:val="20"/>
                <w:szCs w:val="20"/>
                <w:color w:val="auto"/>
              </w:rPr>
            </w:pPr>
            <w:r>
              <w:rPr>
                <w:rFonts w:ascii="Arial" w:cs="Arial" w:eastAsia="Arial" w:hAnsi="Arial"/>
                <w:sz w:val="18"/>
                <w:szCs w:val="18"/>
                <w:color w:val="auto"/>
              </w:rPr>
              <w:t>$68.50</w:t>
            </w:r>
          </w:p>
        </w:tc>
        <w:tc>
          <w:tcPr>
            <w:tcW w:w="340" w:type="dxa"/>
            <w:vAlign w:val="bottom"/>
          </w:tcPr>
          <w:p>
            <w:pPr>
              <w:spacing w:after="0"/>
              <w:rPr>
                <w:sz w:val="16"/>
                <w:szCs w:val="16"/>
                <w:color w:val="auto"/>
              </w:rPr>
            </w:pPr>
          </w:p>
        </w:tc>
        <w:tc>
          <w:tcPr>
            <w:tcW w:w="1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$3.5963</w:t>
            </w:r>
          </w:p>
        </w:tc>
        <w:tc>
          <w:tcPr>
            <w:tcW w:w="340" w:type="dxa"/>
            <w:vAlign w:val="bottom"/>
          </w:tcPr>
          <w:p>
            <w:pPr>
              <w:spacing w:after="0"/>
              <w:rPr>
                <w:sz w:val="16"/>
                <w:szCs w:val="16"/>
                <w:color w:val="auto"/>
              </w:rPr>
            </w:pPr>
          </w:p>
        </w:tc>
        <w:tc>
          <w:tcPr>
            <w:tcW w:w="1600" w:type="dxa"/>
            <w:vAlign w:val="bottom"/>
            <w:tcBorders>
              <w:top w:val="single" w:sz="8" w:color="auto"/>
            </w:tcBorders>
          </w:tcPr>
          <w:p>
            <w:pPr>
              <w:jc w:val="right"/>
              <w:ind w:right="341"/>
              <w:spacing w:after="0" w:line="195" w:lineRule="exact"/>
              <w:rPr>
                <w:sz w:val="20"/>
                <w:szCs w:val="20"/>
                <w:color w:val="auto"/>
              </w:rPr>
            </w:pPr>
            <w:r>
              <w:rPr>
                <w:rFonts w:ascii="Arial" w:cs="Arial" w:eastAsia="Arial" w:hAnsi="Arial"/>
                <w:sz w:val="18"/>
                <w:szCs w:val="18"/>
                <w:color w:val="auto"/>
              </w:rPr>
              <w:t>$64.9037</w:t>
            </w:r>
          </w:p>
        </w:tc>
      </w:tr>
      <w:tr>
        <w:trPr>
          <w:trHeight w:val="217"/>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1820" w:type="dxa"/>
            <w:vAlign w:val="bottom"/>
          </w:tcPr>
          <w:p>
            <w:pPr>
              <w:jc w:val="right"/>
              <w:ind w:right="279"/>
              <w:spacing w:after="0"/>
              <w:rPr>
                <w:sz w:val="20"/>
                <w:szCs w:val="20"/>
                <w:color w:val="auto"/>
              </w:rPr>
            </w:pPr>
            <w:r>
              <w:rPr>
                <w:rFonts w:ascii="Arial" w:cs="Arial" w:eastAsia="Arial" w:hAnsi="Arial"/>
                <w:sz w:val="18"/>
                <w:szCs w:val="18"/>
                <w:color w:val="auto"/>
              </w:rPr>
              <w:t>$205,500,000</w:t>
            </w:r>
          </w:p>
        </w:tc>
        <w:tc>
          <w:tcPr>
            <w:tcW w:w="3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$10,788,900</w:t>
            </w:r>
          </w:p>
        </w:tc>
        <w:tc>
          <w:tcPr>
            <w:tcW w:w="340" w:type="dxa"/>
            <w:vAlign w:val="bottom"/>
          </w:tcPr>
          <w:p>
            <w:pPr>
              <w:spacing w:after="0"/>
              <w:rPr>
                <w:sz w:val="18"/>
                <w:szCs w:val="18"/>
                <w:color w:val="auto"/>
              </w:rPr>
            </w:pPr>
          </w:p>
        </w:tc>
        <w:tc>
          <w:tcPr>
            <w:tcW w:w="1600" w:type="dxa"/>
            <w:vAlign w:val="bottom"/>
          </w:tcPr>
          <w:p>
            <w:pPr>
              <w:jc w:val="right"/>
              <w:ind w:right="161"/>
              <w:spacing w:after="0"/>
              <w:rPr>
                <w:sz w:val="20"/>
                <w:szCs w:val="20"/>
                <w:color w:val="auto"/>
              </w:rPr>
            </w:pPr>
            <w:r>
              <w:rPr>
                <w:rFonts w:ascii="Arial" w:cs="Arial" w:eastAsia="Arial" w:hAnsi="Arial"/>
                <w:sz w:val="18"/>
                <w:szCs w:val="18"/>
                <w:color w:val="auto"/>
              </w:rPr>
              <w:t>$194,711,100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18865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36"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“Underwriting” for a description of the compensation payable to the underwriters.</w:t>
      </w:r>
    </w:p>
    <w:p>
      <w:pPr>
        <w:spacing w:after="0" w:line="298" w:lineRule="exact"/>
        <w:rPr>
          <w:sz w:val="24"/>
          <w:szCs w:val="24"/>
          <w:color w:val="auto"/>
        </w:rPr>
      </w:pPr>
    </w:p>
    <w:p>
      <w:pPr>
        <w:ind w:firstLine="456"/>
        <w:spacing w:after="0" w:line="253" w:lineRule="auto"/>
        <w:rPr>
          <w:sz w:val="20"/>
          <w:szCs w:val="20"/>
          <w:color w:val="auto"/>
        </w:rPr>
      </w:pPr>
      <w:r>
        <w:rPr>
          <w:rFonts w:ascii="Arial" w:cs="Arial" w:eastAsia="Arial" w:hAnsi="Arial"/>
          <w:sz w:val="18"/>
          <w:szCs w:val="18"/>
          <w:b w:val="1"/>
          <w:bCs w:val="1"/>
          <w:color w:val="auto"/>
        </w:rPr>
        <w:t>Neither the Securities and Exchange Commission, any state securities commission nor any other regulatory body has approved or disapproved of these securities or determined if this prospectus is truthful or complete. Any representation to the contrary is a criminal offense.</w:t>
      </w:r>
    </w:p>
    <w:p>
      <w:pPr>
        <w:spacing w:after="0" w:line="29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The underwriters expect to deliver the shares on or about October 17, 2017.</w:t>
      </w:r>
    </w:p>
    <w:p>
      <w:pPr>
        <w:sectPr>
          <w:pgSz w:w="11900" w:h="16838" w:orient="portrait"/>
          <w:cols w:equalWidth="0" w:num="1">
            <w:col w:w="11420"/>
          </w:cols>
          <w:pgMar w:left="240" w:top="230" w:right="239" w:bottom="1440" w:gutter="0" w:footer="0" w:header="0"/>
        </w:sectPr>
      </w:pPr>
    </w:p>
    <w:p>
      <w:pPr>
        <w:spacing w:after="0" w:line="321" w:lineRule="exact"/>
        <w:rPr>
          <w:sz w:val="24"/>
          <w:szCs w:val="24"/>
          <w:color w:val="auto"/>
        </w:rPr>
      </w:pPr>
    </w:p>
    <w:p>
      <w:pPr>
        <w:spacing w:after="0"/>
        <w:rPr>
          <w:sz w:val="20"/>
          <w:szCs w:val="20"/>
          <w:color w:val="auto"/>
        </w:rPr>
      </w:pPr>
      <w:r>
        <w:rPr>
          <w:rFonts w:ascii="Arial" w:cs="Arial" w:eastAsia="Arial" w:hAnsi="Arial"/>
          <w:sz w:val="28"/>
          <w:szCs w:val="28"/>
          <w:b w:val="1"/>
          <w:bCs w:val="1"/>
          <w:color w:val="auto"/>
        </w:rPr>
        <w:t>Credit Suisse</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rPr>
          <w:sz w:val="20"/>
          <w:szCs w:val="20"/>
          <w:color w:val="auto"/>
        </w:rPr>
      </w:pPr>
      <w:r>
        <w:rPr>
          <w:rFonts w:ascii="Arial" w:cs="Arial" w:eastAsia="Arial" w:hAnsi="Arial"/>
          <w:sz w:val="28"/>
          <w:szCs w:val="28"/>
          <w:b w:val="1"/>
          <w:bCs w:val="1"/>
          <w:color w:val="auto"/>
        </w:rPr>
        <w:t>Jefferies</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rPr>
          <w:sz w:val="20"/>
          <w:szCs w:val="20"/>
          <w:color w:val="auto"/>
        </w:rPr>
      </w:pPr>
      <w:r>
        <w:rPr>
          <w:rFonts w:ascii="Arial" w:cs="Arial" w:eastAsia="Arial" w:hAnsi="Arial"/>
          <w:sz w:val="28"/>
          <w:szCs w:val="28"/>
          <w:b w:val="1"/>
          <w:bCs w:val="1"/>
          <w:color w:val="auto"/>
        </w:rPr>
        <w:t>Stifel</w:t>
      </w:r>
    </w:p>
    <w:p>
      <w:pPr>
        <w:spacing w:after="0" w:line="140" w:lineRule="exact"/>
        <w:rPr>
          <w:sz w:val="24"/>
          <w:szCs w:val="24"/>
          <w:color w:val="auto"/>
        </w:rPr>
      </w:pPr>
    </w:p>
    <w:p>
      <w:pPr>
        <w:sectPr>
          <w:pgSz w:w="11900" w:h="16838" w:orient="portrait"/>
          <w:cols w:equalWidth="0" w:num="3">
            <w:col w:w="4580" w:space="720"/>
            <w:col w:w="4700" w:space="720"/>
            <w:col w:w="700"/>
          </w:cols>
          <w:pgMar w:left="240" w:top="230" w:right="239" w:bottom="1440" w:gutter="0" w:footer="0" w:header="0"/>
          <w:type w:val="continuous"/>
        </w:sectPr>
      </w:pPr>
    </w:p>
    <w:p>
      <w:pPr>
        <w:spacing w:after="0"/>
        <w:rPr>
          <w:sz w:val="20"/>
          <w:szCs w:val="20"/>
          <w:color w:val="auto"/>
        </w:rPr>
      </w:pPr>
      <w:r>
        <w:rPr>
          <w:rFonts w:ascii="Arial" w:cs="Arial" w:eastAsia="Arial" w:hAnsi="Arial"/>
          <w:sz w:val="23"/>
          <w:szCs w:val="23"/>
          <w:b w:val="1"/>
          <w:bCs w:val="1"/>
          <w:color w:val="auto"/>
        </w:rPr>
        <w:t>Wedbush PacGrow</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3"/>
          <w:szCs w:val="23"/>
          <w:b w:val="1"/>
          <w:bCs w:val="1"/>
          <w:color w:val="auto"/>
        </w:rPr>
        <w:t>Baird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3"/>
          <w:szCs w:val="23"/>
          <w:b w:val="1"/>
          <w:bCs w:val="1"/>
          <w:color w:val="auto"/>
        </w:rPr>
        <w:t>SunTrust Robinson Humphrey</w:t>
      </w:r>
    </w:p>
    <w:p>
      <w:pPr>
        <w:spacing w:after="0" w:line="200" w:lineRule="exact"/>
        <w:rPr>
          <w:sz w:val="24"/>
          <w:szCs w:val="24"/>
          <w:color w:val="auto"/>
        </w:rPr>
      </w:pPr>
    </w:p>
    <w:p>
      <w:pPr>
        <w:sectPr>
          <w:pgSz w:w="11900" w:h="16838" w:orient="portrait"/>
          <w:cols w:equalWidth="0" w:num="3">
            <w:col w:w="4880" w:space="720"/>
            <w:col w:w="1720" w:space="720"/>
            <w:col w:w="3380"/>
          </w:cols>
          <w:pgMar w:left="240" w:top="230" w:right="23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The date of this prospectus is October 12, 2017.</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274320</wp:posOffset>
            </wp:positionV>
            <wp:extent cx="10890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40" w:type="dxa"/>
            <w:vAlign w:val="bottom"/>
            <w:gridSpan w:val="4"/>
          </w:tcPr>
          <w:p>
            <w:pPr>
              <w:ind w:left="60"/>
              <w:spacing w:after="0"/>
              <w:rPr>
                <w:sz w:val="20"/>
                <w:szCs w:val="20"/>
                <w:color w:val="auto"/>
              </w:rPr>
            </w:pPr>
            <w:r>
              <w:rPr>
                <w:rFonts w:ascii="Arial" w:cs="Arial" w:eastAsia="Arial" w:hAnsi="Arial"/>
                <w:sz w:val="18"/>
                <w:szCs w:val="18"/>
                <w:b w:val="1"/>
                <w:bCs w:val="1"/>
                <w:color w:val="auto"/>
              </w:rPr>
              <w:t>TABLE OF CONTENTS</w:t>
            </w: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940" w:type="dxa"/>
            <w:vAlign w:val="bottom"/>
            <w:gridSpan w:val="21"/>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w:t>
              </w:r>
              <w:r>
                <w:rPr>
                  <w:rFonts w:ascii="Arial" w:cs="Arial" w:eastAsia="Arial" w:hAnsi="Arial"/>
                  <w:sz w:val="15"/>
                  <w:szCs w:val="15"/>
                  <w:color w:val="0000EE"/>
                </w:rPr>
                <w:t>ROSPECTUS</w:t>
              </w:r>
              <w:r>
                <w:rPr>
                  <w:rFonts w:ascii="Arial" w:cs="Arial" w:eastAsia="Arial" w:hAnsi="Arial"/>
                  <w:sz w:val="18"/>
                  <w:szCs w:val="18"/>
                  <w:color w:val="0000EE"/>
                </w:rPr>
                <w:t xml:space="preserve"> S</w:t>
              </w:r>
              <w:r>
                <w:rPr>
                  <w:rFonts w:ascii="Arial" w:cs="Arial" w:eastAsia="Arial" w:hAnsi="Arial"/>
                  <w:sz w:val="15"/>
                  <w:szCs w:val="15"/>
                  <w:color w:val="0000EE"/>
                </w:rPr>
                <w:t>UMMARY</w:t>
              </w:r>
            </w:hyperlink>
          </w:p>
        </w:tc>
        <w:tc>
          <w:tcPr>
            <w:tcW w:w="42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940" w:type="dxa"/>
            <w:vAlign w:val="bottom"/>
            <w:gridSpan w:val="21"/>
            <w:vMerge w:val="continue"/>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1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4"/>
              </w:rPr>
            </w:pPr>
            <w:hyperlink w:anchor="page13">
              <w:r>
                <w:rPr>
                  <w:rFonts w:ascii="Arial" w:cs="Arial" w:eastAsia="Arial" w:hAnsi="Arial"/>
                  <w:sz w:val="18"/>
                  <w:szCs w:val="18"/>
                  <w:color w:val="0000EE"/>
                  <w:w w:val="94"/>
                </w:rPr>
                <w:t>T</w:t>
              </w:r>
              <w:r>
                <w:rPr>
                  <w:rFonts w:ascii="Arial" w:cs="Arial" w:eastAsia="Arial" w:hAnsi="Arial"/>
                  <w:sz w:val="15"/>
                  <w:szCs w:val="15"/>
                  <w:color w:val="0000EE"/>
                  <w:w w:val="94"/>
                </w:rPr>
                <w:t>HE</w:t>
              </w:r>
              <w:r>
                <w:rPr>
                  <w:rFonts w:ascii="Arial" w:cs="Arial" w:eastAsia="Arial" w:hAnsi="Arial"/>
                  <w:sz w:val="18"/>
                  <w:szCs w:val="18"/>
                  <w:color w:val="0000EE"/>
                  <w:w w:val="94"/>
                </w:rPr>
                <w:t xml:space="preserve"> O</w:t>
              </w:r>
              <w:r>
                <w:rPr>
                  <w:rFonts w:ascii="Arial" w:cs="Arial" w:eastAsia="Arial" w:hAnsi="Arial"/>
                  <w:sz w:val="15"/>
                  <w:szCs w:val="15"/>
                  <w:color w:val="0000EE"/>
                  <w:w w:val="94"/>
                </w:rPr>
                <w:t>FFERING</w:t>
              </w:r>
            </w:hyperlink>
          </w:p>
        </w:tc>
        <w:tc>
          <w:tcPr>
            <w:tcW w:w="660" w:type="dxa"/>
            <w:vAlign w:val="bottom"/>
            <w:tcBorders>
              <w:top w:val="single" w:sz="8" w:color="0000EE"/>
            </w:tcBorders>
            <w:gridSpan w:val="6"/>
          </w:tcPr>
          <w:p>
            <w:pPr>
              <w:spacing w:after="0"/>
              <w:rPr>
                <w:sz w:val="18"/>
                <w:szCs w:val="18"/>
                <w:color w:val="auto"/>
              </w:rPr>
            </w:pPr>
          </w:p>
        </w:tc>
        <w:tc>
          <w:tcPr>
            <w:tcW w:w="9160" w:type="dxa"/>
            <w:vAlign w:val="bottom"/>
            <w:gridSpan w:val="11"/>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R</w:t>
              </w:r>
              <w:r>
                <w:rPr>
                  <w:rFonts w:ascii="Arial" w:cs="Arial" w:eastAsia="Arial" w:hAnsi="Arial"/>
                  <w:sz w:val="15"/>
                  <w:szCs w:val="15"/>
                  <w:color w:val="0000EE"/>
                </w:rPr>
                <w:t>ISK</w:t>
              </w:r>
              <w:r>
                <w:rPr>
                  <w:rFonts w:ascii="Arial" w:cs="Arial" w:eastAsia="Arial" w:hAnsi="Arial"/>
                  <w:sz w:val="18"/>
                  <w:szCs w:val="18"/>
                  <w:color w:val="0000EE"/>
                </w:rPr>
                <w:t xml:space="preserve"> F</w:t>
              </w:r>
              <w:r>
                <w:rPr>
                  <w:rFonts w:ascii="Arial" w:cs="Arial" w:eastAsia="Arial" w:hAnsi="Arial"/>
                  <w:sz w:val="15"/>
                  <w:szCs w:val="15"/>
                  <w:color w:val="0000EE"/>
                </w:rPr>
                <w:t>ACTORS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S</w:t>
              </w:r>
              <w:r>
                <w:rPr>
                  <w:rFonts w:ascii="Arial" w:cs="Arial" w:eastAsia="Arial" w:hAnsi="Arial"/>
                  <w:sz w:val="15"/>
                  <w:szCs w:val="15"/>
                  <w:color w:val="0000EE"/>
                </w:rPr>
                <w:t>PECIAL</w:t>
              </w:r>
              <w:r>
                <w:rPr>
                  <w:rFonts w:ascii="Arial" w:cs="Arial" w:eastAsia="Arial" w:hAnsi="Arial"/>
                  <w:sz w:val="18"/>
                  <w:szCs w:val="18"/>
                  <w:color w:val="0000EE"/>
                </w:rPr>
                <w:t xml:space="preserve"> N</w:t>
              </w:r>
              <w:r>
                <w:rPr>
                  <w:rFonts w:ascii="Arial" w:cs="Arial" w:eastAsia="Arial" w:hAnsi="Arial"/>
                  <w:sz w:val="15"/>
                  <w:szCs w:val="15"/>
                  <w:color w:val="0000EE"/>
                </w:rPr>
                <w:t>OTE</w:t>
              </w:r>
              <w:r>
                <w:rPr>
                  <w:rFonts w:ascii="Arial" w:cs="Arial" w:eastAsia="Arial" w:hAnsi="Arial"/>
                  <w:sz w:val="18"/>
                  <w:szCs w:val="18"/>
                  <w:color w:val="0000EE"/>
                </w:rPr>
                <w:t xml:space="preserve"> R</w:t>
              </w:r>
              <w:r>
                <w:rPr>
                  <w:rFonts w:ascii="Arial" w:cs="Arial" w:eastAsia="Arial" w:hAnsi="Arial"/>
                  <w:sz w:val="15"/>
                  <w:szCs w:val="15"/>
                  <w:color w:val="0000EE"/>
                </w:rPr>
                <w:t>EGARDING</w:t>
              </w:r>
              <w:r>
                <w:rPr>
                  <w:rFonts w:ascii="Arial" w:cs="Arial" w:eastAsia="Arial" w:hAnsi="Arial"/>
                  <w:sz w:val="18"/>
                  <w:szCs w:val="18"/>
                  <w:color w:val="0000EE"/>
                </w:rPr>
                <w:t xml:space="preserve"> F</w:t>
              </w:r>
              <w:r>
                <w:rPr>
                  <w:rFonts w:ascii="Arial" w:cs="Arial" w:eastAsia="Arial" w:hAnsi="Arial"/>
                  <w:sz w:val="15"/>
                  <w:szCs w:val="15"/>
                  <w:color w:val="0000EE"/>
                </w:rPr>
                <w:t>ORWARD</w:t>
              </w:r>
              <w:r>
                <w:rPr>
                  <w:rFonts w:ascii="Arial" w:cs="Arial" w:eastAsia="Arial" w:hAnsi="Arial"/>
                  <w:sz w:val="18"/>
                  <w:szCs w:val="18"/>
                  <w:color w:val="0000EE"/>
                </w:rPr>
                <w:t xml:space="preserve"> -L</w:t>
              </w:r>
              <w:r>
                <w:rPr>
                  <w:rFonts w:ascii="Arial" w:cs="Arial" w:eastAsia="Arial" w:hAnsi="Arial"/>
                  <w:sz w:val="15"/>
                  <w:szCs w:val="15"/>
                  <w:color w:val="0000EE"/>
                </w:rPr>
                <w:t>OOKING</w:t>
              </w:r>
              <w:r>
                <w:rPr>
                  <w:rFonts w:ascii="Arial" w:cs="Arial" w:eastAsia="Arial" w:hAnsi="Arial"/>
                  <w:sz w:val="18"/>
                  <w:szCs w:val="18"/>
                  <w:color w:val="0000EE"/>
                </w:rPr>
                <w:t xml:space="preserve"> S</w:t>
              </w:r>
              <w:r>
                <w:rPr>
                  <w:rFonts w:ascii="Arial" w:cs="Arial" w:eastAsia="Arial" w:hAnsi="Arial"/>
                  <w:sz w:val="15"/>
                  <w:szCs w:val="15"/>
                  <w:color w:val="0000EE"/>
                </w:rPr>
                <w:t>TATEMENTS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30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M</w:t>
              </w:r>
              <w:r>
                <w:rPr>
                  <w:rFonts w:ascii="Arial" w:cs="Arial" w:eastAsia="Arial" w:hAnsi="Arial"/>
                  <w:sz w:val="15"/>
                  <w:szCs w:val="15"/>
                  <w:color w:val="0000EE"/>
                  <w:w w:val="98"/>
                </w:rPr>
                <w:t>ARKET AND</w:t>
              </w:r>
              <w:r>
                <w:rPr>
                  <w:rFonts w:ascii="Arial" w:cs="Arial" w:eastAsia="Arial" w:hAnsi="Arial"/>
                  <w:sz w:val="18"/>
                  <w:szCs w:val="18"/>
                  <w:color w:val="0000EE"/>
                  <w:w w:val="98"/>
                </w:rPr>
                <w:t xml:space="preserve"> I</w:t>
              </w:r>
              <w:r>
                <w:rPr>
                  <w:rFonts w:ascii="Arial" w:cs="Arial" w:eastAsia="Arial" w:hAnsi="Arial"/>
                  <w:sz w:val="15"/>
                  <w:szCs w:val="15"/>
                  <w:color w:val="0000EE"/>
                  <w:w w:val="98"/>
                </w:rPr>
                <w:t>NDUSTRY</w:t>
              </w:r>
              <w:r>
                <w:rPr>
                  <w:rFonts w:ascii="Arial" w:cs="Arial" w:eastAsia="Arial" w:hAnsi="Arial"/>
                  <w:sz w:val="18"/>
                  <w:szCs w:val="18"/>
                  <w:color w:val="0000EE"/>
                  <w:w w:val="98"/>
                </w:rPr>
                <w:t xml:space="preserve"> D</w:t>
              </w:r>
              <w:r>
                <w:rPr>
                  <w:rFonts w:ascii="Arial" w:cs="Arial" w:eastAsia="Arial" w:hAnsi="Arial"/>
                  <w:sz w:val="15"/>
                  <w:szCs w:val="15"/>
                  <w:color w:val="0000EE"/>
                  <w:w w:val="98"/>
                </w:rPr>
                <w:t>ATA</w:t>
              </w:r>
            </w:hyperlink>
          </w:p>
        </w:tc>
        <w:tc>
          <w:tcPr>
            <w:tcW w:w="2340" w:type="dxa"/>
            <w:vAlign w:val="bottom"/>
            <w:tcBorders>
              <w:top w:val="single" w:sz="8" w:color="0000EE"/>
            </w:tcBorders>
            <w:gridSpan w:val="3"/>
          </w:tcPr>
          <w:p>
            <w:pPr>
              <w:spacing w:after="0"/>
              <w:rPr>
                <w:sz w:val="17"/>
                <w:szCs w:val="17"/>
                <w:color w:val="auto"/>
              </w:rPr>
            </w:pPr>
          </w:p>
        </w:tc>
        <w:tc>
          <w:tcPr>
            <w:tcW w:w="6300" w:type="dxa"/>
            <w:vAlign w:val="bottom"/>
            <w:gridSpan w:val="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3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U</w:t>
              </w:r>
              <w:r>
                <w:rPr>
                  <w:rFonts w:ascii="Arial" w:cs="Arial" w:eastAsia="Arial" w:hAnsi="Arial"/>
                  <w:sz w:val="15"/>
                  <w:szCs w:val="15"/>
                  <w:color w:val="0000EE"/>
                  <w:w w:val="91"/>
                </w:rPr>
                <w:t>SE OF</w:t>
              </w:r>
              <w:r>
                <w:rPr>
                  <w:rFonts w:ascii="Arial" w:cs="Arial" w:eastAsia="Arial" w:hAnsi="Arial"/>
                  <w:sz w:val="18"/>
                  <w:szCs w:val="18"/>
                  <w:color w:val="0000EE"/>
                  <w:w w:val="91"/>
                </w:rPr>
                <w:t xml:space="preserve"> P</w:t>
              </w:r>
              <w:r>
                <w:rPr>
                  <w:rFonts w:ascii="Arial" w:cs="Arial" w:eastAsia="Arial" w:hAnsi="Arial"/>
                  <w:sz w:val="15"/>
                  <w:szCs w:val="15"/>
                  <w:color w:val="0000EE"/>
                  <w:w w:val="91"/>
                </w:rPr>
                <w:t>ROCEEDS</w:t>
              </w:r>
            </w:hyperlink>
          </w:p>
        </w:tc>
        <w:tc>
          <w:tcPr>
            <w:tcW w:w="9560" w:type="dxa"/>
            <w:vAlign w:val="bottom"/>
            <w:gridSpan w:val="1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w:t>
              </w:r>
              <w:r>
                <w:rPr>
                  <w:rFonts w:ascii="Arial" w:cs="Arial" w:eastAsia="Arial" w:hAnsi="Arial"/>
                  <w:sz w:val="15"/>
                  <w:szCs w:val="15"/>
                  <w:color w:val="0000EE"/>
                </w:rPr>
                <w:t>IVIDEND</w:t>
              </w:r>
              <w:r>
                <w:rPr>
                  <w:rFonts w:ascii="Arial" w:cs="Arial" w:eastAsia="Arial" w:hAnsi="Arial"/>
                  <w:sz w:val="18"/>
                  <w:szCs w:val="18"/>
                  <w:color w:val="0000EE"/>
                </w:rPr>
                <w:t xml:space="preserve"> P</w:t>
              </w:r>
              <w:r>
                <w:rPr>
                  <w:rFonts w:ascii="Arial" w:cs="Arial" w:eastAsia="Arial" w:hAnsi="Arial"/>
                  <w:sz w:val="15"/>
                  <w:szCs w:val="15"/>
                  <w:color w:val="0000EE"/>
                </w:rPr>
                <w:t>OLICY</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3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w:t>
              </w:r>
              <w:r>
                <w:rPr>
                  <w:rFonts w:ascii="Arial" w:cs="Arial" w:eastAsia="Arial" w:hAnsi="Arial"/>
                  <w:sz w:val="15"/>
                  <w:szCs w:val="15"/>
                  <w:color w:val="0000EE"/>
                </w:rPr>
                <w:t>APITALIZATION</w:t>
              </w:r>
            </w:hyperlink>
          </w:p>
        </w:tc>
        <w:tc>
          <w:tcPr>
            <w:tcW w:w="9580" w:type="dxa"/>
            <w:vAlign w:val="bottom"/>
            <w:gridSpan w:val="13"/>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2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w:t>
              </w:r>
              <w:r>
                <w:rPr>
                  <w:rFonts w:ascii="Arial" w:cs="Arial" w:eastAsia="Arial" w:hAnsi="Arial"/>
                  <w:sz w:val="15"/>
                  <w:szCs w:val="15"/>
                  <w:color w:val="0000EE"/>
                </w:rPr>
                <w:t>ILUTION</w:t>
              </w:r>
            </w:hyperlink>
          </w:p>
        </w:tc>
        <w:tc>
          <w:tcPr>
            <w:tcW w:w="9700" w:type="dxa"/>
            <w:vAlign w:val="bottom"/>
            <w:gridSpan w:val="15"/>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C</w:t>
              </w:r>
              <w:r>
                <w:rPr>
                  <w:rFonts w:ascii="Arial" w:cs="Arial" w:eastAsia="Arial" w:hAnsi="Arial"/>
                  <w:sz w:val="15"/>
                  <w:szCs w:val="15"/>
                  <w:color w:val="0000EE"/>
                </w:rPr>
                <w:t>ERTAIN</w:t>
              </w:r>
              <w:r>
                <w:rPr>
                  <w:rFonts w:ascii="Arial" w:cs="Arial" w:eastAsia="Arial" w:hAnsi="Arial"/>
                  <w:sz w:val="18"/>
                  <w:szCs w:val="18"/>
                  <w:color w:val="0000EE"/>
                </w:rPr>
                <w:t xml:space="preserve"> R</w:t>
              </w:r>
              <w:r>
                <w:rPr>
                  <w:rFonts w:ascii="Arial" w:cs="Arial" w:eastAsia="Arial" w:hAnsi="Arial"/>
                  <w:sz w:val="15"/>
                  <w:szCs w:val="15"/>
                  <w:color w:val="0000EE"/>
                </w:rPr>
                <w:t>ELATIONSHIPS AND</w:t>
              </w:r>
              <w:r>
                <w:rPr>
                  <w:rFonts w:ascii="Arial" w:cs="Arial" w:eastAsia="Arial" w:hAnsi="Arial"/>
                  <w:sz w:val="18"/>
                  <w:szCs w:val="18"/>
                  <w:color w:val="0000EE"/>
                </w:rPr>
                <w:t xml:space="preserve"> R</w:t>
              </w:r>
              <w:r>
                <w:rPr>
                  <w:rFonts w:ascii="Arial" w:cs="Arial" w:eastAsia="Arial" w:hAnsi="Arial"/>
                  <w:sz w:val="15"/>
                  <w:szCs w:val="15"/>
                  <w:color w:val="0000EE"/>
                </w:rPr>
                <w:t>ELATED</w:t>
              </w:r>
              <w:r>
                <w:rPr>
                  <w:rFonts w:ascii="Arial" w:cs="Arial" w:eastAsia="Arial" w:hAnsi="Arial"/>
                  <w:sz w:val="18"/>
                  <w:szCs w:val="18"/>
                  <w:color w:val="0000EE"/>
                </w:rPr>
                <w:t xml:space="preserve"> P</w:t>
              </w:r>
              <w:r>
                <w:rPr>
                  <w:rFonts w:ascii="Arial" w:cs="Arial" w:eastAsia="Arial" w:hAnsi="Arial"/>
                  <w:sz w:val="15"/>
                  <w:szCs w:val="15"/>
                  <w:color w:val="0000EE"/>
                </w:rPr>
                <w:t>ARTY</w:t>
              </w:r>
              <w:r>
                <w:rPr>
                  <w:rFonts w:ascii="Arial" w:cs="Arial" w:eastAsia="Arial" w:hAnsi="Arial"/>
                  <w:sz w:val="18"/>
                  <w:szCs w:val="18"/>
                  <w:color w:val="0000EE"/>
                </w:rPr>
                <w:t xml:space="preserve"> T</w:t>
              </w:r>
              <w:r>
                <w:rPr>
                  <w:rFonts w:ascii="Arial" w:cs="Arial" w:eastAsia="Arial" w:hAnsi="Arial"/>
                  <w:sz w:val="15"/>
                  <w:szCs w:val="15"/>
                  <w:color w:val="0000EE"/>
                </w:rPr>
                <w:t>RANSACTIONS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w:t>
              </w:r>
              <w:r>
                <w:rPr>
                  <w:rFonts w:ascii="Arial" w:cs="Arial" w:eastAsia="Arial" w:hAnsi="Arial"/>
                  <w:sz w:val="15"/>
                  <w:szCs w:val="15"/>
                  <w:color w:val="0000EE"/>
                </w:rPr>
                <w:t>RINCIPAL</w:t>
              </w:r>
              <w:r>
                <w:rPr>
                  <w:rFonts w:ascii="Arial" w:cs="Arial" w:eastAsia="Arial" w:hAnsi="Arial"/>
                  <w:sz w:val="18"/>
                  <w:szCs w:val="18"/>
                  <w:color w:val="0000EE"/>
                </w:rPr>
                <w:t xml:space="preserve"> S</w:t>
              </w:r>
              <w:r>
                <w:rPr>
                  <w:rFonts w:ascii="Arial" w:cs="Arial" w:eastAsia="Arial" w:hAnsi="Arial"/>
                  <w:sz w:val="15"/>
                  <w:szCs w:val="15"/>
                  <w:color w:val="0000EE"/>
                </w:rPr>
                <w:t>TOCKHOLDERS</w:t>
              </w:r>
            </w:hyperlink>
          </w:p>
        </w:tc>
        <w:tc>
          <w:tcPr>
            <w:tcW w:w="6240" w:type="dxa"/>
            <w:vAlign w:val="bottom"/>
            <w:gridSpan w:val="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4"/>
          </w:tcPr>
          <w:p>
            <w:pPr>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D</w:t>
              </w:r>
              <w:r>
                <w:rPr>
                  <w:rFonts w:ascii="Arial" w:cs="Arial" w:eastAsia="Arial" w:hAnsi="Arial"/>
                  <w:sz w:val="15"/>
                  <w:szCs w:val="15"/>
                  <w:color w:val="0000EE"/>
                  <w:w w:val="95"/>
                </w:rPr>
                <w:t>ESCRIPTION OF</w:t>
              </w:r>
              <w:r>
                <w:rPr>
                  <w:rFonts w:ascii="Arial" w:cs="Arial" w:eastAsia="Arial" w:hAnsi="Arial"/>
                  <w:sz w:val="18"/>
                  <w:szCs w:val="18"/>
                  <w:color w:val="0000EE"/>
                  <w:w w:val="95"/>
                </w:rPr>
                <w:t xml:space="preserve"> C</w:t>
              </w:r>
              <w:r>
                <w:rPr>
                  <w:rFonts w:ascii="Arial" w:cs="Arial" w:eastAsia="Arial" w:hAnsi="Arial"/>
                  <w:sz w:val="15"/>
                  <w:szCs w:val="15"/>
                  <w:color w:val="0000EE"/>
                  <w:w w:val="95"/>
                </w:rPr>
                <w:t>APITAL</w:t>
              </w:r>
              <w:r>
                <w:rPr>
                  <w:rFonts w:ascii="Arial" w:cs="Arial" w:eastAsia="Arial" w:hAnsi="Arial"/>
                  <w:sz w:val="18"/>
                  <w:szCs w:val="18"/>
                  <w:color w:val="0000EE"/>
                  <w:w w:val="95"/>
                </w:rPr>
                <w:t xml:space="preserve"> S</w:t>
              </w:r>
              <w:r>
                <w:rPr>
                  <w:rFonts w:ascii="Arial" w:cs="Arial" w:eastAsia="Arial" w:hAnsi="Arial"/>
                  <w:sz w:val="15"/>
                  <w:szCs w:val="15"/>
                  <w:color w:val="0000EE"/>
                  <w:w w:val="95"/>
                </w:rPr>
                <w:t>TOCK</w:t>
              </w:r>
            </w:hyperlink>
          </w:p>
        </w:tc>
        <w:tc>
          <w:tcPr>
            <w:tcW w:w="8460" w:type="dxa"/>
            <w:vAlign w:val="bottom"/>
            <w:gridSpan w:val="7"/>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w:t>
              </w:r>
              <w:r>
                <w:rPr>
                  <w:rFonts w:ascii="Arial" w:cs="Arial" w:eastAsia="Arial" w:hAnsi="Arial"/>
                  <w:sz w:val="15"/>
                  <w:szCs w:val="15"/>
                  <w:color w:val="0000EE"/>
                </w:rPr>
                <w:t>ATERIAL</w:t>
              </w:r>
              <w:r>
                <w:rPr>
                  <w:rFonts w:ascii="Arial" w:cs="Arial" w:eastAsia="Arial" w:hAnsi="Arial"/>
                  <w:sz w:val="18"/>
                  <w:szCs w:val="18"/>
                  <w:color w:val="0000EE"/>
                </w:rPr>
                <w:t xml:space="preserve"> U.S. F</w:t>
              </w:r>
              <w:r>
                <w:rPr>
                  <w:rFonts w:ascii="Arial" w:cs="Arial" w:eastAsia="Arial" w:hAnsi="Arial"/>
                  <w:sz w:val="15"/>
                  <w:szCs w:val="15"/>
                  <w:color w:val="0000EE"/>
                </w:rPr>
                <w:t>EDERAL</w:t>
              </w:r>
              <w:r>
                <w:rPr>
                  <w:rFonts w:ascii="Arial" w:cs="Arial" w:eastAsia="Arial" w:hAnsi="Arial"/>
                  <w:sz w:val="18"/>
                  <w:szCs w:val="18"/>
                  <w:color w:val="0000EE"/>
                </w:rPr>
                <w:t xml:space="preserve"> I</w:t>
              </w:r>
              <w:r>
                <w:rPr>
                  <w:rFonts w:ascii="Arial" w:cs="Arial" w:eastAsia="Arial" w:hAnsi="Arial"/>
                  <w:sz w:val="15"/>
                  <w:szCs w:val="15"/>
                  <w:color w:val="0000EE"/>
                </w:rPr>
                <w:t>NCOME</w:t>
              </w:r>
              <w:r>
                <w:rPr>
                  <w:rFonts w:ascii="Arial" w:cs="Arial" w:eastAsia="Arial" w:hAnsi="Arial"/>
                  <w:sz w:val="18"/>
                  <w:szCs w:val="18"/>
                  <w:color w:val="0000EE"/>
                </w:rPr>
                <w:t xml:space="preserve"> T</w:t>
              </w:r>
              <w:r>
                <w:rPr>
                  <w:rFonts w:ascii="Arial" w:cs="Arial" w:eastAsia="Arial" w:hAnsi="Arial"/>
                  <w:sz w:val="15"/>
                  <w:szCs w:val="15"/>
                  <w:color w:val="0000EE"/>
                </w:rPr>
                <w:t>AX</w:t>
              </w:r>
              <w:r>
                <w:rPr>
                  <w:rFonts w:ascii="Arial" w:cs="Arial" w:eastAsia="Arial" w:hAnsi="Arial"/>
                  <w:sz w:val="18"/>
                  <w:szCs w:val="18"/>
                  <w:color w:val="0000EE"/>
                </w:rPr>
                <w:t xml:space="preserve"> C</w:t>
              </w:r>
              <w:r>
                <w:rPr>
                  <w:rFonts w:ascii="Arial" w:cs="Arial" w:eastAsia="Arial" w:hAnsi="Arial"/>
                  <w:sz w:val="15"/>
                  <w:szCs w:val="15"/>
                  <w:color w:val="0000EE"/>
                </w:rPr>
                <w:t>ONSIDERATIONS FOR</w:t>
              </w:r>
              <w:r>
                <w:rPr>
                  <w:rFonts w:ascii="Arial" w:cs="Arial" w:eastAsia="Arial" w:hAnsi="Arial"/>
                  <w:sz w:val="18"/>
                  <w:szCs w:val="18"/>
                  <w:color w:val="0000EE"/>
                </w:rPr>
                <w:t xml:space="preserve"> N</w:t>
              </w:r>
              <w:r>
                <w:rPr>
                  <w:rFonts w:ascii="Arial" w:cs="Arial" w:eastAsia="Arial" w:hAnsi="Arial"/>
                  <w:sz w:val="15"/>
                  <w:szCs w:val="15"/>
                  <w:color w:val="0000EE"/>
                </w:rPr>
                <w:t>ON</w:t>
              </w:r>
              <w:r>
                <w:rPr>
                  <w:rFonts w:ascii="Arial" w:cs="Arial" w:eastAsia="Arial" w:hAnsi="Arial"/>
                  <w:sz w:val="18"/>
                  <w:szCs w:val="18"/>
                  <w:color w:val="0000EE"/>
                </w:rPr>
                <w:t>-U.S. H</w:t>
              </w:r>
              <w:r>
                <w:rPr>
                  <w:rFonts w:ascii="Arial" w:cs="Arial" w:eastAsia="Arial" w:hAnsi="Arial"/>
                  <w:sz w:val="15"/>
                  <w:szCs w:val="15"/>
                  <w:color w:val="0000EE"/>
                </w:rPr>
                <w:t>OLDERS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61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U</w:t>
              </w:r>
              <w:r>
                <w:rPr>
                  <w:rFonts w:ascii="Arial" w:cs="Arial" w:eastAsia="Arial" w:hAnsi="Arial"/>
                  <w:sz w:val="15"/>
                  <w:szCs w:val="15"/>
                  <w:color w:val="0000EE"/>
                </w:rPr>
                <w:t>NDERWRITING</w:t>
              </w:r>
            </w:hyperlink>
          </w:p>
        </w:tc>
        <w:tc>
          <w:tcPr>
            <w:tcW w:w="4820" w:type="dxa"/>
            <w:vAlign w:val="bottom"/>
            <w:gridSpan w:val="2"/>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520" w:type="dxa"/>
            <w:vAlign w:val="bottom"/>
            <w:gridSpan w:val="4"/>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L</w:t>
              </w:r>
              <w:r>
                <w:rPr>
                  <w:rFonts w:ascii="Arial" w:cs="Arial" w:eastAsia="Arial" w:hAnsi="Arial"/>
                  <w:sz w:val="15"/>
                  <w:szCs w:val="15"/>
                  <w:color w:val="0000EE"/>
                  <w:w w:val="97"/>
                </w:rPr>
                <w:t>EGAL</w:t>
              </w:r>
              <w:r>
                <w:rPr>
                  <w:rFonts w:ascii="Arial" w:cs="Arial" w:eastAsia="Arial" w:hAnsi="Arial"/>
                  <w:sz w:val="18"/>
                  <w:szCs w:val="18"/>
                  <w:color w:val="0000EE"/>
                  <w:w w:val="97"/>
                </w:rPr>
                <w:t xml:space="preserve"> M</w:t>
              </w:r>
              <w:r>
                <w:rPr>
                  <w:rFonts w:ascii="Arial" w:cs="Arial" w:eastAsia="Arial" w:hAnsi="Arial"/>
                  <w:sz w:val="15"/>
                  <w:szCs w:val="15"/>
                  <w:color w:val="0000EE"/>
                  <w:w w:val="97"/>
                </w:rPr>
                <w:t>ATTERS</w:t>
              </w:r>
            </w:hyperlink>
          </w:p>
        </w:tc>
        <w:tc>
          <w:tcPr>
            <w:tcW w:w="9660" w:type="dxa"/>
            <w:vAlign w:val="bottom"/>
            <w:gridSpan w:val="14"/>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w:t>
              </w:r>
              <w:r>
                <w:rPr>
                  <w:rFonts w:ascii="Arial" w:cs="Arial" w:eastAsia="Arial" w:hAnsi="Arial"/>
                  <w:sz w:val="15"/>
                  <w:szCs w:val="15"/>
                  <w:color w:val="0000EE"/>
                </w:rPr>
                <w:t>XPERTS</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1400" w:type="dxa"/>
            <w:vAlign w:val="bottom"/>
            <w:gridSpan w:val="11"/>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6520" w:type="dxa"/>
            <w:vAlign w:val="bottom"/>
            <w:gridSpan w:val="6"/>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tcBorders>
              <w:bottom w:val="single" w:sz="8" w:color="0000EE"/>
            </w:tcBorders>
            <w:gridSpan w:val="1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A</w:t>
              </w:r>
              <w:r>
                <w:rPr>
                  <w:rFonts w:ascii="Arial" w:cs="Arial" w:eastAsia="Arial" w:hAnsi="Arial"/>
                  <w:sz w:val="15"/>
                  <w:szCs w:val="15"/>
                  <w:color w:val="0000EE"/>
                </w:rPr>
                <w:t>DDITIONAL</w:t>
              </w:r>
              <w:r>
                <w:rPr>
                  <w:rFonts w:ascii="Arial" w:cs="Arial" w:eastAsia="Arial" w:hAnsi="Arial"/>
                  <w:sz w:val="18"/>
                  <w:szCs w:val="18"/>
                  <w:color w:val="0000EE"/>
                </w:rPr>
                <w:t xml:space="preserve"> I</w:t>
              </w:r>
              <w:r>
                <w:rPr>
                  <w:rFonts w:ascii="Arial" w:cs="Arial" w:eastAsia="Arial" w:hAnsi="Arial"/>
                  <w:sz w:val="15"/>
                  <w:szCs w:val="15"/>
                  <w:color w:val="0000EE"/>
                </w:rPr>
                <w:t>NFORMATION</w:t>
              </w:r>
            </w:hyperlink>
          </w:p>
        </w:tc>
        <w:tc>
          <w:tcPr>
            <w:tcW w:w="8880" w:type="dxa"/>
            <w:vAlign w:val="bottom"/>
            <w:gridSpan w:val="9"/>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w:t>
              </w:r>
              <w:r>
                <w:rPr>
                  <w:rFonts w:ascii="Arial" w:cs="Arial" w:eastAsia="Arial" w:hAnsi="Arial"/>
                  <w:sz w:val="15"/>
                  <w:szCs w:val="15"/>
                  <w:color w:val="0000EE"/>
                </w:rPr>
                <w:t>NCORPORATION OF</w:t>
              </w:r>
              <w:r>
                <w:rPr>
                  <w:rFonts w:ascii="Arial" w:cs="Arial" w:eastAsia="Arial" w:hAnsi="Arial"/>
                  <w:sz w:val="18"/>
                  <w:szCs w:val="18"/>
                  <w:color w:val="0000EE"/>
                </w:rPr>
                <w:t xml:space="preserve"> C</w:t>
              </w:r>
              <w:r>
                <w:rPr>
                  <w:rFonts w:ascii="Arial" w:cs="Arial" w:eastAsia="Arial" w:hAnsi="Arial"/>
                  <w:sz w:val="15"/>
                  <w:szCs w:val="15"/>
                  <w:color w:val="0000EE"/>
                </w:rPr>
                <w:t>ERTAIN</w:t>
              </w:r>
              <w:r>
                <w:rPr>
                  <w:rFonts w:ascii="Arial" w:cs="Arial" w:eastAsia="Arial" w:hAnsi="Arial"/>
                  <w:sz w:val="18"/>
                  <w:szCs w:val="18"/>
                  <w:color w:val="0000EE"/>
                </w:rPr>
                <w:t xml:space="preserve"> I</w:t>
              </w:r>
              <w:r>
                <w:rPr>
                  <w:rFonts w:ascii="Arial" w:cs="Arial" w:eastAsia="Arial" w:hAnsi="Arial"/>
                  <w:sz w:val="15"/>
                  <w:szCs w:val="15"/>
                  <w:color w:val="0000EE"/>
                </w:rPr>
                <w:t>NFORMATION BY</w:t>
              </w:r>
              <w:r>
                <w:rPr>
                  <w:rFonts w:ascii="Arial" w:cs="Arial" w:eastAsia="Arial" w:hAnsi="Arial"/>
                  <w:sz w:val="18"/>
                  <w:szCs w:val="18"/>
                  <w:color w:val="0000EE"/>
                </w:rPr>
                <w:t xml:space="preserve"> R</w:t>
              </w:r>
              <w:r>
                <w:rPr>
                  <w:rFonts w:ascii="Arial" w:cs="Arial" w:eastAsia="Arial" w:hAnsi="Arial"/>
                  <w:sz w:val="15"/>
                  <w:szCs w:val="15"/>
                  <w:color w:val="0000EE"/>
                </w:rPr>
                <w:t>EFERENCE</w:t>
              </w:r>
            </w:hyperlink>
          </w:p>
        </w:tc>
        <w:tc>
          <w:tcPr>
            <w:tcW w:w="4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29"/>
        </w:trPr>
        <w:tc>
          <w:tcPr>
            <w:tcW w:w="66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36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6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0" w:type="dxa"/>
            <w:vAlign w:val="bottom"/>
            <w:tcBorders>
              <w:top w:val="single" w:sz="8" w:color="0000EE"/>
            </w:tcBorders>
          </w:tcPr>
          <w:p>
            <w:pPr>
              <w:spacing w:after="0"/>
              <w:rPr>
                <w:sz w:val="11"/>
                <w:szCs w:val="11"/>
                <w:color w:val="auto"/>
              </w:rPr>
            </w:pPr>
          </w:p>
        </w:tc>
        <w:tc>
          <w:tcPr>
            <w:tcW w:w="20" w:type="dxa"/>
            <w:vAlign w:val="bottom"/>
            <w:tcBorders>
              <w:top w:val="single" w:sz="8" w:color="0000EE"/>
            </w:tcBorders>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194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You should rely only on the information contained or incorporated by reference in this prospectus or to which we have referred you. Neither we nor the underwriters have authorized anyone to provide you with information that is different. This prospectus may only be used where it is legal to sell these securities. The information in this prospectus or in any document incorporated by reference herein may only be accurate as of the date hereof or thereof, respectively, regardless of the time of delivery of this prospectus or of any sale of shares of our common stock and the information in any free writing prospectus that we may provide you in connection with this offering is accurate only as of the date of that free writing prospectus. Our business, financial condition, results of operations and future growth prospects may have changed since those dates.</w:t>
      </w:r>
    </w:p>
    <w:p>
      <w:pPr>
        <w:spacing w:after="0" w:line="13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Persons who come into possession of this prospectus and any applicable free writing prospectus in jurisdictions outside the United States are required to inform themselves about and to observe any restrictions as to this offering and the distribution of this prospectus and any such free writing prospectus applicable to that jurisdiction.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9302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thereto and the information set forth under the sections “Risk Factors” and “Management’s Discussion and Analysis of Financial Condition and Results of Operations,” in each case included in, or incorporated by reference into, this prospectus. Unless the context otherwise requires, we use the terms “AnaptysBio,” “company,” “we,” “us” and “our” in this prospectus to refer to AnaptysBio, Inc. and our subsidiary.</w:t>
      </w: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We are a clinical stage biotechnology company developing first-in-class antibody product candidates focused on unmet medical needs in inflammation. We develop our product candidates to address emerging biological targets using our proprietary antibody discovery technology platform, which is based upon a breakthrough understanding of the natural process of antibody generation, known as somatic hypermutation, or SHM, and replicates this natural process of antibody generation </w:t>
      </w:r>
      <w:r>
        <w:rPr>
          <w:rFonts w:ascii="Arial" w:cs="Arial" w:eastAsia="Arial" w:hAnsi="Arial"/>
          <w:sz w:val="18"/>
          <w:szCs w:val="18"/>
          <w:i w:val="1"/>
          <w:iCs w:val="1"/>
          <w:color w:val="auto"/>
        </w:rPr>
        <w:t>in vitro</w:t>
      </w:r>
      <w:r>
        <w:rPr>
          <w:rFonts w:ascii="Arial" w:cs="Arial" w:eastAsia="Arial" w:hAnsi="Arial"/>
          <w:sz w:val="18"/>
          <w:szCs w:val="18"/>
          <w:color w:val="auto"/>
        </w:rPr>
        <w:t>. Our strategy is to advance the development and commercialization of our proprietary product candidates, and for certain programs, establish partnerships with leading biopharmaceutical companies where we retain certain development and commercialization rights in the United States.</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Our most advanced wholly-owned antibody programs, ANB020 and ANB019, neutralize therapeutic targets that are genetically associated with severe inflammatory disorders in humans. ANB020 inhibits the activity of the interleukin-33 cytokine, or IL-33, for the treatment of moderate-to-severe adult atopic dermatitis, severe adult peanut allergy and severe adult eosinophilic asthma. We have completed a Phase 1 trial of ANB020 in healthy volunteers in Australia, the results of which were presented at the 2017 American Academy of Dermatology Annual Meeting and the American Academy of Allergy, Asthma and Immunology 2017 Annual Meeting in March 2017.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pharmacodynamic assay. We have subsequently completed enrollment of a Phase 2a trial of ANB020 in 12 moderate-to-severe adult atopic dermatitis patients, under an approved Clinical Trial Authorisation, or CTA, with the U.K. Medicines and Healthcare Products Regulatory Agency, or MHRA, and announced top-line data from an interim analysis of this trial in October 2017.</w:t>
      </w:r>
    </w:p>
    <w:p>
      <w:pPr>
        <w:spacing w:after="0" w:line="178"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The Phase 2a proof-of-concept trial enrolled 12 moderate-to-severe adult atopic dermatitis patients, who were initially administered a single intravenous dose of placebo within 14 days of enrollment, followed by a single intravenous 300mg dose of ANB020 one week subsequent to placebo. Prior to enrollment in the study, patients were not permitted any systemic or topical medications during a wash-out period. Patients were permitted to take a monitored amount of topical corticosteroids as rescue therapy during the course of the study. Clinical response was assessed by a number of endpoints, including the improvement of each patient’s Eczema Area Severity Index, or EASI, score, a tool used to measure the extent and severity of atopic dermatitis, at key time points following ANB020 administration relative to their enrollment baseline. Pruritus, also known as itchiness, as measured by the 5-D pruritus scale score, was also assessed for each patient. Exploratory mechanistic biomarkers included granulocyte infiltration and cytokine levels in localized skin lesions measured five days after placebo administration and five days after ANB020 administration.</w:t>
      </w:r>
    </w:p>
    <w:p>
      <w:pPr>
        <w:spacing w:after="0" w:line="166"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Top-line data indicated rapid and sustained clinical achievement of EASI-50, which is 50% or better improvement in EASI score relative to enrollment baseline, in 83% of patients at Day 29, and the 5-D pruritus score was reduced by 32% relative to enrollment baseline. As early as Day 15 post-ANB020 administration 75% of patients</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718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67189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line="254" w:lineRule="auto"/>
        <w:rPr>
          <w:sz w:val="20"/>
          <w:szCs w:val="20"/>
          <w:color w:val="auto"/>
        </w:rPr>
      </w:pPr>
      <w:r>
        <w:rPr>
          <w:rFonts w:ascii="Arial" w:cs="Arial" w:eastAsia="Arial" w:hAnsi="Arial"/>
          <w:sz w:val="18"/>
          <w:szCs w:val="18"/>
          <w:color w:val="auto"/>
        </w:rPr>
        <w:t>reached EASI-50 and pruritus was reduced by 28%, which was sustained until Day 57 when 75% of patients achieved EASI-50; pruritus was reduced by 22% at Day 57. All 12 patients achieved EASI-50 at one or more timepoints through Day 57 post-ANB020 administration. Exploratory biomarker assessment indicated reduction of granulocyte infiltration into localized skin lesions by an average of 30% amongst all patients and 60% among the 10 patients achieving EASI-50 at 29 days post-ANB020 administration, while exploratory cytokine biomarker levels were below detection limit and therefore inconclusive. ANB020 was generally well-tolerated by all patients and no severe adverse events have been reported to date. The most frequent treatment-emergent adverse events reported were mild dizziness in two patients subsequent to placebo dosing, and mild headache in two patients post-ANB020 administration. We plan to report full data from this trial, including results on additional clinical measures, at a medical conference following study completion and further data analysis.</w:t>
      </w:r>
    </w:p>
    <w:p>
      <w:pPr>
        <w:spacing w:after="0" w:line="192"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chart below summarizes the EASI score improvement and average percent reduction of pruritus scores at various time points through day 57 of the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believe these data demonstrate proof-of-concept for ANB020 in moderate-to-severe adult atopic dermatitis and suggest that ANB020 may provide meaningful differentiation in terms of patient convenience. As further development in atopic dermatitis, we plan to initiate, during the first half of 2018, a Phase 2b randomized, double-blinded, placebo-controlled study in 200-300 adults patients with moderate-to-severe atopic dermatitis to evaluate multi-dose subcutaneous administration of ANB020, with data expected in 2019.</w:t>
      </w:r>
    </w:p>
    <w:p>
      <w:pPr>
        <w:spacing w:after="0" w:line="18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We are continuing to enroll, under our Investigational New Drug application, or IND, with the U.S. Food and Drug Administration, or FDA, a Phase 2a trial of ANB020 with 20 severe adult peanut allergy patients where efficacy is assessed by measuring the cumulative dose of peanut tolerated in an oral food challenge before and after a single dose of ANB020 or placebo. Top-line data are anticipated during the fourth quarter of 2017. We have also initiated enrollment, under a CTA with MHRA, of a Phase 2a trial of ANB020 in 24 severe adult eosinophilic asthma patients, where efficacy will be assessed using improvement in Forced Expiratory Volume in One Second after administration of a single dose of ANB020 or placebo. Top-line data are anticipated during the first half of 2018.</w:t>
      </w:r>
    </w:p>
    <w:p>
      <w:pPr>
        <w:spacing w:after="0" w:line="193"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ANB019 inhibits the interleukin-36 receptor, or IL-36R, for the treatment of rare inflammatory diseases including generalized pustular psoriasis, or GPP, and palmo-plantar pustular psoriasis, or PPP. We are currently</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8030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030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conducting, under an approved Clinical Trial Notification, or CTN, a Phase 1 clinical trial in healthy volunteers, where 48 subjects are dosed with ANB019 and 24 are dosed with placebo in single and multi-dose cohorts at various subcutaneous and intravenously administered dose levels, to assess the safety, tolerability, pharmacokinetics and pharmacodynamics of ANB019 and anticipate announcing top-line data from this trial during the fourth quarter of 2017. We subsequently plan to seek regulatory clearance to initiate Phase 2 studies of ANB019 in GPP and PPP patients during 2018. In addition to ANB020 and ANB019, our wholly-owned pipeline includes novel checkpoint receptor agonist antibodies that we believe are applicable for treatment of certain autoimmune diseases where immune checkpoint receptors are insufficiently activated, and have demonstrated efficacy in an animal model of graft-versus-host disease.</w:t>
      </w:r>
    </w:p>
    <w:p>
      <w:pPr>
        <w:spacing w:after="0" w:line="178"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In addition to our wholly-owned antibody programs, multiple AnaptysBio-developed antibody programs have been advanced under our collaborations to preclinical and clinical milestones. Our collaborations include an immuno-oncology-focused collaboration with TESARO, Inc. and TESARO Development, Ltd., or collectively, TESARO, and an inflammation-focused collaboration with Celgene Corporation, or Celgene.</w:t>
      </w:r>
    </w:p>
    <w:p>
      <w:pPr>
        <w:spacing w:after="0" w:line="166"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Under our TESARO collaboration, TESARO has initiated a registration program under an IND with the FDA of an AnaptysBio-generated anti-PD-1 antagonist antibody (TSR-042) in metastatic microsatellite high endometrial cancer patients. TESARO has completed dose escalation of an AnaptysBio-generated anti-TIM-3 antagonist antibody (TSR-022) in patients under an IND and has subsequently initiated a combination study of TSR-022 and TSR-042. In addition, TESARO has initiated a Phase 1 study of an AnaptysBio-generated anti-LAG-3 antibody (TSR-033), and TESARO has initiated IND-enabling preclinical studies for an AnaptysBio-generated PD-1/LAG-3 bispecific antibody, which has exhibited similar levels of T-cell activation in vitro as a combination of TSR-042 and TSR-033.</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Under our collaboration with Celgene, Celgene is advancing two AnaptysBio-generated anti-inflammatory antibody programs. One of these programs is an anti-PD-1 agonist antibody (CC-90006) currently in a Phase 1 trial for psoriasis.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Through June 30, 2017, we have received $73.6 million in non-dilutive funding from our collaborators.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company is led by a strong management team with deep experience in antibody discovery and development, collaborations, operations and corporate finance.</w:t>
      </w: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452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4528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have developed, and will continue to develop, antibody product candidates that leverage emerging insights into biological mechanisms to treat severe diseases with unmet medical need. The following table summarizes certain key information about our wholly-owned and partnered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most advanced, wholly-owned product candidates are summarized below:</w:t>
      </w:r>
    </w:p>
    <w:p>
      <w:pPr>
        <w:spacing w:after="0" w:line="127" w:lineRule="exact"/>
        <w:rPr>
          <w:sz w:val="20"/>
          <w:szCs w:val="20"/>
          <w:color w:val="auto"/>
        </w:rPr>
      </w:pPr>
    </w:p>
    <w:p>
      <w:pPr>
        <w:ind w:left="840" w:hanging="211"/>
        <w:spacing w:after="0" w:line="286" w:lineRule="auto"/>
        <w:tabs>
          <w:tab w:leader="none" w:pos="84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ANB020 </w:t>
      </w:r>
      <w:r>
        <w:rPr>
          <w:rFonts w:ascii="Arial" w:cs="Arial" w:eastAsia="Arial" w:hAnsi="Arial"/>
          <w:sz w:val="16"/>
          <w:szCs w:val="16"/>
          <w:color w:val="auto"/>
        </w:rPr>
        <w:t>is a potentially first-in-class antibody that inhibits the activity of IL-33, a pro-inflammatory cytokine that multiple studies have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indicated is a central mediator of atopic diseases, including atopic dermatitis, food allergies and asthma. IL-33 directly mediates release of disease-associated cytokines, which recruit pro-inflammatory cells that mediate atopic disease. Because ANB020 inhibits IL-33 function, and acts upstream broadly across the key cell types and cytokines involved in atopy, we believe that its mechanism has advantages in the treatment of atopic diseases over competing agents that block only a subset of the cytokines responsible for atopic diseases. The role of IL-33 signaling in asthma has been recently genetically validated through human studies published in the medical literature. We have completed a Phase 1 trial of ANB020 in healthy volunteers in Australia. We believe the results of this Phase 1 trial demonstrate a favorable safety profile of ANB020, which was well-tolerated and for which no dose-limiting toxicities were observed, and favorable pharmacodynamic properties of ANB020, where a single dose was sufficient to suppress IL-33 function for approximately three months post-dosing as measured by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assay. We presented these results at the 2017 American Academy of Dermatology Annual Meeting and the American Academy of Allergy, Asthma and Immunology 2017 Annual Meeting in March 2017. We have subsequently completed enrollment of a Phase 2a trial where a single dose of ANB020 was administered to 12 moderate-to-severe adult atopic dermatitis patients, under an approved Clinical Trial Authorisation, or CTA, with the U.K. Medicines and Healthcare Products Regulatory Agency, or MHRA, and, announced top-line data from an interim analysis of this trial in October 2017. Top-line data indicated rapid and sustained achievement of</w:t>
      </w:r>
    </w:p>
    <w:p>
      <w:pPr>
        <w:spacing w:after="0" w:line="28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527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2527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spacing w:after="0" w:line="267" w:lineRule="auto"/>
        <w:rPr>
          <w:sz w:val="20"/>
          <w:szCs w:val="20"/>
          <w:color w:val="auto"/>
        </w:rPr>
      </w:pPr>
      <w:r>
        <w:rPr>
          <w:rFonts w:ascii="Arial" w:cs="Arial" w:eastAsia="Arial" w:hAnsi="Arial"/>
          <w:sz w:val="17"/>
          <w:szCs w:val="17"/>
          <w:color w:val="auto"/>
        </w:rPr>
        <w:t>EASI-50, which is 50% or better improvement in EASI score relative to enrollment baseline, in 83% of patients at day 29, and reduced the 5-D pruritus score, which is a measure of itching, by 32% relative to enrollment baseline. As early as Day 15 post-ANB020 administration 75% of patients reached EASI-50 and pruritus was reduced by 28%, which was sustained until Day 57 when 75% of patients achieved EASI-50; pruritus was reduced by 22% at Day 57. No severe adverse events have been reported to date under this study. We believe these data demonstrate proof-of-concept for ANB020 in moderate-to-severe adult atopic dermatitis and provide meaningful differentiation in terms of patient convenience. As further development in atopic dermatitis, we plan to initiate, during the first half of 2018, a Phase 2b randomized, double-blinded, placebo-controlled study in 200-300 adults patients with moderate-to-severe atopic dermatitis to evaluate multi-dose subcutaneous administration of ANB020, with data expected in 2019. We have also initiated, under our IND a Phase 2a trial of ANB020 in the United States with 20 severe adult peanut allergy patients where efficacy will be assessed by measuring the cumulative dose of peanut tolerated in an oral food challenge before and after a single dose of ANB020 or placebo. We anticipate top-line data from this trial will be available during the fourth quarter of 2017. We have also initiated enrollment, under a CTA with the MHRA, of a Phase 2a trial of ANB020 with 24 severe adult eosinophilic asthma patients, where efficacy will be assessed using improvement in Forced Expiratory Volume in One Second after administration of a single dose of ANB020 or placebo. Top-line data are anticipated during the first half of 2018. Based on our analysis of publicly available data sources and interviews with physicians and key opinion leaders in the field of atopic dermatitis, we estimate approximately 1.4 million adults in the United States are affected by atopic dermatitis, of which approximately 280,000 are diagnosed with a moderate-to-severe form of this disease, of which 98,000 are believed to be suitable for treatment with systemic biological therapies. Peanut allergy is the most common cause of food-induced allergy in the United States. Based on our analysis of publicly available data sources and interviews with physicians and key opinion leaders in the food allergy field, we estimate approximately 1.7 million adults are affected by peanut allergy, of which approximately 600,000 are treated by allergists and approximately 400,000 are at risk for severe reactions and therefore we believe are suitable for treatment with systemic biological therapies in the United States. We estimate, based on our analysis of publicly available data sources and interviews with physicians and key opinion leaders focused on asthma, that asthma affects approximately 19.0 million individuals, of which approximately 1.1 million have severe, persistent occurrence of this respiratory disease in the United States that cannot be controlled by standard-of-care therapy.</w:t>
      </w:r>
    </w:p>
    <w:p>
      <w:pPr>
        <w:spacing w:after="0" w:line="86" w:lineRule="exact"/>
        <w:rPr>
          <w:sz w:val="20"/>
          <w:szCs w:val="20"/>
          <w:color w:val="auto"/>
        </w:rPr>
      </w:pPr>
    </w:p>
    <w:p>
      <w:pPr>
        <w:ind w:left="840" w:hanging="211"/>
        <w:spacing w:after="0" w:line="287" w:lineRule="auto"/>
        <w:tabs>
          <w:tab w:leader="none" w:pos="8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ANB019 </w:t>
      </w:r>
      <w:r>
        <w:rPr>
          <w:rFonts w:ascii="Arial" w:cs="Arial" w:eastAsia="Arial" w:hAnsi="Arial"/>
          <w:sz w:val="16"/>
          <w:szCs w:val="16"/>
          <w:color w:val="auto"/>
        </w:rPr>
        <w:t>is an antibody that inhibits the function of IL-36R, which we are initially developing as a potential first-in-class therapy for GPP and</w:t>
      </w:r>
      <w:r>
        <w:rPr>
          <w:rFonts w:ascii="Arial" w:cs="Arial" w:eastAsia="Arial" w:hAnsi="Arial"/>
          <w:sz w:val="16"/>
          <w:szCs w:val="16"/>
          <w:b w:val="1"/>
          <w:bCs w:val="1"/>
          <w:color w:val="auto"/>
        </w:rPr>
        <w:t xml:space="preserve"> </w:t>
      </w:r>
      <w:r>
        <w:rPr>
          <w:rFonts w:ascii="Arial" w:cs="Arial" w:eastAsia="Arial" w:hAnsi="Arial"/>
          <w:sz w:val="16"/>
          <w:szCs w:val="16"/>
          <w:color w:val="auto"/>
        </w:rPr>
        <w:t>PPP patients. GPP is a life-threatening, rare, systemic inflammatory disorder that, based on our analysis of publicly available data sources and interviews with physicians and key opinion leaders in the field, we estimate affects approximately 3,000 patients in the United States with no approved therapies. Studies have shown that GPP can be associated in some patients with mutations that lead to abnormally high signaling through the IL-36R, which we believe can be addressed by treatment with ANB019 irrespective of whether a GPP patient has a mutated IL-36R signaling pathway. PPP is a non-fatal form of pustular psoriasis that we estimate affects approximately 150,000 patients in the United States alone. PPP is believed to be caused by increased systemic levels of interleukin-36 resulting in inflammatory pustules on the hands and feet of patients that cause significant inability to stand, walk or do manual work, which we believe can be addressed by treatment with ANB019. We believe ANB019 is the most advanced therapeutic antibody targeting IL-36R in development. We are currently conducting, under an approved CTN, a Phase 1 clinical trial in healthy volunteers, where 48 subjects are dosed with ANB019 and 24 are dosed with placebo in single and multi-dose cohorts at various subcutaneous and intravenously administered dose levels, to assess the safety, tolerability, pharmacokinetics and pharmacodynamics of ANB019 and anticipate announcing top-line data from this trial during the fourth quarter of 2017. We subsequently plan to seek regulatory clearance to initiate Phase 2 studies of ANB019 in GPP and PPP patients during 2018. We plan to seek FDA</w:t>
      </w:r>
    </w:p>
    <w:p>
      <w:pPr>
        <w:spacing w:after="0" w:line="2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609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46094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spacing w:after="0" w:line="277" w:lineRule="auto"/>
        <w:rPr>
          <w:sz w:val="20"/>
          <w:szCs w:val="20"/>
          <w:color w:val="auto"/>
        </w:rPr>
      </w:pPr>
      <w:r>
        <w:rPr>
          <w:rFonts w:ascii="Arial" w:cs="Arial" w:eastAsia="Arial" w:hAnsi="Arial"/>
          <w:sz w:val="18"/>
          <w:szCs w:val="18"/>
          <w:color w:val="auto"/>
        </w:rPr>
        <w:t>Orphan Drug Designation for the treatment of GPP and PPP. The FDA may grant Orphan Drug Designation to a drug intended to treat a disease or condition that generally affects fewer than 200,000 individuals in the United States.</w:t>
      </w:r>
    </w:p>
    <w:p>
      <w:pPr>
        <w:spacing w:after="0" w:line="72" w:lineRule="exact"/>
        <w:rPr>
          <w:sz w:val="20"/>
          <w:szCs w:val="20"/>
          <w:color w:val="auto"/>
        </w:rPr>
      </w:pPr>
    </w:p>
    <w:p>
      <w:pPr>
        <w:ind w:left="840" w:hanging="211"/>
        <w:spacing w:after="0" w:line="277" w:lineRule="auto"/>
        <w:tabs>
          <w:tab w:leader="none" w:pos="8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Checkpoint receptor agonist </w:t>
      </w:r>
      <w:r>
        <w:rPr>
          <w:rFonts w:ascii="Arial" w:cs="Arial" w:eastAsia="Arial" w:hAnsi="Arial"/>
          <w:sz w:val="17"/>
          <w:szCs w:val="17"/>
          <w:color w:val="auto"/>
        </w:rPr>
        <w:t>antibodies are being developed by AnaptysBio to multiple different immune checkpoint receptors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certain autoimmune diseases where we believe checkpoint receptor function is insufficiently activated. Known human immune checkpoint receptors include CTLA-4, PD-1, LAG-3, BTLA and TIGIT. We have discovered certain checkpoint receptor agonist antibodies that have demonstrated efficacy in a rodent model of graft-versus-host disease. We anticipate that, subsequent to regulatory clearance, one of our wholly-owned checkpoint receptor antibodies will initiate human testing during 2019.</w:t>
      </w:r>
    </w:p>
    <w:p>
      <w:pPr>
        <w:spacing w:after="0" w:line="27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Advantages of Our SHM Platform</w:t>
      </w:r>
    </w:p>
    <w:p>
      <w:pPr>
        <w:spacing w:after="0" w:line="229"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 xml:space="preserve">Our approach to developing novel therapeutic antibody product candidates is based upon SHM, a critical, endogenous process that generates the essential antibody diversity required to develop a natural immune response to pathogens. Our proprietary antibody generation platform is designed to replicate the natural process of SHM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Competing antibody discovery technologies include mouse immunization methodologies, microbial antibody display and human B-cell screening. We believe our SHM platform overcomes several key limitations associated with these competing technologies and has the following competitive advantages:</w:t>
      </w:r>
    </w:p>
    <w:p>
      <w:pPr>
        <w:spacing w:after="0" w:line="90" w:lineRule="exact"/>
        <w:rPr>
          <w:sz w:val="20"/>
          <w:szCs w:val="20"/>
          <w:color w:val="auto"/>
        </w:rPr>
      </w:pPr>
    </w:p>
    <w:p>
      <w:pPr>
        <w:ind w:left="840" w:right="360" w:hanging="211"/>
        <w:spacing w:after="0" w:line="26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Diversity against difficult targets. </w:t>
      </w:r>
      <w:r>
        <w:rPr>
          <w:rFonts w:ascii="Arial" w:cs="Arial" w:eastAsia="Arial" w:hAnsi="Arial"/>
          <w:sz w:val="18"/>
          <w:szCs w:val="18"/>
          <w:color w:val="auto"/>
        </w:rPr>
        <w:t>By applying SHM without the constraints of an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vivo</w:t>
      </w:r>
      <w:r>
        <w:rPr>
          <w:rFonts w:ascii="Arial" w:cs="Arial" w:eastAsia="Arial" w:hAnsi="Arial"/>
          <w:sz w:val="18"/>
          <w:szCs w:val="18"/>
          <w:b w:val="1"/>
          <w:bCs w:val="1"/>
          <w:color w:val="auto"/>
        </w:rPr>
        <w:t xml:space="preserve"> </w:t>
      </w:r>
      <w:r>
        <w:rPr>
          <w:rFonts w:ascii="Arial" w:cs="Arial" w:eastAsia="Arial" w:hAnsi="Arial"/>
          <w:sz w:val="18"/>
          <w:szCs w:val="18"/>
          <w:color w:val="auto"/>
        </w:rPr>
        <w:t>environment we are able to generate an</w:t>
      </w:r>
      <w:r>
        <w:rPr>
          <w:rFonts w:ascii="Arial" w:cs="Arial" w:eastAsia="Arial" w:hAnsi="Arial"/>
          <w:sz w:val="18"/>
          <w:szCs w:val="18"/>
          <w:b w:val="1"/>
          <w:bCs w:val="1"/>
          <w:color w:val="auto"/>
        </w:rPr>
        <w:t xml:space="preserve"> </w:t>
      </w:r>
      <w:r>
        <w:rPr>
          <w:rFonts w:ascii="Arial" w:cs="Arial" w:eastAsia="Arial" w:hAnsi="Arial"/>
          <w:sz w:val="18"/>
          <w:szCs w:val="18"/>
          <w:color w:val="auto"/>
        </w:rPr>
        <w:t>unprecedented diversity of antibodies. This enables us to develop antibodies against human targets that we believe have not otherwise been accessible to other technologies.</w:t>
      </w:r>
    </w:p>
    <w:p>
      <w:pPr>
        <w:spacing w:after="0" w:line="81" w:lineRule="exact"/>
        <w:rPr>
          <w:rFonts w:ascii="Arial" w:cs="Arial" w:eastAsia="Arial" w:hAnsi="Arial"/>
          <w:sz w:val="18"/>
          <w:szCs w:val="18"/>
          <w:color w:val="auto"/>
        </w:rPr>
      </w:pPr>
    </w:p>
    <w:p>
      <w:pPr>
        <w:ind w:left="840" w:right="740" w:hanging="211"/>
        <w:spacing w:after="0" w:line="347"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High potency. </w:t>
      </w:r>
      <w:r>
        <w:rPr>
          <w:rFonts w:ascii="Arial" w:cs="Arial" w:eastAsia="Arial" w:hAnsi="Arial"/>
          <w:sz w:val="16"/>
          <w:szCs w:val="16"/>
          <w:color w:val="auto"/>
        </w:rPr>
        <w:t>Because our platform generates highly-potent antibodies, we are potentially able to modulate every extracellular target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associated with human disease, and believe only small therapeutic doses may be required to mediate therapeutic effect </w:t>
      </w:r>
      <w:r>
        <w:rPr>
          <w:rFonts w:ascii="Arial" w:cs="Arial" w:eastAsia="Arial" w:hAnsi="Arial"/>
          <w:sz w:val="16"/>
          <w:szCs w:val="16"/>
          <w:i w:val="1"/>
          <w:iCs w:val="1"/>
          <w:color w:val="auto"/>
        </w:rPr>
        <w:t>in vivo</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840" w:right="100" w:hanging="211"/>
        <w:spacing w:after="0" w:line="26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Functional activity selection. </w:t>
      </w:r>
      <w:r>
        <w:rPr>
          <w:rFonts w:ascii="Arial" w:cs="Arial" w:eastAsia="Arial" w:hAnsi="Arial"/>
          <w:sz w:val="18"/>
          <w:szCs w:val="18"/>
          <w:color w:val="auto"/>
        </w:rPr>
        <w:t>Our mammalian cell system simultaneously displays and secretes antibodies during the antibody discovery</w:t>
      </w:r>
      <w:r>
        <w:rPr>
          <w:rFonts w:ascii="Arial" w:cs="Arial" w:eastAsia="Arial" w:hAnsi="Arial"/>
          <w:sz w:val="18"/>
          <w:szCs w:val="18"/>
          <w:b w:val="1"/>
          <w:bCs w:val="1"/>
          <w:color w:val="auto"/>
        </w:rPr>
        <w:t xml:space="preserve"> </w:t>
      </w:r>
      <w:r>
        <w:rPr>
          <w:rFonts w:ascii="Arial" w:cs="Arial" w:eastAsia="Arial" w:hAnsi="Arial"/>
          <w:sz w:val="18"/>
          <w:szCs w:val="18"/>
          <w:color w:val="auto"/>
        </w:rPr>
        <w:t>process, allowing us to incorporate functional assays throughout the process and focus on product candidates that are optimized for the desired therapeutic activity.</w:t>
      </w:r>
    </w:p>
    <w:p>
      <w:pPr>
        <w:spacing w:after="0" w:line="81" w:lineRule="exact"/>
        <w:rPr>
          <w:rFonts w:ascii="Arial" w:cs="Arial" w:eastAsia="Arial" w:hAnsi="Arial"/>
          <w:sz w:val="18"/>
          <w:szCs w:val="18"/>
          <w:color w:val="auto"/>
        </w:rPr>
      </w:pPr>
    </w:p>
    <w:p>
      <w:pPr>
        <w:ind w:left="840" w:right="180" w:hanging="211"/>
        <w:spacing w:after="0" w:line="314"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Speed. </w:t>
      </w:r>
      <w:r>
        <w:rPr>
          <w:rFonts w:ascii="Arial" w:cs="Arial" w:eastAsia="Arial" w:hAnsi="Arial"/>
          <w:sz w:val="16"/>
          <w:szCs w:val="16"/>
          <w:color w:val="auto"/>
        </w:rPr>
        <w:t>Our platform technology has enabled us to generate therapeutic-grade antibodies and subsequently advance preclinical manufacturing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toxicology studies to the filing of an IND or foreign equivalent, typically in approximately 2.5 years. We believe this timeline is significantly shorter than conventional antibody discovery approaches based upon mouse immunization and microbial display systems.</w:t>
      </w:r>
    </w:p>
    <w:p>
      <w:pPr>
        <w:spacing w:after="0" w:line="47" w:lineRule="exact"/>
        <w:rPr>
          <w:rFonts w:ascii="Arial" w:cs="Arial" w:eastAsia="Arial" w:hAnsi="Arial"/>
          <w:sz w:val="16"/>
          <w:szCs w:val="16"/>
          <w:color w:val="auto"/>
        </w:rPr>
      </w:pPr>
    </w:p>
    <w:p>
      <w:pPr>
        <w:ind w:left="840" w:right="20" w:hanging="211"/>
        <w:spacing w:after="0" w:line="282"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Manufacturability. </w:t>
      </w:r>
      <w:r>
        <w:rPr>
          <w:rFonts w:ascii="Arial" w:cs="Arial" w:eastAsia="Arial" w:hAnsi="Arial"/>
          <w:sz w:val="18"/>
          <w:szCs w:val="18"/>
          <w:color w:val="auto"/>
        </w:rPr>
        <w:t>By using mammalian cell display to generate our therapeutic antibodies, we believe our platform mitigates risks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antibody expression, formulation and stability during the antibody generation process.</w:t>
      </w: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127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61271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Collaborations</w:t>
      </w:r>
    </w:p>
    <w:p>
      <w:pPr>
        <w:spacing w:after="0" w:line="229" w:lineRule="exact"/>
        <w:rPr>
          <w:sz w:val="20"/>
          <w:szCs w:val="20"/>
          <w:color w:val="auto"/>
        </w:rPr>
      </w:pPr>
    </w:p>
    <w:p>
      <w:pPr>
        <w:ind w:left="200" w:right="660" w:firstLine="441"/>
        <w:spacing w:after="0" w:line="264" w:lineRule="auto"/>
        <w:rPr>
          <w:sz w:val="20"/>
          <w:szCs w:val="20"/>
          <w:color w:val="auto"/>
        </w:rPr>
      </w:pPr>
      <w:r>
        <w:rPr>
          <w:rFonts w:ascii="Arial" w:cs="Arial" w:eastAsia="Arial" w:hAnsi="Arial"/>
          <w:sz w:val="18"/>
          <w:szCs w:val="18"/>
          <w:color w:val="auto"/>
        </w:rPr>
        <w:t>We have established collaborations with pharmaceutical and biotechnology companies that have provided us with $73.6 million in payments through June 30, 2017. Multiple antibodies, generated by us prior to or during a strategic collaboration, are currently being advanced through development by our collaborators. Our collaborations with TESARO and Celgene are described below: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TESARO Programs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Under our immuno-oncology collaboration with TESARO, we have granted exclusive rights to TESARO to develop and commercialize antibodies generated using our SHM platform consisting of the following antibody product candidates:</w:t>
      </w:r>
    </w:p>
    <w:p>
      <w:pPr>
        <w:spacing w:after="0" w:line="76" w:lineRule="exact"/>
        <w:rPr>
          <w:sz w:val="20"/>
          <w:szCs w:val="20"/>
          <w:color w:val="auto"/>
        </w:rPr>
      </w:pPr>
    </w:p>
    <w:p>
      <w:pPr>
        <w:ind w:left="840" w:right="280" w:hanging="211"/>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Anti-PD-1 Monospecific Antagonist Antibody (TSR-042): Registration program initiated for metastatic microsatellite instability high (MSI-H) endometrial cancer;</w:t>
      </w:r>
    </w:p>
    <w:p>
      <w:pPr>
        <w:spacing w:after="0" w:line="75" w:lineRule="exact"/>
        <w:rPr>
          <w:rFonts w:ascii="Arial" w:cs="Arial" w:eastAsia="Arial" w:hAnsi="Arial"/>
          <w:sz w:val="18"/>
          <w:szCs w:val="18"/>
          <w:color w:val="auto"/>
        </w:rPr>
      </w:pPr>
    </w:p>
    <w:p>
      <w:pPr>
        <w:ind w:left="840" w:right="420" w:hanging="211"/>
        <w:spacing w:after="0" w:line="277"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Anti-TIM-3 Monospecific Antagonist Antibody (TSR-022): Dose escalation completed in Phase 1, combination trial with TSR-042 has been initiated;</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Anti-LAG-3 Monospecific Antagonist Antibody (TSR-033): Phase 1 trial initiated, and</w:t>
      </w:r>
    </w:p>
    <w:p>
      <w:pPr>
        <w:spacing w:after="0" w:line="130" w:lineRule="exact"/>
        <w:rPr>
          <w:rFonts w:ascii="Arial" w:cs="Arial" w:eastAsia="Arial" w:hAnsi="Arial"/>
          <w:sz w:val="18"/>
          <w:szCs w:val="18"/>
          <w:color w:val="auto"/>
        </w:rPr>
      </w:pPr>
    </w:p>
    <w:p>
      <w:pPr>
        <w:ind w:left="840" w:hanging="211"/>
        <w:spacing w:after="0"/>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Anti-PD-1/LAG-3 Bispecific Antagonist Antibody: lead candidate identified, IND-enabling studies on-going.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Celgene Programs</w:t>
      </w:r>
    </w:p>
    <w:p>
      <w:pPr>
        <w:spacing w:after="0" w:line="12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Under our collaboration with Celgene, we developed therapeutic antibodies against multiple targets. We granted Celgene the option to obtain worldwide commercial rights to antibodies generated against each of the targets under the agreement, which option was triggered on a target-by-target basis by our delivery of antibodies meeting certain pre-specified parameters pertaining to each target under collaboration. Celgene is currently advancing two AnaptysBio-generated anti-inflammatory antibody programs, where one of these programs is an anti-PD-1 agonist antibody (CC-90006) currently in a Phase 1 trial for psoriasis.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Milestones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anticipate the following milestones relating to wholly-owned pipeline programs to be attained during the remainder of 2017 and 2018:</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20" w:type="dxa"/>
            <w:vAlign w:val="bottom"/>
            <w:tcBorders>
              <w:right w:val="single" w:sz="8" w:color="auto"/>
            </w:tcBorders>
          </w:tcPr>
          <w:p>
            <w:pPr>
              <w:spacing w:after="0"/>
              <w:rPr>
                <w:sz w:val="22"/>
                <w:szCs w:val="22"/>
                <w:color w:val="auto"/>
              </w:rPr>
            </w:pPr>
          </w:p>
        </w:tc>
        <w:tc>
          <w:tcPr>
            <w:tcW w:w="2220" w:type="dxa"/>
            <w:vAlign w:val="bottom"/>
            <w:tcBorders>
              <w:top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Program</w:t>
            </w:r>
          </w:p>
        </w:tc>
        <w:tc>
          <w:tcPr>
            <w:tcW w:w="7240" w:type="dxa"/>
            <w:vAlign w:val="bottom"/>
            <w:tcBorders>
              <w:top w:val="single" w:sz="8" w:color="auto"/>
              <w:bottom w:val="single" w:sz="8" w:color="auto"/>
              <w:right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Milestone</w:t>
            </w:r>
          </w:p>
        </w:tc>
        <w:tc>
          <w:tcPr>
            <w:tcW w:w="1580" w:type="dxa"/>
            <w:vAlign w:val="bottom"/>
            <w:tcBorders>
              <w:top w:val="single" w:sz="8" w:color="auto"/>
              <w:bottom w:val="single" w:sz="8" w:color="auto"/>
              <w:right w:val="single" w:sz="8" w:color="auto"/>
            </w:tcBorders>
          </w:tcPr>
          <w:p>
            <w:pPr>
              <w:ind w:left="200"/>
              <w:spacing w:after="0"/>
              <w:rPr>
                <w:sz w:val="20"/>
                <w:szCs w:val="20"/>
                <w:color w:val="auto"/>
              </w:rPr>
            </w:pPr>
            <w:r>
              <w:rPr>
                <w:rFonts w:ascii="Arial" w:cs="Arial" w:eastAsia="Arial" w:hAnsi="Arial"/>
                <w:sz w:val="14"/>
                <w:szCs w:val="14"/>
                <w:b w:val="1"/>
                <w:bCs w:val="1"/>
                <w:color w:val="auto"/>
              </w:rPr>
              <w:t>Timing</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98"/>
        </w:trPr>
        <w:tc>
          <w:tcPr>
            <w:tcW w:w="22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shd w:val="clear" w:color="auto" w:fill="E6F3FA"/>
          </w:tcPr>
          <w:p>
            <w:pPr>
              <w:spacing w:after="0"/>
              <w:rPr>
                <w:sz w:val="24"/>
                <w:szCs w:val="24"/>
                <w:color w:val="auto"/>
              </w:rPr>
            </w:pPr>
          </w:p>
        </w:tc>
        <w:tc>
          <w:tcPr>
            <w:tcW w:w="520" w:type="dxa"/>
            <w:vAlign w:val="bottom"/>
            <w:shd w:val="clear" w:color="auto" w:fill="E6F3FA"/>
          </w:tcPr>
          <w:p>
            <w:pPr>
              <w:spacing w:after="0"/>
              <w:rPr>
                <w:sz w:val="24"/>
                <w:szCs w:val="24"/>
                <w:color w:val="auto"/>
              </w:rPr>
            </w:pPr>
          </w:p>
        </w:tc>
        <w:tc>
          <w:tcPr>
            <w:tcW w:w="6720" w:type="dxa"/>
            <w:vAlign w:val="bottom"/>
            <w:tcBorders>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Atopic Dermatitis Phase 2a Top-Line Data</w:t>
            </w:r>
          </w:p>
        </w:tc>
        <w:tc>
          <w:tcPr>
            <w:tcW w:w="1580" w:type="dxa"/>
            <w:vAlign w:val="bottom"/>
            <w:tcBorders>
              <w:right w:val="single" w:sz="8" w:color="auto"/>
            </w:tcBorders>
            <w:shd w:val="clear" w:color="auto" w:fill="E6F3FA"/>
          </w:tcPr>
          <w:p>
            <w:pPr>
              <w:ind w:left="200"/>
              <w:spacing w:after="0"/>
              <w:rPr>
                <w:sz w:val="20"/>
                <w:szCs w:val="20"/>
                <w:color w:val="auto"/>
              </w:rPr>
            </w:pPr>
            <w:r>
              <w:rPr>
                <w:rFonts w:ascii="Arial" w:cs="Arial" w:eastAsia="Arial" w:hAnsi="Arial"/>
                <w:sz w:val="18"/>
                <w:szCs w:val="18"/>
                <w:color w:val="auto"/>
              </w:rPr>
              <w:t>Announced</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2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vMerge w:val="restart"/>
            <w:shd w:val="clear" w:color="auto" w:fill="E6F3FA"/>
          </w:tcPr>
          <w:p>
            <w:pPr>
              <w:ind w:left="140"/>
              <w:spacing w:after="0"/>
              <w:rPr>
                <w:sz w:val="20"/>
                <w:szCs w:val="20"/>
                <w:color w:val="auto"/>
              </w:rPr>
            </w:pPr>
            <w:r>
              <w:rPr>
                <w:rFonts w:ascii="Arial" w:cs="Arial" w:eastAsia="Arial" w:hAnsi="Arial"/>
                <w:sz w:val="18"/>
                <w:szCs w:val="18"/>
                <w:color w:val="auto"/>
              </w:rPr>
              <w:t>ANB020 (Anti-IL-33)</w:t>
            </w:r>
          </w:p>
        </w:tc>
        <w:tc>
          <w:tcPr>
            <w:tcW w:w="520" w:type="dxa"/>
            <w:vAlign w:val="bottom"/>
            <w:shd w:val="clear" w:color="auto" w:fill="E6F3FA"/>
          </w:tcPr>
          <w:p>
            <w:pPr>
              <w:spacing w:after="0"/>
              <w:rPr>
                <w:sz w:val="20"/>
                <w:szCs w:val="20"/>
                <w:color w:val="auto"/>
              </w:rPr>
            </w:pPr>
          </w:p>
        </w:tc>
        <w:tc>
          <w:tcPr>
            <w:tcW w:w="6720" w:type="dxa"/>
            <w:vAlign w:val="bottom"/>
            <w:tcBorders>
              <w:right w:val="single" w:sz="8" w:color="auto"/>
            </w:tcBorders>
            <w:shd w:val="clear" w:color="auto" w:fill="E6F3FA"/>
          </w:tcPr>
          <w:p>
            <w:pPr>
              <w:spacing w:after="0"/>
              <w:rPr>
                <w:sz w:val="20"/>
                <w:szCs w:val="20"/>
                <w:color w:val="auto"/>
              </w:rPr>
            </w:pPr>
          </w:p>
        </w:tc>
        <w:tc>
          <w:tcPr>
            <w:tcW w:w="1580" w:type="dxa"/>
            <w:vAlign w:val="bottom"/>
            <w:tcBorders>
              <w:right w:val="single" w:sz="8" w:color="auto"/>
            </w:tcBorders>
            <w:shd w:val="clear" w:color="auto" w:fill="E6F3FA"/>
          </w:tcPr>
          <w:p>
            <w:pPr>
              <w:ind w:left="200"/>
              <w:spacing w:after="0"/>
              <w:rPr>
                <w:sz w:val="20"/>
                <w:szCs w:val="20"/>
                <w:color w:val="auto"/>
              </w:rPr>
            </w:pPr>
            <w:r>
              <w:rPr>
                <w:rFonts w:ascii="Arial" w:cs="Arial" w:eastAsia="Arial" w:hAnsi="Arial"/>
                <w:sz w:val="18"/>
                <w:szCs w:val="18"/>
                <w:color w:val="auto"/>
              </w:rPr>
              <w:t>October 2017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 w:type="dxa"/>
            <w:vAlign w:val="bottom"/>
            <w:tcBorders>
              <w:right w:val="single" w:sz="8" w:color="auto"/>
            </w:tcBorders>
          </w:tcPr>
          <w:p>
            <w:pPr>
              <w:spacing w:after="0"/>
              <w:rPr>
                <w:sz w:val="19"/>
                <w:szCs w:val="19"/>
                <w:color w:val="auto"/>
              </w:rPr>
            </w:pPr>
          </w:p>
        </w:tc>
        <w:tc>
          <w:tcPr>
            <w:tcW w:w="2220" w:type="dxa"/>
            <w:vAlign w:val="bottom"/>
            <w:tcBorders>
              <w:right w:val="single" w:sz="8" w:color="auto"/>
            </w:tcBorders>
            <w:vMerge w:val="continue"/>
            <w:shd w:val="clear" w:color="auto" w:fill="E6F3FA"/>
          </w:tcPr>
          <w:p>
            <w:pPr>
              <w:spacing w:after="0"/>
              <w:rPr>
                <w:sz w:val="19"/>
                <w:szCs w:val="19"/>
                <w:color w:val="auto"/>
              </w:rPr>
            </w:pPr>
          </w:p>
        </w:tc>
        <w:tc>
          <w:tcPr>
            <w:tcW w:w="520" w:type="dxa"/>
            <w:vAlign w:val="bottom"/>
            <w:shd w:val="clear" w:color="auto" w:fill="E6F3FA"/>
          </w:tcPr>
          <w:p>
            <w:pPr>
              <w:spacing w:after="0"/>
              <w:rPr>
                <w:sz w:val="19"/>
                <w:szCs w:val="19"/>
                <w:color w:val="auto"/>
              </w:rPr>
            </w:pPr>
          </w:p>
        </w:tc>
        <w:tc>
          <w:tcPr>
            <w:tcW w:w="6720" w:type="dxa"/>
            <w:vAlign w:val="bottom"/>
            <w:tcBorders>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Peanut Allergy Phase 2a Top-Line Data</w:t>
            </w:r>
          </w:p>
        </w:tc>
        <w:tc>
          <w:tcPr>
            <w:tcW w:w="1580" w:type="dxa"/>
            <w:vAlign w:val="bottom"/>
            <w:tcBorders>
              <w:right w:val="single" w:sz="8" w:color="auto"/>
            </w:tcBorders>
            <w:shd w:val="clear" w:color="auto" w:fill="E6F3FA"/>
          </w:tcPr>
          <w:p>
            <w:pPr>
              <w:ind w:left="200"/>
              <w:spacing w:after="0"/>
              <w:rPr>
                <w:sz w:val="20"/>
                <w:szCs w:val="20"/>
                <w:color w:val="auto"/>
              </w:rPr>
            </w:pPr>
            <w:r>
              <w:rPr>
                <w:rFonts w:ascii="Arial" w:cs="Arial" w:eastAsia="Arial" w:hAnsi="Arial"/>
                <w:sz w:val="18"/>
                <w:szCs w:val="18"/>
                <w:color w:val="auto"/>
              </w:rPr>
              <w:t>Q4 2017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 w:type="dxa"/>
            <w:vAlign w:val="bottom"/>
            <w:tcBorders>
              <w:right w:val="single" w:sz="8" w:color="auto"/>
            </w:tcBorders>
          </w:tcPr>
          <w:p>
            <w:pPr>
              <w:spacing w:after="0"/>
              <w:rPr>
                <w:sz w:val="20"/>
                <w:szCs w:val="20"/>
                <w:color w:val="auto"/>
              </w:rPr>
            </w:pPr>
          </w:p>
        </w:tc>
        <w:tc>
          <w:tcPr>
            <w:tcW w:w="2220" w:type="dxa"/>
            <w:vAlign w:val="bottom"/>
            <w:tcBorders>
              <w:right w:val="single" w:sz="8" w:color="auto"/>
            </w:tcBorders>
            <w:shd w:val="clear" w:color="auto" w:fill="E6F3FA"/>
          </w:tcPr>
          <w:p>
            <w:pPr>
              <w:spacing w:after="0"/>
              <w:rPr>
                <w:sz w:val="20"/>
                <w:szCs w:val="20"/>
                <w:color w:val="auto"/>
              </w:rPr>
            </w:pPr>
          </w:p>
        </w:tc>
        <w:tc>
          <w:tcPr>
            <w:tcW w:w="520" w:type="dxa"/>
            <w:vAlign w:val="bottom"/>
            <w:shd w:val="clear" w:color="auto" w:fill="E6F3FA"/>
          </w:tcPr>
          <w:p>
            <w:pPr>
              <w:spacing w:after="0"/>
              <w:rPr>
                <w:sz w:val="20"/>
                <w:szCs w:val="20"/>
                <w:color w:val="auto"/>
              </w:rPr>
            </w:pPr>
          </w:p>
        </w:tc>
        <w:tc>
          <w:tcPr>
            <w:tcW w:w="6720" w:type="dxa"/>
            <w:vAlign w:val="bottom"/>
            <w:tcBorders>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Eosinophilic Asthma Phase 2a Top-Line Data</w:t>
            </w:r>
          </w:p>
        </w:tc>
        <w:tc>
          <w:tcPr>
            <w:tcW w:w="1580" w:type="dxa"/>
            <w:vAlign w:val="bottom"/>
            <w:tcBorders>
              <w:right w:val="single" w:sz="8" w:color="auto"/>
            </w:tcBorders>
            <w:shd w:val="clear" w:color="auto" w:fill="E6F3FA"/>
          </w:tcPr>
          <w:p>
            <w:pPr>
              <w:ind w:left="200"/>
              <w:spacing w:after="0"/>
              <w:rPr>
                <w:sz w:val="20"/>
                <w:szCs w:val="20"/>
                <w:color w:val="auto"/>
              </w:rPr>
            </w:pPr>
            <w:r>
              <w:rPr>
                <w:rFonts w:ascii="Arial" w:cs="Arial" w:eastAsia="Arial" w:hAnsi="Arial"/>
                <w:sz w:val="18"/>
                <w:szCs w:val="18"/>
                <w:color w:val="auto"/>
              </w:rPr>
              <w:t>H1 2018</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20" w:type="dxa"/>
            <w:vAlign w:val="bottom"/>
            <w:tcBorders>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shd w:val="clear" w:color="auto" w:fill="E6F3FA"/>
          </w:tcPr>
          <w:p>
            <w:pPr>
              <w:spacing w:after="0"/>
              <w:rPr>
                <w:sz w:val="10"/>
                <w:szCs w:val="10"/>
                <w:color w:val="auto"/>
              </w:rPr>
            </w:pPr>
          </w:p>
        </w:tc>
        <w:tc>
          <w:tcPr>
            <w:tcW w:w="520" w:type="dxa"/>
            <w:vAlign w:val="bottom"/>
            <w:tcBorders>
              <w:bottom w:val="single" w:sz="8" w:color="auto"/>
            </w:tcBorders>
            <w:shd w:val="clear" w:color="auto" w:fill="E6F3FA"/>
          </w:tcPr>
          <w:p>
            <w:pPr>
              <w:spacing w:after="0"/>
              <w:rPr>
                <w:sz w:val="10"/>
                <w:szCs w:val="10"/>
                <w:color w:val="auto"/>
              </w:rPr>
            </w:pPr>
          </w:p>
        </w:tc>
        <w:tc>
          <w:tcPr>
            <w:tcW w:w="6720" w:type="dxa"/>
            <w:vAlign w:val="bottom"/>
            <w:tcBorders>
              <w:bottom w:val="single" w:sz="8" w:color="auto"/>
              <w:right w:val="single" w:sz="8" w:color="auto"/>
            </w:tcBorders>
            <w:shd w:val="clear" w:color="auto" w:fill="E6F3FA"/>
          </w:tcPr>
          <w:p>
            <w:pPr>
              <w:spacing w:after="0"/>
              <w:rPr>
                <w:sz w:val="10"/>
                <w:szCs w:val="10"/>
                <w:color w:val="auto"/>
              </w:rPr>
            </w:pPr>
          </w:p>
        </w:tc>
        <w:tc>
          <w:tcPr>
            <w:tcW w:w="1580" w:type="dxa"/>
            <w:vAlign w:val="bottom"/>
            <w:tcBorders>
              <w:bottom w:val="single" w:sz="8" w:color="auto"/>
              <w:right w:val="single" w:sz="8" w:color="auto"/>
            </w:tcBorders>
            <w:shd w:val="clear" w:color="auto" w:fill="E6F3FA"/>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2"/>
        </w:trPr>
        <w:tc>
          <w:tcPr>
            <w:tcW w:w="220" w:type="dxa"/>
            <w:vAlign w:val="bottom"/>
            <w:tcBorders>
              <w:right w:val="single" w:sz="8" w:color="auto"/>
            </w:tcBorders>
          </w:tcPr>
          <w:p>
            <w:pPr>
              <w:spacing w:after="0"/>
              <w:rPr>
                <w:sz w:val="24"/>
                <w:szCs w:val="24"/>
                <w:color w:val="auto"/>
              </w:rPr>
            </w:pPr>
          </w:p>
        </w:tc>
        <w:tc>
          <w:tcPr>
            <w:tcW w:w="2220" w:type="dxa"/>
            <w:vAlign w:val="bottom"/>
            <w:tcBorders>
              <w:right w:val="single" w:sz="8" w:color="auto"/>
            </w:tcBorders>
            <w:shd w:val="clear" w:color="auto" w:fill="E6F3FA"/>
          </w:tcPr>
          <w:p>
            <w:pPr>
              <w:spacing w:after="0"/>
              <w:rPr>
                <w:sz w:val="24"/>
                <w:szCs w:val="24"/>
                <w:color w:val="auto"/>
              </w:rPr>
            </w:pPr>
          </w:p>
        </w:tc>
        <w:tc>
          <w:tcPr>
            <w:tcW w:w="520" w:type="dxa"/>
            <w:vAlign w:val="bottom"/>
            <w:shd w:val="clear" w:color="auto" w:fill="E6F3FA"/>
          </w:tcPr>
          <w:p>
            <w:pPr>
              <w:spacing w:after="0"/>
              <w:rPr>
                <w:sz w:val="24"/>
                <w:szCs w:val="24"/>
                <w:color w:val="auto"/>
              </w:rPr>
            </w:pPr>
          </w:p>
        </w:tc>
        <w:tc>
          <w:tcPr>
            <w:tcW w:w="6720" w:type="dxa"/>
            <w:vAlign w:val="bottom"/>
            <w:tcBorders>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Healthy Volunteer Phase 1 Top-Line Data</w:t>
            </w:r>
          </w:p>
        </w:tc>
        <w:tc>
          <w:tcPr>
            <w:tcW w:w="1580" w:type="dxa"/>
            <w:vAlign w:val="bottom"/>
            <w:tcBorders>
              <w:right w:val="single" w:sz="8" w:color="auto"/>
            </w:tcBorders>
            <w:shd w:val="clear" w:color="auto" w:fill="E6F3FA"/>
          </w:tcPr>
          <w:p>
            <w:pPr>
              <w:ind w:left="200"/>
              <w:spacing w:after="0"/>
              <w:rPr>
                <w:sz w:val="20"/>
                <w:szCs w:val="20"/>
                <w:color w:val="auto"/>
              </w:rPr>
            </w:pPr>
            <w:r>
              <w:rPr>
                <w:rFonts w:ascii="Arial" w:cs="Arial" w:eastAsia="Arial" w:hAnsi="Arial"/>
                <w:sz w:val="18"/>
                <w:szCs w:val="18"/>
                <w:color w:val="auto"/>
              </w:rPr>
              <w:t>Q4 2017</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Borders>
              <w:right w:val="single" w:sz="8" w:color="auto"/>
            </w:tcBorders>
          </w:tcPr>
          <w:p>
            <w:pPr>
              <w:spacing w:after="0"/>
              <w:rPr>
                <w:sz w:val="18"/>
                <w:szCs w:val="18"/>
                <w:color w:val="auto"/>
              </w:rPr>
            </w:pPr>
          </w:p>
        </w:tc>
        <w:tc>
          <w:tcPr>
            <w:tcW w:w="2220" w:type="dxa"/>
            <w:vAlign w:val="bottom"/>
            <w:tcBorders>
              <w:right w:val="single" w:sz="8" w:color="auto"/>
            </w:tcBorders>
            <w:vMerge w:val="restart"/>
            <w:shd w:val="clear" w:color="auto" w:fill="E6F3FA"/>
          </w:tcPr>
          <w:p>
            <w:pPr>
              <w:ind w:left="140"/>
              <w:spacing w:after="0"/>
              <w:rPr>
                <w:sz w:val="20"/>
                <w:szCs w:val="20"/>
                <w:color w:val="auto"/>
              </w:rPr>
            </w:pPr>
            <w:r>
              <w:rPr>
                <w:rFonts w:ascii="Arial" w:cs="Arial" w:eastAsia="Arial" w:hAnsi="Arial"/>
                <w:sz w:val="18"/>
                <w:szCs w:val="18"/>
                <w:color w:val="auto"/>
              </w:rPr>
              <w:t>ANB019 (anti-IL-36R)</w:t>
            </w:r>
          </w:p>
        </w:tc>
        <w:tc>
          <w:tcPr>
            <w:tcW w:w="520" w:type="dxa"/>
            <w:vAlign w:val="bottom"/>
            <w:shd w:val="clear" w:color="auto" w:fill="E6F3FA"/>
          </w:tcPr>
          <w:p>
            <w:pPr>
              <w:spacing w:after="0"/>
              <w:rPr>
                <w:sz w:val="18"/>
                <w:szCs w:val="18"/>
                <w:color w:val="auto"/>
              </w:rPr>
            </w:pPr>
          </w:p>
        </w:tc>
        <w:tc>
          <w:tcPr>
            <w:tcW w:w="6720" w:type="dxa"/>
            <w:vAlign w:val="bottom"/>
            <w:tcBorders>
              <w:right w:val="single" w:sz="8" w:color="auto"/>
            </w:tcBorders>
            <w:shd w:val="clear" w:color="auto" w:fill="E6F3FA"/>
          </w:tcPr>
          <w:p>
            <w:pPr>
              <w:spacing w:after="0"/>
              <w:rPr>
                <w:sz w:val="20"/>
                <w:szCs w:val="20"/>
                <w:color w:val="auto"/>
              </w:rPr>
            </w:pPr>
            <w:r>
              <w:rPr>
                <w:rFonts w:ascii="Arial" w:cs="Arial" w:eastAsia="Arial" w:hAnsi="Arial"/>
                <w:sz w:val="18"/>
                <w:szCs w:val="18"/>
                <w:color w:val="auto"/>
              </w:rPr>
              <w:t>GPP Phase 2 Initiation</w:t>
            </w:r>
          </w:p>
        </w:tc>
        <w:tc>
          <w:tcPr>
            <w:tcW w:w="1580" w:type="dxa"/>
            <w:vAlign w:val="bottom"/>
            <w:tcBorders>
              <w:right w:val="single" w:sz="8" w:color="auto"/>
            </w:tcBorders>
            <w:shd w:val="clear" w:color="auto" w:fill="E6F3FA"/>
          </w:tcPr>
          <w:p>
            <w:pPr>
              <w:ind w:left="20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20" w:type="dxa"/>
            <w:vAlign w:val="bottom"/>
            <w:tcBorders>
              <w:right w:val="single" w:sz="8" w:color="auto"/>
            </w:tcBorders>
          </w:tcPr>
          <w:p>
            <w:pPr>
              <w:spacing w:after="0"/>
              <w:rPr>
                <w:sz w:val="5"/>
                <w:szCs w:val="5"/>
                <w:color w:val="auto"/>
              </w:rPr>
            </w:pPr>
          </w:p>
        </w:tc>
        <w:tc>
          <w:tcPr>
            <w:tcW w:w="2220" w:type="dxa"/>
            <w:vAlign w:val="bottom"/>
            <w:tcBorders>
              <w:right w:val="single" w:sz="8" w:color="auto"/>
            </w:tcBorders>
            <w:vMerge w:val="continue"/>
            <w:shd w:val="clear" w:color="auto" w:fill="E6F3FA"/>
          </w:tcPr>
          <w:p>
            <w:pPr>
              <w:spacing w:after="0"/>
              <w:rPr>
                <w:sz w:val="5"/>
                <w:szCs w:val="5"/>
                <w:color w:val="auto"/>
              </w:rPr>
            </w:pPr>
          </w:p>
        </w:tc>
        <w:tc>
          <w:tcPr>
            <w:tcW w:w="520" w:type="dxa"/>
            <w:vAlign w:val="bottom"/>
            <w:shd w:val="clear" w:color="auto" w:fill="E6F3FA"/>
          </w:tcPr>
          <w:p>
            <w:pPr>
              <w:spacing w:after="0"/>
              <w:rPr>
                <w:sz w:val="5"/>
                <w:szCs w:val="5"/>
                <w:color w:val="auto"/>
              </w:rPr>
            </w:pPr>
          </w:p>
        </w:tc>
        <w:tc>
          <w:tcPr>
            <w:tcW w:w="6720" w:type="dxa"/>
            <w:vAlign w:val="bottom"/>
            <w:tcBorders>
              <w:right w:val="single" w:sz="8" w:color="auto"/>
            </w:tcBorders>
            <w:vMerge w:val="restart"/>
            <w:shd w:val="clear" w:color="auto" w:fill="E6F3FA"/>
          </w:tcPr>
          <w:p>
            <w:pPr>
              <w:spacing w:after="0"/>
              <w:rPr>
                <w:sz w:val="20"/>
                <w:szCs w:val="20"/>
                <w:color w:val="auto"/>
              </w:rPr>
            </w:pPr>
            <w:r>
              <w:rPr>
                <w:rFonts w:ascii="Arial" w:cs="Arial" w:eastAsia="Arial" w:hAnsi="Arial"/>
                <w:sz w:val="18"/>
                <w:szCs w:val="18"/>
                <w:color w:val="auto"/>
              </w:rPr>
              <w:t>PPP Phase 2 Initiation</w:t>
            </w:r>
          </w:p>
        </w:tc>
        <w:tc>
          <w:tcPr>
            <w:tcW w:w="1580" w:type="dxa"/>
            <w:vAlign w:val="bottom"/>
            <w:tcBorders>
              <w:right w:val="single" w:sz="8" w:color="auto"/>
            </w:tcBorders>
            <w:vMerge w:val="restart"/>
            <w:shd w:val="clear" w:color="auto" w:fill="E6F3FA"/>
          </w:tcPr>
          <w:p>
            <w:pPr>
              <w:ind w:left="200"/>
              <w:spacing w:after="0"/>
              <w:rPr>
                <w:sz w:val="20"/>
                <w:szCs w:val="20"/>
                <w:color w:val="auto"/>
              </w:rPr>
            </w:pPr>
            <w:r>
              <w:rPr>
                <w:rFonts w:ascii="Arial" w:cs="Arial" w:eastAsia="Arial" w:hAnsi="Arial"/>
                <w:sz w:val="18"/>
                <w:szCs w:val="18"/>
                <w:color w:val="auto"/>
              </w:rPr>
              <w:t>2018</w:t>
            </w: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20" w:type="dxa"/>
            <w:vAlign w:val="bottom"/>
            <w:tcBorders>
              <w:right w:val="single" w:sz="8" w:color="auto"/>
            </w:tcBorders>
          </w:tcPr>
          <w:p>
            <w:pPr>
              <w:spacing w:after="0"/>
              <w:rPr>
                <w:sz w:val="14"/>
                <w:szCs w:val="14"/>
                <w:color w:val="auto"/>
              </w:rPr>
            </w:pPr>
          </w:p>
        </w:tc>
        <w:tc>
          <w:tcPr>
            <w:tcW w:w="2220" w:type="dxa"/>
            <w:vAlign w:val="bottom"/>
            <w:tcBorders>
              <w:right w:val="single" w:sz="8" w:color="auto"/>
            </w:tcBorders>
            <w:shd w:val="clear" w:color="auto" w:fill="E6F3FA"/>
          </w:tcPr>
          <w:p>
            <w:pPr>
              <w:spacing w:after="0"/>
              <w:rPr>
                <w:sz w:val="14"/>
                <w:szCs w:val="14"/>
                <w:color w:val="auto"/>
              </w:rPr>
            </w:pPr>
          </w:p>
        </w:tc>
        <w:tc>
          <w:tcPr>
            <w:tcW w:w="520" w:type="dxa"/>
            <w:vAlign w:val="bottom"/>
            <w:shd w:val="clear" w:color="auto" w:fill="E6F3FA"/>
          </w:tcPr>
          <w:p>
            <w:pPr>
              <w:spacing w:after="0"/>
              <w:rPr>
                <w:sz w:val="14"/>
                <w:szCs w:val="14"/>
                <w:color w:val="auto"/>
              </w:rPr>
            </w:pPr>
          </w:p>
        </w:tc>
        <w:tc>
          <w:tcPr>
            <w:tcW w:w="6720" w:type="dxa"/>
            <w:vAlign w:val="bottom"/>
            <w:tcBorders>
              <w:right w:val="single" w:sz="8" w:color="auto"/>
            </w:tcBorders>
            <w:vMerge w:val="continue"/>
            <w:shd w:val="clear" w:color="auto" w:fill="E6F3FA"/>
          </w:tcPr>
          <w:p>
            <w:pPr>
              <w:spacing w:after="0"/>
              <w:rPr>
                <w:sz w:val="14"/>
                <w:szCs w:val="14"/>
                <w:color w:val="auto"/>
              </w:rPr>
            </w:pPr>
          </w:p>
        </w:tc>
        <w:tc>
          <w:tcPr>
            <w:tcW w:w="1580" w:type="dxa"/>
            <w:vAlign w:val="bottom"/>
            <w:tcBorders>
              <w:right w:val="single" w:sz="8" w:color="auto"/>
            </w:tcBorders>
            <w:vMerge w:val="continue"/>
            <w:shd w:val="clear" w:color="auto" w:fill="E6F3FA"/>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20" w:type="dxa"/>
            <w:vAlign w:val="bottom"/>
            <w:tcBorders>
              <w:right w:val="single" w:sz="8" w:color="auto"/>
            </w:tcBorders>
          </w:tcPr>
          <w:p>
            <w:pPr>
              <w:spacing w:after="0"/>
              <w:rPr>
                <w:sz w:val="10"/>
                <w:szCs w:val="10"/>
                <w:color w:val="auto"/>
              </w:rPr>
            </w:pPr>
          </w:p>
        </w:tc>
        <w:tc>
          <w:tcPr>
            <w:tcW w:w="2220" w:type="dxa"/>
            <w:vAlign w:val="bottom"/>
            <w:tcBorders>
              <w:bottom w:val="single" w:sz="8" w:color="auto"/>
              <w:right w:val="single" w:sz="8" w:color="auto"/>
            </w:tcBorders>
            <w:shd w:val="clear" w:color="auto" w:fill="E6F3FA"/>
          </w:tcPr>
          <w:p>
            <w:pPr>
              <w:spacing w:after="0"/>
              <w:rPr>
                <w:sz w:val="10"/>
                <w:szCs w:val="10"/>
                <w:color w:val="auto"/>
              </w:rPr>
            </w:pPr>
          </w:p>
        </w:tc>
        <w:tc>
          <w:tcPr>
            <w:tcW w:w="520" w:type="dxa"/>
            <w:vAlign w:val="bottom"/>
            <w:tcBorders>
              <w:bottom w:val="single" w:sz="8" w:color="auto"/>
            </w:tcBorders>
            <w:shd w:val="clear" w:color="auto" w:fill="E6F3FA"/>
          </w:tcPr>
          <w:p>
            <w:pPr>
              <w:spacing w:after="0"/>
              <w:rPr>
                <w:sz w:val="10"/>
                <w:szCs w:val="10"/>
                <w:color w:val="auto"/>
              </w:rPr>
            </w:pPr>
          </w:p>
        </w:tc>
        <w:tc>
          <w:tcPr>
            <w:tcW w:w="6720" w:type="dxa"/>
            <w:vAlign w:val="bottom"/>
            <w:tcBorders>
              <w:bottom w:val="single" w:sz="8" w:color="auto"/>
              <w:right w:val="single" w:sz="8" w:color="auto"/>
            </w:tcBorders>
            <w:shd w:val="clear" w:color="auto" w:fill="E6F3FA"/>
          </w:tcPr>
          <w:p>
            <w:pPr>
              <w:spacing w:after="0"/>
              <w:rPr>
                <w:sz w:val="10"/>
                <w:szCs w:val="10"/>
                <w:color w:val="auto"/>
              </w:rPr>
            </w:pPr>
          </w:p>
        </w:tc>
        <w:tc>
          <w:tcPr>
            <w:tcW w:w="1580" w:type="dxa"/>
            <w:vAlign w:val="bottom"/>
            <w:tcBorders>
              <w:bottom w:val="single" w:sz="8" w:color="auto"/>
              <w:right w:val="single" w:sz="8" w:color="auto"/>
            </w:tcBorders>
            <w:shd w:val="clear" w:color="auto" w:fill="E6F3FA"/>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2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67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240" w:type="dxa"/>
            <w:vAlign w:val="bottom"/>
            <w:gridSpan w:val="2"/>
          </w:tcPr>
          <w:p>
            <w:pPr>
              <w:jc w:val="right"/>
              <w:ind w:right="3830"/>
              <w:spacing w:after="0"/>
              <w:rPr>
                <w:sz w:val="20"/>
                <w:szCs w:val="20"/>
                <w:color w:val="auto"/>
              </w:rPr>
            </w:pPr>
            <w:r>
              <w:rPr>
                <w:rFonts w:ascii="Arial" w:cs="Arial" w:eastAsia="Arial" w:hAnsi="Arial"/>
                <w:sz w:val="18"/>
                <w:szCs w:val="18"/>
                <w:color w:val="auto"/>
              </w:rPr>
              <w:t>7</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2095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52095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are a leading antibody development company with a pipeline of novel therapeutic antibodies, which is being further expanded by applying our technology platform to emerging biological targets. The key elements of our strategy include:</w:t>
      </w:r>
    </w:p>
    <w:p>
      <w:pPr>
        <w:spacing w:after="0" w:line="72" w:lineRule="exact"/>
        <w:rPr>
          <w:sz w:val="20"/>
          <w:szCs w:val="20"/>
          <w:color w:val="auto"/>
        </w:rPr>
      </w:pPr>
    </w:p>
    <w:p>
      <w:pPr>
        <w:ind w:left="840" w:hanging="211"/>
        <w:spacing w:after="0" w:line="289" w:lineRule="auto"/>
        <w:tabs>
          <w:tab w:leader="none" w:pos="84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Advancing our wholly-owned lead product candidates to clinical milestones. </w:t>
      </w:r>
      <w:r>
        <w:rPr>
          <w:rFonts w:ascii="Arial" w:cs="Arial" w:eastAsia="Arial" w:hAnsi="Arial"/>
          <w:sz w:val="16"/>
          <w:szCs w:val="16"/>
          <w:color w:val="auto"/>
        </w:rPr>
        <w:t>We are conducting clinical trials to assess the safety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efficacy of our wholly-owned pipeline programs, and have completed a Phase 1 trial of ANB020 in healthy volunteers in Australia, which we believe has demonstrated favorable safety and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pharmacodynamic properties. We are conducting multiple Phase 2a trials of ANB020: top-line results from a Phase 2a trial in patients with moderate-to-severe adult atopic dermatitis were announced in October 2017; top-line data from a Phase 2a trial in patients with severe adult peanut allergy are anticipated in the fourth quarter of 2017; and top-line data from a Phase 2a trial in patients with severe adult eosinophilic asthma are anticipated during the first half of 2018. We are currently conducting, under an approved CTN, a Phase 1 clinical trial in healthy volunteers, where 48 subjects are dosed with ANB019 and 24 are dosed with placebo in single and multi-dose cohorts at various subcutaneous and intravenously administered dose levels, to assess the safety, tolerability, pharmacokinetics and pharmacodynamics of ANB019 and anticipate announcing top-line data from this trial during the fourth quarter of 2017. We subsequently plan to seek regulatory clearance to initiate Phase 2 studies of ANB019 in GPP and PPP patients during 2018.</w:t>
      </w:r>
    </w:p>
    <w:p>
      <w:pPr>
        <w:spacing w:after="0" w:line="66" w:lineRule="exact"/>
        <w:rPr>
          <w:rFonts w:ascii="Arial" w:cs="Arial" w:eastAsia="Arial" w:hAnsi="Arial"/>
          <w:sz w:val="16"/>
          <w:szCs w:val="16"/>
          <w:color w:val="auto"/>
        </w:rPr>
      </w:pPr>
    </w:p>
    <w:p>
      <w:pPr>
        <w:ind w:left="840" w:right="40" w:hanging="211"/>
        <w:spacing w:after="0" w:line="261"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Continuing to expand our proprietary pipeline by generating new product candidates using our technology platform. </w:t>
      </w:r>
      <w:r>
        <w:rPr>
          <w:rFonts w:ascii="Arial" w:cs="Arial" w:eastAsia="Arial" w:hAnsi="Arial"/>
          <w:sz w:val="18"/>
          <w:szCs w:val="18"/>
          <w:color w:val="auto"/>
        </w:rPr>
        <w:t>Using our</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SHM antibody generation platform, we are able to rapidly develop novel antibodies against biological emerging targets. Our goal is to continue expanding our wholly-owned new therapeutic antibody program pipeline by innovating one or more novel pipeline antibodies each year.</w:t>
      </w:r>
    </w:p>
    <w:p>
      <w:pPr>
        <w:spacing w:after="0" w:line="85" w:lineRule="exact"/>
        <w:rPr>
          <w:rFonts w:ascii="Arial" w:cs="Arial" w:eastAsia="Arial" w:hAnsi="Arial"/>
          <w:sz w:val="18"/>
          <w:szCs w:val="18"/>
          <w:color w:val="auto"/>
        </w:rPr>
      </w:pPr>
    </w:p>
    <w:p>
      <w:pPr>
        <w:ind w:left="840" w:right="160" w:hanging="211"/>
        <w:spacing w:after="0" w:line="277" w:lineRule="auto"/>
        <w:tabs>
          <w:tab w:leader="none" w:pos="8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Identifying emerging opportunities in key therapeutic areas. </w:t>
      </w:r>
      <w:r>
        <w:rPr>
          <w:rFonts w:ascii="Arial" w:cs="Arial" w:eastAsia="Arial" w:hAnsi="Arial"/>
          <w:sz w:val="17"/>
          <w:szCs w:val="17"/>
          <w:color w:val="auto"/>
        </w:rPr>
        <w:t>We intend to remain at the forefront of discovery and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therapeutic opportunities in inflammation by understanding and translating biological breakthroughs into first-in-class therapeutic antibodies. Our approach includes translational biology assessments, such as human genetics,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tissue pathology and target expression patterns, to understand the relevance of emerging targets to patients with unmet medical needs. We plan to leverage this knowledge to create new product candidates and position our current and future programs for rapid initial efficacy assessment.</w:t>
      </w:r>
    </w:p>
    <w:p>
      <w:pPr>
        <w:spacing w:after="0" w:line="73" w:lineRule="exact"/>
        <w:rPr>
          <w:rFonts w:ascii="Arial" w:cs="Arial" w:eastAsia="Arial" w:hAnsi="Arial"/>
          <w:sz w:val="17"/>
          <w:szCs w:val="17"/>
          <w:color w:val="auto"/>
        </w:rPr>
      </w:pPr>
    </w:p>
    <w:p>
      <w:pPr>
        <w:ind w:left="840" w:right="260" w:hanging="211"/>
        <w:spacing w:after="0" w:line="261" w:lineRule="auto"/>
        <w:tabs>
          <w:tab w:leader="none" w:pos="8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Retaining rights to strategic products in key commercial markets. </w:t>
      </w:r>
      <w:r>
        <w:rPr>
          <w:rFonts w:ascii="Arial" w:cs="Arial" w:eastAsia="Arial" w:hAnsi="Arial"/>
          <w:sz w:val="18"/>
          <w:szCs w:val="18"/>
          <w:color w:val="auto"/>
        </w:rPr>
        <w:t>We intend to retain ownership and control of our pipeline programs to</w:t>
      </w:r>
      <w:r>
        <w:rPr>
          <w:rFonts w:ascii="Arial" w:cs="Arial" w:eastAsia="Arial" w:hAnsi="Arial"/>
          <w:sz w:val="18"/>
          <w:szCs w:val="18"/>
          <w:b w:val="1"/>
          <w:bCs w:val="1"/>
          <w:color w:val="auto"/>
        </w:rPr>
        <w:t xml:space="preserve"> </w:t>
      </w:r>
      <w:r>
        <w:rPr>
          <w:rFonts w:ascii="Arial" w:cs="Arial" w:eastAsia="Arial" w:hAnsi="Arial"/>
          <w:sz w:val="18"/>
          <w:szCs w:val="18"/>
          <w:color w:val="auto"/>
        </w:rPr>
        <w:t>key preclinical and clinical data inflection points. We may build sales and marketing capabilities in the United States with a focused commercial organization. For certain programs, we plan to seek strategic collaborations that provide us with funding, infrastructure and marketing resources to advance through development and commercialization.</w:t>
      </w:r>
    </w:p>
    <w:p>
      <w:pPr>
        <w:spacing w:after="0" w:line="28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Financial Update</w:t>
      </w:r>
    </w:p>
    <w:p>
      <w:pPr>
        <w:spacing w:after="0" w:line="12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While we have not finalized our full financial results for the quarter ended September 30, 2017, we expect to report that we had $116.7 million of cash and cash equivalents and investments as of September 30, 2017. This amount is preliminary, has not been audited and is subject to change upon completion of our quarterly review. Additional information and disclosures would be required for a more complete understanding of our financial position and results of operations as of September 30, 2017.</w:t>
      </w:r>
    </w:p>
    <w:p>
      <w:pPr>
        <w:spacing w:after="0" w:line="29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015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60159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Risks Affecting Us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business is subject to a number of risks and uncertainties, including those highlighted and incorporated by reference in the section titled “Risk</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Factors” immediately following this prospectus summary. These risks include, among others, the following:</w:t>
      </w:r>
    </w:p>
    <w:p>
      <w:pPr>
        <w:spacing w:after="0" w:line="116" w:lineRule="exact"/>
        <w:rPr>
          <w:sz w:val="20"/>
          <w:szCs w:val="20"/>
          <w:color w:val="auto"/>
        </w:rPr>
      </w:pPr>
    </w:p>
    <w:p>
      <w:pPr>
        <w:jc w:val="both"/>
        <w:ind w:left="840" w:right="160" w:hanging="211"/>
        <w:spacing w:after="0" w:line="264"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product candidates are in early stages of development and may fail in development or suffer delays that adversely affect their commercial viability. If we or our collaborators are unable to complete development of or commercialize our product candidates or experience significant delays in doing so, our business will be materially harmed.</w:t>
      </w:r>
    </w:p>
    <w:p>
      <w:pPr>
        <w:spacing w:after="0" w:line="86" w:lineRule="exact"/>
        <w:rPr>
          <w:rFonts w:ascii="Arial" w:cs="Arial" w:eastAsia="Arial" w:hAnsi="Arial"/>
          <w:sz w:val="18"/>
          <w:szCs w:val="18"/>
          <w:color w:val="auto"/>
        </w:rPr>
      </w:pPr>
    </w:p>
    <w:p>
      <w:pPr>
        <w:ind w:left="840" w:hanging="211"/>
        <w:spacing w:after="0" w:line="259"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only limited data regarding the safety profile of our wholly-owned product candidates when dosed in humans. Our ongoing and planned clinical trials or those of our collaborators may demonstrate limited efficacy or reveal significant adverse events, toxicities or other side effects and may result in an efficacy or safety profile that could inhibit regulatory approval or market acceptance of any of our product candidates.</w:t>
      </w:r>
    </w:p>
    <w:p>
      <w:pPr>
        <w:spacing w:after="0" w:line="92" w:lineRule="exact"/>
        <w:rPr>
          <w:rFonts w:ascii="Arial" w:cs="Arial" w:eastAsia="Arial" w:hAnsi="Arial"/>
          <w:sz w:val="18"/>
          <w:szCs w:val="18"/>
          <w:color w:val="auto"/>
        </w:rPr>
      </w:pPr>
    </w:p>
    <w:p>
      <w:pPr>
        <w:ind w:left="840" w:right="200" w:hanging="211"/>
        <w:spacing w:after="0" w:line="342" w:lineRule="auto"/>
        <w:tabs>
          <w:tab w:leader="none" w:pos="8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29" w:lineRule="exact"/>
        <w:rPr>
          <w:rFonts w:ascii="Arial" w:cs="Arial" w:eastAsia="Arial" w:hAnsi="Arial"/>
          <w:sz w:val="16"/>
          <w:szCs w:val="16"/>
          <w:color w:val="auto"/>
        </w:rPr>
      </w:pPr>
    </w:p>
    <w:p>
      <w:pPr>
        <w:ind w:left="840" w:right="240" w:hanging="211"/>
        <w:spacing w:after="0" w:line="277"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successful in our efforts to use our technology platform to expand our pipeline of product candidates and develop marketable products.</w:t>
      </w:r>
    </w:p>
    <w:p>
      <w:pPr>
        <w:spacing w:after="0" w:line="75" w:lineRule="exact"/>
        <w:rPr>
          <w:rFonts w:ascii="Arial" w:cs="Arial" w:eastAsia="Arial" w:hAnsi="Arial"/>
          <w:sz w:val="18"/>
          <w:szCs w:val="18"/>
          <w:color w:val="auto"/>
        </w:rPr>
      </w:pPr>
    </w:p>
    <w:p>
      <w:pPr>
        <w:ind w:left="840" w:right="320" w:hanging="211"/>
        <w:spacing w:after="0" w:line="308"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only recently commenced clinical development of ANB019 and ANB020 and have no other history of conducting clinical trials or commercializing biotechnology products, which may make it difficult to evaluate the prospects for our future viability.</w:t>
      </w:r>
    </w:p>
    <w:p>
      <w:pPr>
        <w:spacing w:after="0" w:line="51" w:lineRule="exact"/>
        <w:rPr>
          <w:rFonts w:ascii="Arial" w:cs="Arial" w:eastAsia="Arial" w:hAnsi="Arial"/>
          <w:sz w:val="17"/>
          <w:szCs w:val="17"/>
          <w:color w:val="auto"/>
        </w:rPr>
      </w:pPr>
    </w:p>
    <w:p>
      <w:pPr>
        <w:ind w:left="840" w:right="260" w:hanging="211"/>
        <w:spacing w:after="0" w:line="277"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75" w:lineRule="exact"/>
        <w:rPr>
          <w:rFonts w:ascii="Arial" w:cs="Arial" w:eastAsia="Arial" w:hAnsi="Arial"/>
          <w:sz w:val="18"/>
          <w:szCs w:val="18"/>
          <w:color w:val="auto"/>
        </w:rPr>
      </w:pPr>
    </w:p>
    <w:p>
      <w:pPr>
        <w:ind w:left="840" w:right="200" w:hanging="211"/>
        <w:spacing w:after="0" w:line="264"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existing collaborations, including those with TESARO and Celgene, are important to our business, and future collaborations may also be important to us. If we are unable to maintain any of these collaborations, or if these collaborations are not successful, our business could be adversely affected.</w:t>
      </w:r>
    </w:p>
    <w:p>
      <w:pPr>
        <w:spacing w:after="0" w:line="86" w:lineRule="exact"/>
        <w:rPr>
          <w:rFonts w:ascii="Arial" w:cs="Arial" w:eastAsia="Arial" w:hAnsi="Arial"/>
          <w:sz w:val="18"/>
          <w:szCs w:val="18"/>
          <w:color w:val="auto"/>
        </w:rPr>
      </w:pPr>
    </w:p>
    <w:p>
      <w:pPr>
        <w:ind w:left="840" w:right="100" w:hanging="211"/>
        <w:spacing w:after="0" w:line="264" w:lineRule="auto"/>
        <w:tabs>
          <w:tab w:leader="none" w:pos="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manufacture of biologics is complex and our third-party manufacturers may encounter difficulties in production. If any of our third-party manufacturers encounter such difficulties, our ability to provide supply of our product candidates for clinical trials or our products for patients, if approved, could be delayed or stopped.</w:t>
      </w:r>
    </w:p>
    <w:p>
      <w:pPr>
        <w:spacing w:after="0" w:line="86" w:lineRule="exact"/>
        <w:rPr>
          <w:rFonts w:ascii="Arial" w:cs="Arial" w:eastAsia="Arial" w:hAnsi="Arial"/>
          <w:sz w:val="18"/>
          <w:szCs w:val="18"/>
          <w:color w:val="auto"/>
        </w:rPr>
      </w:pPr>
    </w:p>
    <w:p>
      <w:pPr>
        <w:ind w:left="840" w:right="600" w:hanging="211"/>
        <w:spacing w:after="0" w:line="308"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limited operating revenue and a history of operational losses and may not achieve or sustain profitability. We have no products approved for commercial sale, and to date we have not generated any revenue or profit from product sales.</w:t>
      </w:r>
    </w:p>
    <w:p>
      <w:pPr>
        <w:spacing w:after="0" w:line="51" w:lineRule="exact"/>
        <w:rPr>
          <w:rFonts w:ascii="Arial" w:cs="Arial" w:eastAsia="Arial" w:hAnsi="Arial"/>
          <w:sz w:val="17"/>
          <w:szCs w:val="17"/>
          <w:color w:val="auto"/>
        </w:rPr>
      </w:pPr>
    </w:p>
    <w:p>
      <w:pPr>
        <w:ind w:left="840" w:right="40" w:hanging="211"/>
        <w:spacing w:after="0" w:line="308" w:lineRule="auto"/>
        <w:tabs>
          <w:tab w:leader="none" w:pos="8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25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were incorporated under the laws of the State of Delaware in November 2005. Our principal executive offices are located at 10421 Pacific Center Court, Suite 200, San Diego, California 92121, and our telephone number is (858) 362-6295. Our website address is www.anaptysbio.com. The information contained on, or that can be accessed through, our website is not part of, and is not incorporated by reference into, this prospectus. Investors should not rely on any such information in deciding whether to purchase our common stock.</w:t>
      </w:r>
    </w:p>
    <w:p>
      <w:pPr>
        <w:spacing w:after="0" w:line="28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42405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42405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mark “AnaptysBio” is our common law trademark. All other service marks, trademarks and trade names appearing in this prospectus are the property of their respective owners.</w:t>
      </w: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of 2012, or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840" w:right="180" w:hanging="211"/>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the Sarbanes-Oxley Act;</w:t>
      </w:r>
    </w:p>
    <w:p>
      <w:pPr>
        <w:spacing w:after="0" w:line="75" w:lineRule="exact"/>
        <w:rPr>
          <w:rFonts w:ascii="Arial" w:cs="Arial" w:eastAsia="Arial" w:hAnsi="Arial"/>
          <w:sz w:val="18"/>
          <w:szCs w:val="18"/>
          <w:color w:val="auto"/>
        </w:rPr>
      </w:pPr>
    </w:p>
    <w:p>
      <w:pPr>
        <w:ind w:left="840" w:hanging="211"/>
        <w:spacing w:after="0"/>
        <w:tabs>
          <w:tab w:leader="none" w:pos="8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proxy statements and registration statements; and</w:t>
      </w:r>
    </w:p>
    <w:p>
      <w:pPr>
        <w:spacing w:after="0" w:line="153" w:lineRule="exact"/>
        <w:rPr>
          <w:rFonts w:ascii="Arial" w:cs="Arial" w:eastAsia="Arial" w:hAnsi="Arial"/>
          <w:sz w:val="16"/>
          <w:szCs w:val="16"/>
          <w:color w:val="auto"/>
        </w:rPr>
      </w:pPr>
    </w:p>
    <w:p>
      <w:pPr>
        <w:ind w:left="840" w:right="140" w:hanging="211"/>
        <w:spacing w:after="0" w:line="277" w:lineRule="auto"/>
        <w:tabs>
          <w:tab w:leader="none" w:pos="8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may use these provisions until the last day of our fiscal year following the fifth anniversary of the closing of our initial public offering. However, if certain events occur prior to the end of such five-year period, including if we become a “large accelerated filer,” our annual gross revenues exceed $1.07 billion or we issue more than $1.0 billion of non-convertible debt in any three-year period, we will cease to be an emerging growth company prior to the end of such five-year period.</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elected to take advantage of certain of the reduced disclosure obligations in the registration statement of which this prospectus is a part and the documents incorporated herein by reference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JOBS Act provides that an emerging growth company can take advantage of an extended transition period for complying with new or revised accounting standards. We have irrevocably elected not to avail ourselves of this exemption and, therefore, we are subject to the same new or revised accounting standards as other public companies that are not emerging growth companies.</w:t>
      </w:r>
    </w:p>
    <w:p>
      <w:pPr>
        <w:spacing w:after="0" w:line="28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60413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604139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common stock offered by us</w:t>
      </w:r>
    </w:p>
    <w:p>
      <w:pPr>
        <w:spacing w:after="0" w:line="266" w:lineRule="exact"/>
        <w:rPr>
          <w:sz w:val="20"/>
          <w:szCs w:val="20"/>
          <w:color w:val="auto"/>
        </w:rPr>
      </w:pPr>
    </w:p>
    <w:p>
      <w:pPr>
        <w:ind w:left="280" w:right="980" w:hanging="81"/>
        <w:spacing w:after="0" w:line="277" w:lineRule="auto"/>
        <w:rPr>
          <w:sz w:val="20"/>
          <w:szCs w:val="20"/>
          <w:color w:val="auto"/>
        </w:rPr>
      </w:pPr>
      <w:r>
        <w:rPr>
          <w:rFonts w:ascii="Arial" w:cs="Arial" w:eastAsia="Arial" w:hAnsi="Arial"/>
          <w:sz w:val="18"/>
          <w:szCs w:val="18"/>
          <w:color w:val="auto"/>
        </w:rPr>
        <w:t>Option to purchase additional shares to be offered by us</w:t>
      </w:r>
    </w:p>
    <w:p>
      <w:pPr>
        <w:spacing w:after="0" w:line="211" w:lineRule="exact"/>
        <w:rPr>
          <w:sz w:val="20"/>
          <w:szCs w:val="20"/>
          <w:color w:val="auto"/>
        </w:rPr>
      </w:pPr>
    </w:p>
    <w:p>
      <w:pPr>
        <w:ind w:left="280" w:hanging="81"/>
        <w:spacing w:after="0" w:line="277" w:lineRule="auto"/>
        <w:rPr>
          <w:sz w:val="20"/>
          <w:szCs w:val="20"/>
          <w:color w:val="auto"/>
        </w:rPr>
      </w:pPr>
      <w:r>
        <w:rPr>
          <w:rFonts w:ascii="Arial" w:cs="Arial" w:eastAsia="Arial" w:hAnsi="Arial"/>
          <w:sz w:val="18"/>
          <w:szCs w:val="18"/>
          <w:color w:val="auto"/>
        </w:rPr>
        <w:t>Shares of common stock to be outstanding immediately after this offering</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0" w:lineRule="exact"/>
        <w:rPr>
          <w:sz w:val="20"/>
          <w:szCs w:val="20"/>
          <w:color w:val="auto"/>
        </w:rPr>
      </w:pPr>
    </w:p>
    <w:p>
      <w:pPr>
        <w:spacing w:after="0" w:line="26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Nasdaq Global Select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3,000,000 shares.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450,000 shares.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23,289,907 shares (23,739,907 shares if the underwriters exercise their option to purchase additional shares in full).</w:t>
      </w:r>
    </w:p>
    <w:p>
      <w:pPr>
        <w:spacing w:after="0" w:line="19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estimate that the net proceeds from this offering will be approximately $194.6 million (or approximately $223.8 million if the underwriters exercise their option to purchase additional shares in full), based upon the public offering price of $68.50 per share, after deducting the underwriting discounts and commissions and estimated offering expenses payable by us.</w:t>
      </w:r>
    </w:p>
    <w:p>
      <w:pPr>
        <w:spacing w:after="0" w:line="18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intend to use the net proceeds that we receive in this offering to fund research and development activities for our clinical development programs, our ongoing preclinical, discovery and research programs, and for working capital and other general corporate purposes. We may use a portion of the proceeds to acquire other complementary businesses or technologies, although we have no present commitments or agreements to do so. See “Use of Proceeds” for a more complete description of the intended use of proceeds from this offering.</w:t>
      </w:r>
    </w:p>
    <w:p>
      <w:pPr>
        <w:spacing w:after="0" w:line="19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You should read the “Risk Factors” section of this prospectus for a discussion of factors to consider carefully before deciding to invest in shares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“ANAB”</w:t>
      </w:r>
    </w:p>
    <w:p>
      <w:pPr>
        <w:spacing w:after="0" w:line="200" w:lineRule="exact"/>
        <w:rPr>
          <w:sz w:val="20"/>
          <w:szCs w:val="20"/>
          <w:color w:val="auto"/>
        </w:rPr>
      </w:pPr>
    </w:p>
    <w:p>
      <w:pPr>
        <w:sectPr>
          <w:pgSz w:w="11900" w:h="16838" w:orient="portrait"/>
          <w:cols w:equalWidth="0" w:num="2">
            <w:col w:w="4200" w:space="180"/>
            <w:col w:w="6840"/>
          </w:cols>
          <w:pgMar w:left="240" w:top="459" w:right="439" w:bottom="1440" w:gutter="0" w:footer="0" w:header="0"/>
          <w:type w:val="continuous"/>
        </w:sectPr>
      </w:pPr>
    </w:p>
    <w:p>
      <w:pPr>
        <w:spacing w:after="0" w:line="3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20,289,907 shares of our common stock outstanding as of June 30, 2017, and excludes:</w:t>
      </w:r>
    </w:p>
    <w:p>
      <w:pPr>
        <w:spacing w:after="0" w:line="76" w:lineRule="exact"/>
        <w:rPr>
          <w:sz w:val="20"/>
          <w:szCs w:val="20"/>
          <w:color w:val="auto"/>
        </w:rPr>
      </w:pPr>
    </w:p>
    <w:p>
      <w:pPr>
        <w:ind w:left="840" w:right="34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2,643,180 shares of common stock issuable upon the exercise of options outstanding as of June 30, 2017, with a weighted-average exercise price of $10.62 per share;</w:t>
      </w:r>
    </w:p>
    <w:p>
      <w:pPr>
        <w:spacing w:after="0" w:line="75" w:lineRule="exact"/>
        <w:rPr>
          <w:rFonts w:ascii="Arial" w:cs="Arial" w:eastAsia="Arial" w:hAnsi="Arial"/>
          <w:sz w:val="18"/>
          <w:szCs w:val="18"/>
          <w:color w:val="auto"/>
        </w:rPr>
      </w:pPr>
    </w:p>
    <w:p>
      <w:pPr>
        <w:ind w:left="840" w:right="28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96,965 shares of common stock issuable upon the exercise of options granted after June 30, 2017, with a weighted-average exercise price of $26.77 per share;</w:t>
      </w:r>
    </w:p>
    <w:p>
      <w:pPr>
        <w:spacing w:after="0" w:line="75" w:lineRule="exact"/>
        <w:rPr>
          <w:rFonts w:ascii="Arial" w:cs="Arial" w:eastAsia="Arial" w:hAnsi="Arial"/>
          <w:sz w:val="18"/>
          <w:szCs w:val="18"/>
          <w:color w:val="auto"/>
        </w:rPr>
      </w:pPr>
    </w:p>
    <w:p>
      <w:pPr>
        <w:ind w:left="840" w:right="280" w:hanging="211"/>
        <w:spacing w:after="0" w:line="277"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198,009 shares of our common stock issuable upon exercise of warrants outstanding as of June 30, 2017, with an exercise price of $4.55 per share; and</w:t>
      </w:r>
    </w:p>
    <w:p>
      <w:pPr>
        <w:spacing w:after="0" w:line="75" w:lineRule="exact"/>
        <w:rPr>
          <w:rFonts w:ascii="Arial" w:cs="Arial" w:eastAsia="Arial" w:hAnsi="Arial"/>
          <w:sz w:val="18"/>
          <w:szCs w:val="18"/>
          <w:color w:val="auto"/>
        </w:rPr>
      </w:pPr>
    </w:p>
    <w:p>
      <w:pPr>
        <w:ind w:left="840" w:right="20" w:hanging="211"/>
        <w:spacing w:after="0" w:line="264" w:lineRule="auto"/>
        <w:tabs>
          <w:tab w:leader="none" w:pos="8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1,462,014 shares of common stock reserved for future issuance under our stock-based compensation plans as of June 30, 2017, consisting of (a) 1,244,014 shares of common stock reserved for future issuance under our 2017 Equity Incentive Plan and (b) 218,000 shares of common stock reserved for future</w:t>
      </w:r>
    </w:p>
    <w:p>
      <w:pPr>
        <w:spacing w:after="0" w:line="28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059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10591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60"/>
        <w:spacing w:after="0" w:line="312" w:lineRule="auto"/>
        <w:rPr>
          <w:sz w:val="20"/>
          <w:szCs w:val="20"/>
          <w:color w:val="auto"/>
        </w:rPr>
      </w:pPr>
      <w:r>
        <w:rPr>
          <w:rFonts w:ascii="Arial" w:cs="Arial" w:eastAsia="Arial" w:hAnsi="Arial"/>
          <w:sz w:val="16"/>
          <w:szCs w:val="16"/>
          <w:color w:val="auto"/>
        </w:rPr>
        <w:t>issuance under our 2017 Employee Stock Purchase Plan. Our 2017 Equity Incentive Plan and 2017 Employee Stock Purchase Plan also provide for automatic annual increases in the number of shares reserved under the plans each year, as more fully described in note 8 of the notes to our unaudited consolidated financial statements included in our Quarterly Report on Form 10-Q for the period ended June 30, 2017.</w:t>
      </w:r>
    </w:p>
    <w:p>
      <w:pPr>
        <w:spacing w:after="0" w:line="14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Except as otherwise indicated, all information in this prospectus assumes no exercise of outstanding options or warrants and no exercise of the underwriters’ option to purchase additional shares.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706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7067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The summary consolidated statements of operations data presented below for the years ended December 31, 2014, 2015 and 2016 are derived from our audited financial statements incorporated by reference into this prospectus. The selected consolidated statements of operations data for the six months ended June 30, 2016 and 2017 and the summary consolidated balance sheet data as of June 30, 2017 have been derived from our unaudited consolidated financial statements incorporated by reference into this prospectus. Our unaudited consolidated financial statements have been prepared on the same basis as our audited financial statements and, in the opinion of management, reflect all adjustments, which consist only of normal recurring adjustments, necessary for the fair statement of those unaudited consolidated financial statements. The following summary consolidated financial data should be read with “Management’s Discussion and Analysis of Financial Condition and Results of Operations” and our financial statements and related notes incorporated by reference into this prospectus. Our historical results are not necessarily indicative of the results that may be expected in any future period. The summary financial data in this section are not intended to replace the financial statements and are qualified in their entirety by the financial statements and related notes incorporated by reference into this prospectus.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2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(in thousands, except per share data)</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5240" w:type="dxa"/>
            <w:vAlign w:val="bottom"/>
            <w:vMerge w:val="continue"/>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1"/>
              <w:spacing w:after="0" w:line="142"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24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Consolidated Statements of Operations Data:</w:t>
            </w: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5240" w:type="dxa"/>
            <w:vAlign w:val="bottom"/>
            <w:vMerge w:val="continue"/>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Collaboration revenue</w:t>
            </w:r>
          </w:p>
        </w:tc>
        <w:tc>
          <w:tcPr>
            <w:tcW w:w="16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15,838</w:t>
            </w:r>
          </w:p>
        </w:tc>
        <w:tc>
          <w:tcPr>
            <w:tcW w:w="1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17,571</w:t>
            </w:r>
          </w:p>
        </w:tc>
        <w:tc>
          <w:tcPr>
            <w:tcW w:w="22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16,684</w:t>
            </w:r>
          </w:p>
        </w:tc>
        <w:tc>
          <w:tcPr>
            <w:tcW w:w="20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10,716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7,000</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1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560"/>
              <w:spacing w:after="0"/>
              <w:rPr>
                <w:sz w:val="20"/>
                <w:szCs w:val="20"/>
                <w:color w:val="auto"/>
              </w:rPr>
            </w:pPr>
            <w:r>
              <w:rPr>
                <w:rFonts w:ascii="Arial" w:cs="Arial" w:eastAsia="Arial" w:hAnsi="Arial"/>
                <w:sz w:val="18"/>
                <w:szCs w:val="18"/>
                <w:color w:val="auto"/>
              </w:rPr>
              <w:t>Research and development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17,304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15,419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15,140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60"/>
              <w:spacing w:after="0"/>
              <w:rPr>
                <w:sz w:val="20"/>
                <w:szCs w:val="20"/>
                <w:color w:val="auto"/>
              </w:rPr>
            </w:pPr>
            <w:r>
              <w:rPr>
                <w:rFonts w:ascii="Arial" w:cs="Arial" w:eastAsia="Arial" w:hAnsi="Arial"/>
                <w:sz w:val="18"/>
                <w:szCs w:val="18"/>
                <w:color w:val="auto"/>
              </w:rPr>
              <w:t>General and administrative</w:t>
            </w:r>
          </w:p>
        </w:tc>
        <w:tc>
          <w:tcPr>
            <w:tcW w:w="1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100"/>
              <w:spacing w:after="0"/>
              <w:rPr>
                <w:sz w:val="20"/>
                <w:szCs w:val="20"/>
                <w:color w:val="auto"/>
              </w:rPr>
            </w:pPr>
            <w:r>
              <w:rPr>
                <w:rFonts w:ascii="Arial" w:cs="Arial" w:eastAsia="Arial" w:hAnsi="Arial"/>
                <w:sz w:val="18"/>
                <w:szCs w:val="18"/>
                <w:color w:val="auto"/>
              </w:rPr>
              <w:t>Total operating expenses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10,968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20,893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19,709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19,543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100"/>
              <w:spacing w:after="0"/>
              <w:rPr>
                <w:sz w:val="20"/>
                <w:szCs w:val="20"/>
                <w:color w:val="auto"/>
              </w:rPr>
            </w:pPr>
            <w:r>
              <w:rPr>
                <w:rFonts w:ascii="Arial" w:cs="Arial" w:eastAsia="Arial" w:hAnsi="Arial"/>
                <w:sz w:val="18"/>
                <w:szCs w:val="18"/>
                <w:color w:val="auto"/>
              </w:rPr>
              <w:t>Income (loss) from operations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(3,322)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0"/>
              </w:rPr>
              <w:t>(12,543)</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200"/>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560"/>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16"/>
        </w:trPr>
        <w:tc>
          <w:tcPr>
            <w:tcW w:w="5240" w:type="dxa"/>
            <w:vAlign w:val="bottom"/>
          </w:tcPr>
          <w:p>
            <w:pPr>
              <w:ind w:left="560"/>
              <w:spacing w:after="0"/>
              <w:rPr>
                <w:sz w:val="20"/>
                <w:szCs w:val="20"/>
                <w:color w:val="auto"/>
              </w:rPr>
            </w:pPr>
            <w:r>
              <w:rPr>
                <w:rFonts w:ascii="Arial" w:cs="Arial" w:eastAsia="Arial" w:hAnsi="Arial"/>
                <w:sz w:val="18"/>
                <w:szCs w:val="18"/>
                <w:color w:val="auto"/>
              </w:rPr>
              <w:t>Change in fair value of liability for preferred stock warrants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30"/>
        </w:trPr>
        <w:tc>
          <w:tcPr>
            <w:tcW w:w="5240" w:type="dxa"/>
            <w:vAlign w:val="bottom"/>
          </w:tcPr>
          <w:p>
            <w:pPr>
              <w:ind w:left="560"/>
              <w:spacing w:after="0"/>
              <w:rPr>
                <w:sz w:val="20"/>
                <w:szCs w:val="20"/>
                <w:color w:val="auto"/>
              </w:rPr>
            </w:pPr>
            <w:r>
              <w:rPr>
                <w:rFonts w:ascii="Arial" w:cs="Arial" w:eastAsia="Arial" w:hAnsi="Arial"/>
                <w:sz w:val="18"/>
                <w:szCs w:val="18"/>
                <w:color w:val="auto"/>
              </w:rPr>
              <w:t>Other income (expense), net</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657</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1100"/>
              <w:spacing w:after="0"/>
              <w:rPr>
                <w:sz w:val="20"/>
                <w:szCs w:val="20"/>
                <w:color w:val="auto"/>
              </w:rPr>
            </w:pPr>
            <w:r>
              <w:rPr>
                <w:rFonts w:ascii="Arial" w:cs="Arial" w:eastAsia="Arial" w:hAnsi="Arial"/>
                <w:sz w:val="18"/>
                <w:szCs w:val="18"/>
                <w:color w:val="auto"/>
              </w:rPr>
              <w:t>Total other income (expense), net</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(1,338)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(1,944)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(1,234)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(1,576)</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40" w:type="dxa"/>
            <w:vAlign w:val="bottom"/>
          </w:tcPr>
          <w:p>
            <w:pPr>
              <w:ind w:left="1100"/>
              <w:spacing w:after="0"/>
              <w:rPr>
                <w:sz w:val="20"/>
                <w:szCs w:val="20"/>
                <w:color w:val="auto"/>
              </w:rPr>
            </w:pPr>
            <w:r>
              <w:rPr>
                <w:rFonts w:ascii="Arial" w:cs="Arial" w:eastAsia="Arial" w:hAnsi="Arial"/>
                <w:sz w:val="18"/>
                <w:szCs w:val="18"/>
                <w:color w:val="auto"/>
              </w:rPr>
              <w:t>Income (loss) before income taxes</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(5,266)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4"/>
              </w:rPr>
              <w:t>(4,259)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0"/>
              </w:rPr>
              <w:t>(14,119)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920"/>
              <w:spacing w:after="0"/>
              <w:rPr>
                <w:sz w:val="20"/>
                <w:szCs w:val="20"/>
                <w:color w:val="auto"/>
              </w:rPr>
            </w:pPr>
            <w:r>
              <w:rPr>
                <w:rFonts w:ascii="Arial" w:cs="Arial" w:eastAsia="Arial" w:hAnsi="Arial"/>
                <w:sz w:val="18"/>
                <w:szCs w:val="18"/>
                <w:color w:val="auto"/>
              </w:rPr>
              <w:t>Provision for income taxes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40" w:type="dxa"/>
            <w:vAlign w:val="bottom"/>
          </w:tcPr>
          <w:p>
            <w:pPr>
              <w:ind w:left="740"/>
              <w:spacing w:after="0"/>
              <w:rPr>
                <w:sz w:val="20"/>
                <w:szCs w:val="20"/>
                <w:color w:val="auto"/>
              </w:rPr>
            </w:pPr>
            <w:r>
              <w:rPr>
                <w:rFonts w:ascii="Arial" w:cs="Arial" w:eastAsia="Arial" w:hAnsi="Arial"/>
                <w:sz w:val="18"/>
                <w:szCs w:val="18"/>
                <w:color w:val="auto"/>
              </w:rPr>
              <w:t>Net income (loss)</w:t>
            </w:r>
          </w:p>
        </w:tc>
        <w:tc>
          <w:tcPr>
            <w:tcW w:w="15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(5,405)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(4,259)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(14,119)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200"/>
              <w:spacing w:after="0"/>
              <w:rPr>
                <w:sz w:val="20"/>
                <w:szCs w:val="20"/>
                <w:color w:val="auto"/>
              </w:rPr>
            </w:pPr>
            <w:r>
              <w:rPr>
                <w:rFonts w:ascii="Arial" w:cs="Arial" w:eastAsia="Arial" w:hAnsi="Arial"/>
                <w:sz w:val="18"/>
                <w:szCs w:val="18"/>
                <w:color w:val="auto"/>
              </w:rPr>
              <w:t>Net income (loss) attributed to participating securities</w:t>
            </w: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(3,300)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(1,434)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40" w:type="dxa"/>
            <w:vAlign w:val="bottom"/>
          </w:tcPr>
          <w:p>
            <w:pPr>
              <w:ind w:left="200"/>
              <w:spacing w:after="0"/>
              <w:rPr>
                <w:sz w:val="20"/>
                <w:szCs w:val="20"/>
                <w:color w:val="auto"/>
              </w:rPr>
            </w:pPr>
            <w:r>
              <w:rPr>
                <w:rFonts w:ascii="Arial" w:cs="Arial" w:eastAsia="Arial" w:hAnsi="Arial"/>
                <w:sz w:val="18"/>
                <w:szCs w:val="18"/>
                <w:color w:val="auto"/>
              </w:rPr>
              <w:t>Net income (loss) attributed to common stockholders</w:t>
            </w:r>
          </w:p>
        </w:tc>
        <w:tc>
          <w:tcPr>
            <w:tcW w:w="15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(5,405)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(4,259)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(14,119)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0"/>
              <w:spacing w:after="0"/>
              <w:rPr>
                <w:sz w:val="20"/>
                <w:szCs w:val="20"/>
                <w:color w:val="auto"/>
              </w:rPr>
            </w:pPr>
            <w:r>
              <w:rPr>
                <w:rFonts w:ascii="Arial" w:cs="Arial" w:eastAsia="Arial" w:hAnsi="Arial"/>
                <w:sz w:val="18"/>
                <w:szCs w:val="18"/>
                <w:color w:val="auto"/>
              </w:rPr>
              <w:t>Unrealized loss on available for sale securities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200"/>
              <w:spacing w:after="0"/>
              <w:rPr>
                <w:sz w:val="20"/>
                <w:szCs w:val="20"/>
                <w:color w:val="auto"/>
              </w:rPr>
            </w:pPr>
            <w:r>
              <w:rPr>
                <w:rFonts w:ascii="Arial" w:cs="Arial" w:eastAsia="Arial" w:hAnsi="Arial"/>
                <w:sz w:val="18"/>
                <w:szCs w:val="18"/>
                <w:color w:val="auto"/>
              </w:rPr>
              <w:t>Other comprehensive loss</w:t>
            </w:r>
          </w:p>
        </w:tc>
        <w:tc>
          <w:tcPr>
            <w:tcW w:w="1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Pr>
          <w:p>
            <w:pPr>
              <w:ind w:left="380"/>
              <w:spacing w:after="0"/>
              <w:rPr>
                <w:sz w:val="20"/>
                <w:szCs w:val="20"/>
                <w:color w:val="auto"/>
              </w:rPr>
            </w:pPr>
            <w:r>
              <w:rPr>
                <w:rFonts w:ascii="Arial" w:cs="Arial" w:eastAsia="Arial" w:hAnsi="Arial"/>
                <w:sz w:val="18"/>
                <w:szCs w:val="18"/>
                <w:color w:val="auto"/>
              </w:rPr>
              <w:t>Comprehensive income (loss)</w:t>
            </w:r>
          </w:p>
        </w:tc>
        <w:tc>
          <w:tcPr>
            <w:tcW w:w="15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(5,405</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(4,259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(14,178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200"/>
              <w:spacing w:after="0"/>
              <w:rPr>
                <w:sz w:val="20"/>
                <w:szCs w:val="20"/>
                <w:color w:val="auto"/>
              </w:rPr>
            </w:pPr>
            <w:r>
              <w:rPr>
                <w:rFonts w:ascii="Arial" w:cs="Arial" w:eastAsia="Arial" w:hAnsi="Arial"/>
                <w:sz w:val="18"/>
                <w:szCs w:val="18"/>
                <w:color w:val="auto"/>
              </w:rPr>
              <w:t>Net income (loss) per common share:(1)</w:t>
            </w:r>
          </w:p>
        </w:tc>
        <w:tc>
          <w:tcPr>
            <w:tcW w:w="1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560"/>
              <w:spacing w:after="0"/>
              <w:rPr>
                <w:sz w:val="20"/>
                <w:szCs w:val="20"/>
                <w:color w:val="auto"/>
              </w:rPr>
            </w:pPr>
            <w:r>
              <w:rPr>
                <w:rFonts w:ascii="Arial" w:cs="Arial" w:eastAsia="Arial" w:hAnsi="Arial"/>
                <w:sz w:val="18"/>
                <w:szCs w:val="18"/>
                <w:color w:val="auto"/>
              </w:rPr>
              <w:t>Basic and diluted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0.09</w:t>
            </w:r>
          </w:p>
        </w:tc>
        <w:tc>
          <w:tcPr>
            <w:tcW w:w="1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5240" w:type="dxa"/>
            <w:vAlign w:val="bottom"/>
          </w:tcPr>
          <w:p>
            <w:pPr>
              <w:spacing w:after="0"/>
              <w:rPr>
                <w:sz w:val="24"/>
                <w:szCs w:val="24"/>
                <w:color w:val="auto"/>
              </w:rPr>
            </w:pPr>
          </w:p>
        </w:tc>
        <w:tc>
          <w:tcPr>
            <w:tcW w:w="1540" w:type="dxa"/>
            <w:vAlign w:val="bottom"/>
          </w:tcPr>
          <w:p>
            <w:pPr>
              <w:jc w:val="right"/>
              <w:ind w:right="89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3489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3489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6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5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840" w:type="dxa"/>
            <w:vAlign w:val="bottom"/>
            <w:gridSpan w:val="2"/>
          </w:tcPr>
          <w:p>
            <w:pPr>
              <w:jc w:val="center"/>
              <w:ind w:left="204"/>
              <w:spacing w:after="0" w:line="142" w:lineRule="exact"/>
              <w:rPr>
                <w:sz w:val="20"/>
                <w:szCs w:val="20"/>
                <w:color w:val="auto"/>
              </w:rPr>
            </w:pPr>
            <w:r>
              <w:rPr>
                <w:rFonts w:ascii="Arial" w:cs="Arial" w:eastAsia="Arial" w:hAnsi="Arial"/>
                <w:sz w:val="14"/>
                <w:szCs w:val="14"/>
                <w:b w:val="1"/>
                <w:bCs w:val="1"/>
                <w:color w:val="auto"/>
                <w:w w:val="89"/>
              </w:rPr>
              <w:t>2015</w:t>
            </w:r>
          </w:p>
        </w:tc>
        <w:tc>
          <w:tcPr>
            <w:tcW w:w="300" w:type="dxa"/>
            <w:vAlign w:val="bottom"/>
          </w:tcPr>
          <w:p>
            <w:pPr>
              <w:spacing w:after="0"/>
              <w:rPr>
                <w:sz w:val="12"/>
                <w:szCs w:val="12"/>
                <w:color w:val="auto"/>
              </w:rPr>
            </w:pPr>
          </w:p>
        </w:tc>
        <w:tc>
          <w:tcPr>
            <w:tcW w:w="5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580" w:type="dxa"/>
            <w:vAlign w:val="bottom"/>
          </w:tcPr>
          <w:p>
            <w:pPr>
              <w:jc w:val="right"/>
              <w:ind w:right="6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80"/>
        </w:trPr>
        <w:tc>
          <w:tcPr>
            <w:tcW w:w="6840" w:type="dxa"/>
            <w:vAlign w:val="bottom"/>
            <w:gridSpan w:val="2"/>
            <w:vMerge w:val="restart"/>
          </w:tcPr>
          <w:p>
            <w:pPr>
              <w:spacing w:after="0"/>
              <w:rPr>
                <w:sz w:val="20"/>
                <w:szCs w:val="20"/>
                <w:color w:val="auto"/>
              </w:rPr>
            </w:pPr>
            <w:r>
              <w:rPr>
                <w:rFonts w:ascii="Arial" w:cs="Arial" w:eastAsia="Arial" w:hAnsi="Arial"/>
                <w:sz w:val="18"/>
                <w:szCs w:val="18"/>
                <w:color w:val="auto"/>
              </w:rPr>
              <w:t>Weighted-average number of shares outstanding:(1)</w:t>
            </w:r>
          </w:p>
        </w:tc>
        <w:tc>
          <w:tcPr>
            <w:tcW w:w="5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64"/>
        </w:trPr>
        <w:tc>
          <w:tcPr>
            <w:tcW w:w="68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84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560" w:type="dxa"/>
            <w:vAlign w:val="bottom"/>
          </w:tcPr>
          <w:p>
            <w:pPr>
              <w:jc w:val="right"/>
              <w:spacing w:after="0"/>
              <w:rPr>
                <w:sz w:val="20"/>
                <w:szCs w:val="20"/>
                <w:color w:val="auto"/>
              </w:rPr>
            </w:pPr>
            <w:r>
              <w:rPr>
                <w:rFonts w:ascii="Arial" w:cs="Arial" w:eastAsia="Arial" w:hAnsi="Arial"/>
                <w:sz w:val="18"/>
                <w:szCs w:val="18"/>
                <w:color w:val="auto"/>
              </w:rPr>
              <w:t>2,481</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2,551</w:t>
            </w:r>
          </w:p>
        </w:tc>
        <w:tc>
          <w:tcPr>
            <w:tcW w:w="3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2,632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w w:val="83"/>
              </w:rPr>
              <w:t>17,797</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ind w:left="360"/>
              <w:spacing w:after="0"/>
              <w:rPr>
                <w:sz w:val="20"/>
                <w:szCs w:val="20"/>
                <w:color w:val="auto"/>
              </w:rPr>
            </w:pPr>
            <w:r>
              <w:rPr>
                <w:rFonts w:ascii="Arial" w:cs="Arial" w:eastAsia="Arial" w:hAnsi="Arial"/>
                <w:sz w:val="18"/>
                <w:szCs w:val="18"/>
                <w:color w:val="auto"/>
              </w:rPr>
              <w:t>Diluted</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gridSpan w:val="2"/>
            <w:vMerge w:val="continue"/>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3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2,637</w:t>
            </w:r>
          </w:p>
        </w:tc>
        <w:tc>
          <w:tcPr>
            <w:tcW w:w="2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3"/>
              </w:rPr>
              <w:t>17,797</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860" w:type="dxa"/>
            <w:vAlign w:val="bottom"/>
            <w:tcBorders>
              <w:bottom w:val="single" w:sz="8" w:color="auto"/>
            </w:tcBorders>
          </w:tcPr>
          <w:p>
            <w:pPr>
              <w:spacing w:after="0"/>
              <w:rPr>
                <w:sz w:val="11"/>
                <w:szCs w:val="11"/>
                <w:color w:val="auto"/>
              </w:rPr>
            </w:pPr>
          </w:p>
        </w:tc>
        <w:tc>
          <w:tcPr>
            <w:tcW w:w="39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20" w:right="100" w:hanging="424"/>
        <w:spacing w:after="0" w:line="264" w:lineRule="auto"/>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See Note 2 to our audited consolidated financial statements incorporated by reference in this prospectus for an explanation of the method used to calculate basic and diluted net income (loss) per common share and the weighted-average number of shares used in the computation of the per share amounts.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6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June 30, 2017</w:t>
            </w:r>
          </w:p>
        </w:tc>
        <w:tc>
          <w:tcPr>
            <w:tcW w:w="0" w:type="dxa"/>
            <w:vAlign w:val="bottom"/>
          </w:tcPr>
          <w:p>
            <w:pPr>
              <w:spacing w:after="0"/>
              <w:rPr>
                <w:sz w:val="1"/>
                <w:szCs w:val="1"/>
                <w:color w:val="auto"/>
              </w:rPr>
            </w:pPr>
          </w:p>
        </w:tc>
      </w:tr>
      <w:tr>
        <w:trPr>
          <w:trHeight w:val="171"/>
        </w:trPr>
        <w:tc>
          <w:tcPr>
            <w:tcW w:w="6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119"/>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720" w:type="dxa"/>
            <w:vAlign w:val="bottom"/>
          </w:tcPr>
          <w:p>
            <w:pPr>
              <w:spacing w:after="0"/>
              <w:rPr>
                <w:sz w:val="10"/>
                <w:szCs w:val="10"/>
                <w:color w:val="auto"/>
              </w:rPr>
            </w:pPr>
          </w:p>
        </w:tc>
        <w:tc>
          <w:tcPr>
            <w:tcW w:w="7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rPr>
              <w:t>Actual</w:t>
            </w:r>
          </w:p>
        </w:tc>
        <w:tc>
          <w:tcPr>
            <w:tcW w:w="1100" w:type="dxa"/>
            <w:vAlign w:val="bottom"/>
            <w:tcBorders>
              <w:top w:val="single" w:sz="8" w:color="auto"/>
            </w:tcBorders>
          </w:tcPr>
          <w:p>
            <w:pPr>
              <w:jc w:val="right"/>
              <w:ind w:right="198"/>
              <w:spacing w:after="0" w:line="119" w:lineRule="exact"/>
              <w:rPr>
                <w:sz w:val="20"/>
                <w:szCs w:val="20"/>
                <w:color w:val="auto"/>
              </w:rPr>
            </w:pPr>
            <w:r>
              <w:rPr>
                <w:rFonts w:ascii="Arial" w:cs="Arial" w:eastAsia="Arial" w:hAnsi="Arial"/>
                <w:sz w:val="13"/>
                <w:szCs w:val="13"/>
                <w:b w:val="1"/>
                <w:bCs w:val="1"/>
                <w:color w:val="auto"/>
              </w:rPr>
              <w:t>As</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2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Adjusted(1)</w:t>
            </w:r>
          </w:p>
        </w:tc>
        <w:tc>
          <w:tcPr>
            <w:tcW w:w="0" w:type="dxa"/>
            <w:vAlign w:val="bottom"/>
          </w:tcPr>
          <w:p>
            <w:pPr>
              <w:spacing w:after="0"/>
              <w:rPr>
                <w:sz w:val="1"/>
                <w:szCs w:val="1"/>
                <w:color w:val="auto"/>
              </w:rPr>
            </w:pPr>
          </w:p>
        </w:tc>
      </w:tr>
      <w:tr>
        <w:trPr>
          <w:trHeight w:val="182"/>
        </w:trPr>
        <w:tc>
          <w:tcPr>
            <w:tcW w:w="6420" w:type="dxa"/>
            <w:vAlign w:val="bottom"/>
          </w:tcPr>
          <w:p>
            <w:pPr>
              <w:spacing w:after="0" w:line="182" w:lineRule="exact"/>
              <w:rPr>
                <w:sz w:val="20"/>
                <w:szCs w:val="20"/>
                <w:color w:val="auto"/>
              </w:rPr>
            </w:pPr>
            <w:r>
              <w:rPr>
                <w:rFonts w:ascii="Arial" w:cs="Arial" w:eastAsia="Arial" w:hAnsi="Arial"/>
                <w:sz w:val="18"/>
                <w:szCs w:val="18"/>
                <w:b w:val="1"/>
                <w:bCs w:val="1"/>
                <w:color w:val="auto"/>
              </w:rPr>
              <w:t>Consolidated Balance Sheet Data:</w:t>
            </w:r>
          </w:p>
        </w:tc>
        <w:tc>
          <w:tcPr>
            <w:tcW w:w="27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$ 106,359</w:t>
            </w:r>
          </w:p>
        </w:tc>
        <w:tc>
          <w:tcPr>
            <w:tcW w:w="1100" w:type="dxa"/>
            <w:vAlign w:val="bottom"/>
          </w:tcPr>
          <w:p>
            <w:pPr>
              <w:jc w:val="right"/>
              <w:spacing w:after="0"/>
              <w:rPr>
                <w:sz w:val="20"/>
                <w:szCs w:val="20"/>
                <w:color w:val="auto"/>
              </w:rPr>
            </w:pPr>
            <w:r>
              <w:rPr>
                <w:rFonts w:ascii="Arial" w:cs="Arial" w:eastAsia="Arial" w:hAnsi="Arial"/>
                <w:sz w:val="18"/>
                <w:szCs w:val="18"/>
                <w:color w:val="auto"/>
              </w:rPr>
              <w:t>$ 300,987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Total assets</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130,409</w:t>
            </w:r>
          </w:p>
        </w:tc>
        <w:tc>
          <w:tcPr>
            <w:tcW w:w="1100" w:type="dxa"/>
            <w:vAlign w:val="bottom"/>
          </w:tcPr>
          <w:p>
            <w:pPr>
              <w:jc w:val="right"/>
              <w:spacing w:after="0"/>
              <w:rPr>
                <w:sz w:val="20"/>
                <w:szCs w:val="20"/>
                <w:color w:val="auto"/>
              </w:rPr>
            </w:pPr>
            <w:r>
              <w:rPr>
                <w:rFonts w:ascii="Arial" w:cs="Arial" w:eastAsia="Arial" w:hAnsi="Arial"/>
                <w:sz w:val="18"/>
                <w:szCs w:val="18"/>
                <w:color w:val="auto"/>
              </w:rPr>
              <w:t>325,037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Notes payable, net of current portion</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10,987</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10,987</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3440" w:type="dxa"/>
            <w:vAlign w:val="bottom"/>
            <w:gridSpan w:val="2"/>
          </w:tcPr>
          <w:p>
            <w:pPr>
              <w:jc w:val="right"/>
              <w:spacing w:after="0"/>
              <w:rPr>
                <w:sz w:val="20"/>
                <w:szCs w:val="20"/>
                <w:color w:val="auto"/>
              </w:rPr>
            </w:pPr>
            <w:r>
              <w:rPr>
                <w:rFonts w:ascii="Arial" w:cs="Arial" w:eastAsia="Arial" w:hAnsi="Arial"/>
                <w:sz w:val="18"/>
                <w:szCs w:val="18"/>
                <w:color w:val="auto"/>
              </w:rPr>
              <w:t>109,175</w:t>
            </w:r>
          </w:p>
        </w:tc>
        <w:tc>
          <w:tcPr>
            <w:tcW w:w="1100" w:type="dxa"/>
            <w:vAlign w:val="bottom"/>
          </w:tcPr>
          <w:p>
            <w:pPr>
              <w:jc w:val="right"/>
              <w:spacing w:after="0"/>
              <w:rPr>
                <w:sz w:val="20"/>
                <w:szCs w:val="20"/>
                <w:color w:val="auto"/>
              </w:rPr>
            </w:pPr>
            <w:r>
              <w:rPr>
                <w:rFonts w:ascii="Arial" w:cs="Arial" w:eastAsia="Arial" w:hAnsi="Arial"/>
                <w:sz w:val="18"/>
                <w:szCs w:val="18"/>
                <w:color w:val="auto"/>
              </w:rPr>
              <w:t>303,803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right="400" w:hanging="424"/>
        <w:spacing w:after="0" w:line="308" w:lineRule="auto"/>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as adjusted balance sheet data reflects the sale of 3,000,000 shares of common stock by us in this offering, at the public offering price of $68.50 per share, after deducting the underwriting discounts and commissions and estimated offering expenses payable by us.</w:t>
      </w:r>
    </w:p>
    <w:p>
      <w:pPr>
        <w:spacing w:after="0" w:line="2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60"/>
          </w:cols>
          <w:pgMar w:left="24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Before making your decision to invest in shares of our common stock, you should carefully consider the risks described in Part II, Item 1A of our Quarterly Report on Form 10-Q for the period ended June 30, 2017 and Part I, Item 1A of our Annual Report on Form 10-K for the year ended December 31, 2016, together with all of the other information contained in or incorporated by reference into this prospectus. We cannot assure you that any of the events discussed herein or therein will not occur. These events could have a material and adverse impact on our business, results of operations, financial condition and cash flows. If that were to happen, the trading price of our common stock could decline, and you could lose all or part of your investment.</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this Offering</w:t>
      </w:r>
    </w:p>
    <w:p>
      <w:pPr>
        <w:spacing w:after="0" w:line="22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Our management will have broad discretion over the use of the proceeds we receive in this offering and might not apply the proceeds in ways that increase the value of your investment.</w:t>
      </w:r>
    </w:p>
    <w:p>
      <w:pPr>
        <w:spacing w:after="0" w:line="58" w:lineRule="exact"/>
        <w:rPr>
          <w:sz w:val="20"/>
          <w:szCs w:val="20"/>
          <w:color w:val="auto"/>
        </w:rPr>
      </w:pPr>
    </w:p>
    <w:p>
      <w:pPr>
        <w:ind w:right="200" w:firstLine="456"/>
        <w:spacing w:after="0" w:line="270" w:lineRule="auto"/>
        <w:rPr>
          <w:sz w:val="20"/>
          <w:szCs w:val="20"/>
          <w:color w:val="auto"/>
        </w:rPr>
      </w:pPr>
      <w:r>
        <w:rPr>
          <w:rFonts w:ascii="Arial" w:cs="Arial" w:eastAsia="Arial" w:hAnsi="Arial"/>
          <w:sz w:val="17"/>
          <w:szCs w:val="17"/>
          <w:color w:val="auto"/>
        </w:rPr>
        <w:t>Our management will have broad discretion to use the net proceeds from this offering, including for any of the purposes described in the section entitled “Use of Proceeds,” and you will be relying on the judgment of our management regarding the application of these proceeds. You will not have the opportunity to influence our decisions on how to use the proceeds, and we may not apply the net proceeds of this offering in ways that increase the value of your investment.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intend to invest the net proceeds from this offering in marketable securities that may include investment-grade interest-bearing securities, money market accounts, certificates of deposit, commercial paper and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you purchase our common stock in this offering, you will incur immediate and substantial dilution in the book value of your shares.</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You will suffer immediate and substantial dilution in the net tangible book value of our common stock you purchase in this offering. At the public offering price of $68.50 per share, purchasers of common stock in this offering will experience immediate dilution of $55.46 per share in net tangible book value of our common stock. In the past, we issued options, warrants and other securities to acquire common stock at prices below the public offering price. To the extent these outstanding securities are ultimately exercised, or we issue equity or convertible debt securities in the future at a price less than the public offering price, investors purchasing common stock in this offering will sustain further dilution. See “Dilution” for a more detailed description of the dilution to new investors in the offering.</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This prospectus and the documents incorporated by reference into this prospectus, including the sections entitled “Prospectus Summary,” “Risk Factors,” “Use of Proceeds,” “Management’s Discussion and Analysis of Financial Condition and Results of Operations,” and “Business”, contains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7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forward-looking statements in this prospectus and the documents incorporated by reference into this prospectus include, among other things, statements about:</w:t>
      </w:r>
    </w:p>
    <w:p>
      <w:pPr>
        <w:spacing w:after="0" w:line="76"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ongoing and planned clinical trials;</w:t>
      </w:r>
    </w:p>
    <w:p>
      <w:pPr>
        <w:spacing w:after="0" w:line="130" w:lineRule="exact"/>
        <w:rPr>
          <w:rFonts w:ascii="Arial" w:cs="Arial" w:eastAsia="Arial" w:hAnsi="Arial"/>
          <w:sz w:val="18"/>
          <w:szCs w:val="18"/>
          <w:color w:val="auto"/>
        </w:rPr>
      </w:pPr>
    </w:p>
    <w:p>
      <w:pPr>
        <w:ind w:left="660" w:right="400" w:hanging="20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plans to develop and commercialize antibodies, including our lead product candidates ANB020 for patients with severe allergic and atopic diseases and ANB019 for patients with GPP and PPP;</w:t>
      </w:r>
    </w:p>
    <w:p>
      <w:pPr>
        <w:spacing w:after="0" w:line="75" w:lineRule="exact"/>
        <w:rPr>
          <w:rFonts w:ascii="Arial" w:cs="Arial" w:eastAsia="Arial" w:hAnsi="Arial"/>
          <w:sz w:val="18"/>
          <w:szCs w:val="18"/>
          <w:color w:val="auto"/>
        </w:rPr>
      </w:pPr>
    </w:p>
    <w:p>
      <w:pPr>
        <w:ind w:left="660" w:right="360" w:hanging="206"/>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likelihood that the clinical data generated in any study we are performing or plan to perform in a non-U.S. jurisdiction will be subsequently accepted by the FDA and its foreign regulatory authorities outside of the jurisdiction where the study was being performed;</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and ability of our collaborators to develop and commercialize our partnered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benefits and advantages of our product candidates and approaches versus those of our competitors;</w:t>
      </w:r>
    </w:p>
    <w:p>
      <w:pPr>
        <w:spacing w:after="0" w:line="130" w:lineRule="exact"/>
        <w:rPr>
          <w:rFonts w:ascii="Arial" w:cs="Arial" w:eastAsia="Arial" w:hAnsi="Arial"/>
          <w:sz w:val="18"/>
          <w:szCs w:val="18"/>
          <w:color w:val="auto"/>
        </w:rPr>
      </w:pPr>
    </w:p>
    <w:p>
      <w:pPr>
        <w:ind w:left="660" w:right="40" w:hanging="206"/>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execute on our strategy, including advancing our lead product candidates, identifying emerging opportunities in key therapeutic areas, continuing to expand our wholly-owned pipeline and retaining rights to strategic products in key commercial markets;</w:t>
      </w:r>
    </w:p>
    <w:p>
      <w:pPr>
        <w:spacing w:after="0" w:line="51" w:lineRule="exact"/>
        <w:rPr>
          <w:rFonts w:ascii="Arial" w:cs="Arial" w:eastAsia="Arial" w:hAnsi="Arial"/>
          <w:sz w:val="17"/>
          <w:szCs w:val="17"/>
          <w:color w:val="auto"/>
        </w:rPr>
      </w:pPr>
    </w:p>
    <w:p>
      <w:pPr>
        <w:ind w:left="660" w:hanging="20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commercialization of our product candidates;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approvals for ANB020 and ANB019 and our other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approved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any approved product candidates, and our ability to serve those markets;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developments in the United States, the United Kingdom, Australia and other foreign countries;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130" w:lineRule="exact"/>
        <w:rPr>
          <w:rFonts w:ascii="Arial" w:cs="Arial" w:eastAsia="Arial" w:hAnsi="Arial"/>
          <w:sz w:val="18"/>
          <w:szCs w:val="18"/>
          <w:color w:val="auto"/>
        </w:rPr>
      </w:pPr>
    </w:p>
    <w:p>
      <w:pPr>
        <w:ind w:left="660" w:right="460" w:hanging="20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identify additional products or product candidates with significant commercial potential that are consistent with our commercial objectives;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20"/>
          </w:cols>
          <w:pgMar w:left="240" w:top="45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or incorporated by reference in “Risk Factors” and elsewhere in this prospectus.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78"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 except as required by law.</w:t>
      </w:r>
    </w:p>
    <w:p>
      <w:pPr>
        <w:spacing w:after="0" w:line="171"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You should read this prospectus, the documents incorporated by reference into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Unless otherwise indicated, information contained in or incorporated by reference into this prospectus concerning our industry and the markets in which we operate, including our general expectations and market position, market opportunity, and market size, is based on information from various sources and on assumptions that we have made that are based on those data and other similar sources and on our knowledge of the markets for our products. This information involves a number of assumptions and limitations, and you are cautioned not to give undue weight to such estimates. While we believe the market position, market opportunity and market size information included in or incorporated by reference into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in the documents incorporated by reference into this prospectus. These and other factors could cause results to differ materially from those expressed in the estimates made by the independent parties and by us.</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We estimate that the net proceeds from our sale of 3,000,000 shares of common stock in this offering at the public offering price of $68.50 per share, after deducting the underwriting discounts and commissions and estimated offering expenses payable by us, will be approximately $194.6 million, or $223.8 million if the underwriters exercise their option to purchase additional shares in full.</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currently intend to use the net proceeds we receive from this offering, together with our existing cash, cash equivalents and investments, to fund research and development activities for our clinical development programs, including, but not limited to, our ongoing and planned clinical trials for ANB020 and ANB019, including related manufacturing costs, and our ongoing preclinical, discovery and research programs, and for working capital and other general corporate purposes.</w:t>
      </w:r>
    </w:p>
    <w:p>
      <w:pPr>
        <w:spacing w:after="0" w:line="187" w:lineRule="exact"/>
        <w:rPr>
          <w:sz w:val="20"/>
          <w:szCs w:val="20"/>
          <w:color w:val="auto"/>
        </w:rPr>
      </w:pPr>
    </w:p>
    <w:p>
      <w:pPr>
        <w:ind w:right="560" w:firstLine="456"/>
        <w:spacing w:after="0" w:line="308" w:lineRule="auto"/>
        <w:rPr>
          <w:sz w:val="20"/>
          <w:szCs w:val="20"/>
          <w:color w:val="auto"/>
        </w:rPr>
      </w:pPr>
      <w:r>
        <w:rPr>
          <w:rFonts w:ascii="Arial" w:cs="Arial" w:eastAsia="Arial" w:hAnsi="Arial"/>
          <w:sz w:val="17"/>
          <w:szCs w:val="17"/>
          <w:color w:val="auto"/>
        </w:rPr>
        <w:t>Based on our planned use of the net proceeds, we estimate such funds, together with our existing cash, cash equivalents and investments, will be sufficient for us to fund our operating expenses and capital expenditure requirements through at least the next 24 months.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expected use of the net proceeds from this offering represents our intentions based upon our current plans and business conditions. As of the date of this prospectus, we cannot predict with any certainty all of the particular uses for the net proceeds or the amounts that we will actually spend on the uses set forth above. We may use a portion of the net proceeds for the acquisition of, or investment in, technologies, solutions or businesses that complement our business, although we have no present commitments or agreements to do so.</w:t>
      </w:r>
    </w:p>
    <w:p>
      <w:pPr>
        <w:spacing w:after="0" w:line="18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The amounts and timing of our clinical expenditures and the extent of clinical development may vary significantly depending on numerous factors, including the status, results and timing of our current and planned preclinical studies and clinical trials, product approval process with the FDA and other regulatory agencies, our current collaborations and any new collaborations we may enter into with third parties and any unforeseen cash needs. As a result, our management will retain broad discretion over the allocation of the net proceeds from this offering.</w:t>
      </w:r>
    </w:p>
    <w:p>
      <w:pPr>
        <w:spacing w:after="0" w:line="171"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expected net proceeds of this offering will not be sufficient for us to fund any of our product candidates through regulatory approval, and we will need to raise substantial additional capital to complete the development and commercialization of our product candidates.</w:t>
      </w:r>
    </w:p>
    <w:p>
      <w:pPr>
        <w:spacing w:after="0" w:line="147"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Pending their use as described above, we intend to invest the net proceeds from this offering in short term and long-term, investment-grade interest-bearing securities such as money market accounts, certificates of deposit, commercial paper and guaranteed obligations of the U.S. government.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PRICE OF OUR COMMON STOCK</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common stock has been listed on The NASDAQ Global Select Market under the symbol “ANAB” since January 25, 2017. Prior to that date, there was no public trading market for our common stock. The following table sets forth for the periods indicated the high and low sale prices per share of our common stock as reported on The NASDAQ Global Select Market for the periods indicated: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Fiscal Year 2017</w:t>
            </w:r>
          </w:p>
        </w:tc>
        <w:tc>
          <w:tcPr>
            <w:tcW w:w="344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High</w:t>
            </w:r>
          </w:p>
        </w:tc>
        <w:tc>
          <w:tcPr>
            <w:tcW w:w="18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182"/>
        </w:trPr>
        <w:tc>
          <w:tcPr>
            <w:tcW w:w="6540" w:type="dxa"/>
            <w:vAlign w:val="bottom"/>
            <w:vMerge w:val="continue"/>
          </w:tcPr>
          <w:p>
            <w:pPr>
              <w:spacing w:after="0"/>
              <w:rPr>
                <w:sz w:val="15"/>
                <w:szCs w:val="15"/>
                <w:color w:val="auto"/>
              </w:rPr>
            </w:pPr>
          </w:p>
        </w:tc>
        <w:tc>
          <w:tcPr>
            <w:tcW w:w="344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First Quarter (beginning January 25, 2017)</w:t>
            </w:r>
          </w:p>
        </w:tc>
        <w:tc>
          <w:tcPr>
            <w:tcW w:w="4140" w:type="dxa"/>
            <w:vAlign w:val="bottom"/>
            <w:gridSpan w:val="3"/>
          </w:tcPr>
          <w:p>
            <w:pPr>
              <w:jc w:val="center"/>
              <w:ind w:left="3150"/>
              <w:spacing w:after="0"/>
              <w:rPr>
                <w:sz w:val="20"/>
                <w:szCs w:val="20"/>
                <w:color w:val="auto"/>
              </w:rPr>
            </w:pPr>
            <w:r>
              <w:rPr>
                <w:rFonts w:ascii="Arial" w:cs="Arial" w:eastAsia="Arial" w:hAnsi="Arial"/>
                <w:sz w:val="18"/>
                <w:szCs w:val="18"/>
                <w:color w:val="auto"/>
                <w:w w:val="90"/>
              </w:rPr>
              <w:t>$29.96</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$15.17</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Second Quarter</w:t>
            </w:r>
          </w:p>
        </w:tc>
        <w:tc>
          <w:tcPr>
            <w:tcW w:w="4140" w:type="dxa"/>
            <w:vAlign w:val="bottom"/>
            <w:gridSpan w:val="3"/>
          </w:tcPr>
          <w:p>
            <w:pPr>
              <w:jc w:val="center"/>
              <w:ind w:left="3150"/>
              <w:spacing w:after="0"/>
              <w:rPr>
                <w:sz w:val="20"/>
                <w:szCs w:val="20"/>
                <w:color w:val="auto"/>
              </w:rPr>
            </w:pPr>
            <w:r>
              <w:rPr>
                <w:rFonts w:ascii="Arial" w:cs="Arial" w:eastAsia="Arial" w:hAnsi="Arial"/>
                <w:sz w:val="18"/>
                <w:szCs w:val="18"/>
                <w:color w:val="auto"/>
                <w:w w:val="90"/>
              </w:rPr>
              <w:t>$28.40</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$18.15</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Third Quarter</w:t>
            </w:r>
          </w:p>
        </w:tc>
        <w:tc>
          <w:tcPr>
            <w:tcW w:w="4140" w:type="dxa"/>
            <w:vAlign w:val="bottom"/>
            <w:gridSpan w:val="3"/>
          </w:tcPr>
          <w:p>
            <w:pPr>
              <w:jc w:val="center"/>
              <w:ind w:left="3150"/>
              <w:spacing w:after="0"/>
              <w:rPr>
                <w:sz w:val="20"/>
                <w:szCs w:val="20"/>
                <w:color w:val="auto"/>
              </w:rPr>
            </w:pPr>
            <w:r>
              <w:rPr>
                <w:rFonts w:ascii="Arial" w:cs="Arial" w:eastAsia="Arial" w:hAnsi="Arial"/>
                <w:sz w:val="18"/>
                <w:szCs w:val="18"/>
                <w:color w:val="auto"/>
                <w:w w:val="90"/>
              </w:rPr>
              <w:t>$37.62</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$20.12</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Fourth Quarter (through October 12, 2017)</w:t>
            </w:r>
          </w:p>
        </w:tc>
        <w:tc>
          <w:tcPr>
            <w:tcW w:w="4140" w:type="dxa"/>
            <w:vAlign w:val="bottom"/>
            <w:gridSpan w:val="3"/>
          </w:tcPr>
          <w:p>
            <w:pPr>
              <w:jc w:val="center"/>
              <w:ind w:left="3150"/>
              <w:spacing w:after="0"/>
              <w:rPr>
                <w:sz w:val="20"/>
                <w:szCs w:val="20"/>
                <w:color w:val="auto"/>
              </w:rPr>
            </w:pPr>
            <w:r>
              <w:rPr>
                <w:rFonts w:ascii="Arial" w:cs="Arial" w:eastAsia="Arial" w:hAnsi="Arial"/>
                <w:sz w:val="18"/>
                <w:szCs w:val="18"/>
                <w:color w:val="auto"/>
                <w:w w:val="90"/>
              </w:rPr>
              <w:t>$74.00</w:t>
            </w:r>
          </w:p>
        </w:tc>
        <w:tc>
          <w:tcPr>
            <w:tcW w:w="6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$34.56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On October 12, 2017, the last reported sale price of our common stock on The NASDAQ Global Select Market was $70.80 per share. As of June 30, 2017, we had 95 registered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will be made at the discretion of our board of directors and will depend on our financial condition, operating results, capital requirements, general business conditions and other factors that our board of directors may deem relevant. In addition, under the terms of our current credit facility, we are prohibited from paying cash dividends without the consent of Silicon Valley Bank.</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cash equivalents and short-term investments and capitalization as of June 30, 2017 on:</w:t>
      </w:r>
    </w:p>
    <w:p>
      <w:pPr>
        <w:spacing w:after="0" w:line="131" w:lineRule="exact"/>
        <w:rPr>
          <w:sz w:val="20"/>
          <w:szCs w:val="20"/>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actual basis;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 as adjusted basis, giving effect to the sale of 3,000,000 shares of common stock by us in this offering, at the public offering price of $68.50, after</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deducting the underwriting discounts and commissions and estimated offering expenses payable by us.</w:t>
      </w:r>
    </w:p>
    <w:p>
      <w:pPr>
        <w:spacing w:after="0" w:line="9"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color w:val="auto"/>
        </w:rPr>
        <w:t>You should read this table together with “Management’s Discussion and Analysis of Financial Condition and Results of Operations” and our audited and unaudited consolidated financial statements and related notes incorporated by reference into this prospectus.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90"/>
              </w:rPr>
              <w:t>As of June 30, 2017</w:t>
            </w:r>
          </w:p>
        </w:tc>
        <w:tc>
          <w:tcPr>
            <w:tcW w:w="0" w:type="dxa"/>
            <w:vAlign w:val="bottom"/>
          </w:tcPr>
          <w:p>
            <w:pPr>
              <w:spacing w:after="0"/>
              <w:rPr>
                <w:sz w:val="1"/>
                <w:szCs w:val="1"/>
                <w:color w:val="auto"/>
              </w:rPr>
            </w:pPr>
          </w:p>
        </w:tc>
      </w:tr>
      <w:tr>
        <w:trPr>
          <w:trHeight w:val="171"/>
        </w:trPr>
        <w:tc>
          <w:tcPr>
            <w:tcW w:w="9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par value data)</w:t>
            </w: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center"/>
              <w:ind w:left="394"/>
              <w:spacing w:after="0"/>
              <w:rPr>
                <w:sz w:val="20"/>
                <w:szCs w:val="20"/>
                <w:color w:val="auto"/>
              </w:rPr>
            </w:pPr>
            <w:r>
              <w:rPr>
                <w:rFonts w:ascii="Arial" w:cs="Arial" w:eastAsia="Arial" w:hAnsi="Arial"/>
                <w:sz w:val="14"/>
                <w:szCs w:val="14"/>
                <w:b w:val="1"/>
                <w:bCs w:val="1"/>
                <w:color w:val="auto"/>
                <w:w w:val="94"/>
              </w:rPr>
              <w:t>(unaudited)</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w w:val="98"/>
              </w:rPr>
              <w:t>Actual</w:t>
            </w:r>
          </w:p>
        </w:tc>
        <w:tc>
          <w:tcPr>
            <w:tcW w:w="20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20" w:type="dxa"/>
            <w:vAlign w:val="bottom"/>
          </w:tcPr>
          <w:p>
            <w:pPr>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106,359</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300,987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vMerge w:val="restart"/>
          </w:tcPr>
          <w:p>
            <w:pPr>
              <w:spacing w:after="0"/>
              <w:rPr>
                <w:sz w:val="20"/>
                <w:szCs w:val="20"/>
                <w:color w:val="auto"/>
              </w:rPr>
            </w:pPr>
            <w:r>
              <w:rPr>
                <w:rFonts w:ascii="Arial" w:cs="Arial" w:eastAsia="Arial" w:hAnsi="Arial"/>
                <w:sz w:val="18"/>
                <w:szCs w:val="18"/>
                <w:color w:val="auto"/>
              </w:rPr>
              <w:t>Notes payable, net of current portion</w:t>
            </w:r>
          </w:p>
        </w:tc>
        <w:tc>
          <w:tcPr>
            <w:tcW w:w="1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20" w:type="dxa"/>
            <w:vAlign w:val="bottom"/>
            <w:vMerge w:val="continue"/>
          </w:tcPr>
          <w:p>
            <w:pPr>
              <w:spacing w:after="0"/>
              <w:rPr>
                <w:sz w:val="17"/>
                <w:szCs w:val="17"/>
                <w:color w:val="auto"/>
              </w:rPr>
            </w:pPr>
          </w:p>
        </w:tc>
        <w:tc>
          <w:tcPr>
            <w:tcW w:w="1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10,987</w:t>
            </w:r>
          </w:p>
        </w:tc>
        <w:tc>
          <w:tcPr>
            <w:tcW w:w="2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10,987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94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w w:val="92"/>
              </w:rPr>
              <w:t>Preferred Stock, $0.001 par value; 10,000,000 shares authorized, no shares issued or outstanding, actual and as adjusted</w:t>
            </w:r>
          </w:p>
        </w:tc>
        <w:tc>
          <w:tcPr>
            <w:tcW w:w="10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w w:val="96"/>
              </w:rPr>
              <w:t>Common stock, $0.001 par value; 500,000,000 shares authorized, 20,289,907 shares issued and outstanding, actual;</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20" w:type="dxa"/>
            <w:vAlign w:val="bottom"/>
          </w:tcPr>
          <w:p>
            <w:pPr>
              <w:ind w:left="540"/>
              <w:spacing w:after="0"/>
              <w:rPr>
                <w:sz w:val="20"/>
                <w:szCs w:val="20"/>
                <w:color w:val="auto"/>
              </w:rPr>
            </w:pPr>
            <w:r>
              <w:rPr>
                <w:rFonts w:ascii="Arial" w:cs="Arial" w:eastAsia="Arial" w:hAnsi="Arial"/>
                <w:sz w:val="18"/>
                <w:szCs w:val="18"/>
                <w:color w:val="auto"/>
              </w:rPr>
              <w:t>500,000,000 shares authorized, 23,289,907 shares issued and outstanding, as adjusted</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Additional paid in capital</w:t>
            </w:r>
          </w:p>
        </w:tc>
        <w:tc>
          <w:tcPr>
            <w:tcW w:w="1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9"/>
              </w:rPr>
              <w:t>178,297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372,922</w:t>
            </w:r>
          </w:p>
        </w:tc>
        <w:tc>
          <w:tcPr>
            <w:tcW w:w="0" w:type="dxa"/>
            <w:vAlign w:val="bottom"/>
          </w:tcPr>
          <w:p>
            <w:pPr>
              <w:spacing w:after="0"/>
              <w:rPr>
                <w:sz w:val="1"/>
                <w:szCs w:val="1"/>
                <w:color w:val="auto"/>
              </w:rPr>
            </w:pPr>
          </w:p>
        </w:tc>
      </w:tr>
      <w:tr>
        <w:trPr>
          <w:trHeight w:val="216"/>
        </w:trPr>
        <w:tc>
          <w:tcPr>
            <w:tcW w:w="942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942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8"/>
                <w:szCs w:val="18"/>
                <w:color w:val="auto"/>
                <w:w w:val="92"/>
              </w:rPr>
              <w:t>(69,083)</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(69,083)</w:t>
            </w:r>
          </w:p>
        </w:tc>
        <w:tc>
          <w:tcPr>
            <w:tcW w:w="0" w:type="dxa"/>
            <w:vAlign w:val="bottom"/>
          </w:tcPr>
          <w:p>
            <w:pPr>
              <w:spacing w:after="0"/>
              <w:rPr>
                <w:sz w:val="1"/>
                <w:szCs w:val="1"/>
                <w:color w:val="auto"/>
              </w:rPr>
            </w:pPr>
          </w:p>
        </w:tc>
      </w:tr>
      <w:tr>
        <w:trPr>
          <w:trHeight w:val="230"/>
        </w:trPr>
        <w:tc>
          <w:tcPr>
            <w:tcW w:w="942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109,175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303,803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420" w:type="dxa"/>
            <w:vAlign w:val="bottom"/>
          </w:tcPr>
          <w:p>
            <w:pPr>
              <w:ind w:left="1080"/>
              <w:spacing w:after="0"/>
              <w:rPr>
                <w:sz w:val="20"/>
                <w:szCs w:val="20"/>
                <w:color w:val="auto"/>
              </w:rPr>
            </w:pPr>
            <w:r>
              <w:rPr>
                <w:rFonts w:ascii="Arial" w:cs="Arial" w:eastAsia="Arial" w:hAnsi="Arial"/>
                <w:sz w:val="18"/>
                <w:szCs w:val="18"/>
                <w:color w:val="auto"/>
              </w:rPr>
              <w:t>Total capitalization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120,330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314,958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20,289,907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excludes:</w:t>
      </w:r>
    </w:p>
    <w:p>
      <w:pPr>
        <w:spacing w:after="0" w:line="116" w:lineRule="exact"/>
        <w:rPr>
          <w:sz w:val="20"/>
          <w:szCs w:val="20"/>
          <w:color w:val="auto"/>
        </w:rPr>
      </w:pPr>
    </w:p>
    <w:p>
      <w:pPr>
        <w:ind w:left="660" w:right="80" w:hanging="20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2,643,180 shares of common stock issuable upon the exercise of options outstanding as of June 30, 2017, with a weighted-average exercise price of $10.62 per share;</w:t>
      </w:r>
    </w:p>
    <w:p>
      <w:pPr>
        <w:spacing w:after="0" w:line="75"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96,965 shares of common stock issuable upon the exercise of options granted after June 30, 2017, with a weighted-average exercise price of $26.77 per share;</w:t>
      </w:r>
    </w:p>
    <w:p>
      <w:pPr>
        <w:spacing w:after="0" w:line="75" w:lineRule="exact"/>
        <w:rPr>
          <w:rFonts w:ascii="Arial" w:cs="Arial" w:eastAsia="Arial" w:hAnsi="Arial"/>
          <w:sz w:val="18"/>
          <w:szCs w:val="18"/>
          <w:color w:val="auto"/>
        </w:rPr>
      </w:pPr>
    </w:p>
    <w:p>
      <w:pPr>
        <w:ind w:left="660" w:right="40" w:hanging="206"/>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198,009 shares of our common stock issuable upon exercise of warrants for shares of common stock that were outstanding as of June 30, 2017, with an exercise price of $4.55 per share; and</w:t>
      </w:r>
    </w:p>
    <w:p>
      <w:pPr>
        <w:spacing w:after="0" w:line="75" w:lineRule="exact"/>
        <w:rPr>
          <w:rFonts w:ascii="Arial" w:cs="Arial" w:eastAsia="Arial" w:hAnsi="Arial"/>
          <w:sz w:val="18"/>
          <w:szCs w:val="18"/>
          <w:color w:val="auto"/>
        </w:rPr>
      </w:pPr>
    </w:p>
    <w:p>
      <w:pPr>
        <w:ind w:left="660" w:right="100" w:hanging="206"/>
        <w:spacing w:after="0" w:line="273"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1,462,014 shares of common stock reserved for future issuance under our stock-based compensation plans, consisting of (a) 1,244,014 shares of common stock reserved for future issuance under our 2017 Equity Incentive Plan and (b) 218,000 shares of common stock reserved for future issuance under our 2017 Employee Stock Purchase Plan. Our 2017 Equity Incentive Plan and 2017 Employee Stock Purchase Plan also provide for automatic annual increases in the number of shares reserved under the plans each year, as more fully described in the section “Executive Compensation—Employee Benefit and Stock Plans” of our Quarterly Report on Form 10-Q for the period ended June 30, 2017 and our Annual Report on Form 10-K for the year ended December 31, 2016.</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If you invest in our common stock, your interest will be diluted to the extent of the difference between the amount per share paid by purchasers of shares of common stock in this offering and the as adjusted net tangible book value per share of common stock immediately after this offering.</w:t>
      </w:r>
    </w:p>
    <w:p>
      <w:pPr>
        <w:spacing w:after="0" w:line="124"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As of June 30, 2017, our net tangible book value was approximately $109.2 million, or $5.38 per share of common stock. Our net tangible book value per share represents the amount of our total tangible assets reduced by the amount of our total liabilities and divided by the total number of shares of our common stock outstanding as of June 30, 2017.</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After giving effect to our sale in this offering of 3,000,000 shares of our common stock at the public offering price of $68.50 per share, and after deducting the underwriting discounts and commissions and estimated offering expenses payable by us, our net tangible book value as of June 30, 2017 would have been approximately $303.8 million, or $13.04 per share of common stock. This represents an immediate increase in net tangible book value of $7.66 per share to our existing stockholders and an immediate dilution of $55.46 per share to investors purchasing shares in this offering,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Public offering price per share</w:t>
            </w:r>
          </w:p>
        </w:tc>
        <w:tc>
          <w:tcPr>
            <w:tcW w:w="1320" w:type="dxa"/>
            <w:vAlign w:val="bottom"/>
            <w:gridSpan w:val="5"/>
          </w:tcPr>
          <w:p>
            <w:pPr>
              <w:jc w:val="right"/>
              <w:ind w:right="20"/>
              <w:spacing w:after="0"/>
              <w:rPr>
                <w:sz w:val="20"/>
                <w:szCs w:val="20"/>
                <w:color w:val="auto"/>
              </w:rPr>
            </w:pPr>
            <w:r>
              <w:rPr>
                <w:rFonts w:ascii="Arial" w:cs="Arial" w:eastAsia="Arial" w:hAnsi="Arial"/>
                <w:sz w:val="18"/>
                <w:szCs w:val="18"/>
                <w:color w:val="auto"/>
              </w:rPr>
              <w:t>$68.50</w:t>
            </w:r>
          </w:p>
        </w:tc>
      </w:tr>
      <w:tr>
        <w:trPr>
          <w:trHeight w:val="216"/>
        </w:trPr>
        <w:tc>
          <w:tcPr>
            <w:tcW w:w="1006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 June 30, 2017</w:t>
            </w:r>
          </w:p>
        </w:tc>
        <w:tc>
          <w:tcPr>
            <w:tcW w:w="800" w:type="dxa"/>
            <w:vAlign w:val="bottom"/>
            <w:gridSpan w:val="2"/>
          </w:tcPr>
          <w:p>
            <w:pPr>
              <w:jc w:val="right"/>
              <w:ind w:right="290"/>
              <w:spacing w:after="0"/>
              <w:rPr>
                <w:sz w:val="20"/>
                <w:szCs w:val="20"/>
                <w:color w:val="auto"/>
              </w:rPr>
            </w:pPr>
            <w:r>
              <w:rPr>
                <w:rFonts w:ascii="Arial" w:cs="Arial" w:eastAsia="Arial" w:hAnsi="Arial"/>
                <w:sz w:val="18"/>
                <w:szCs w:val="18"/>
                <w:color w:val="auto"/>
                <w:w w:val="88"/>
              </w:rPr>
              <w:t>$5.38</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0060" w:type="dxa"/>
            <w:vAlign w:val="bottom"/>
          </w:tcPr>
          <w:p>
            <w:pPr>
              <w:ind w:left="360"/>
              <w:spacing w:after="0"/>
              <w:rPr>
                <w:sz w:val="20"/>
                <w:szCs w:val="20"/>
                <w:color w:val="auto"/>
              </w:rPr>
            </w:pPr>
            <w:r>
              <w:rPr>
                <w:rFonts w:ascii="Arial" w:cs="Arial" w:eastAsia="Arial" w:hAnsi="Arial"/>
                <w:sz w:val="18"/>
                <w:szCs w:val="18"/>
                <w:color w:val="auto"/>
              </w:rPr>
              <w:t>Increase in net tangible book value per share attributable to new investors</w:t>
            </w:r>
          </w:p>
        </w:tc>
        <w:tc>
          <w:tcPr>
            <w:tcW w:w="800" w:type="dxa"/>
            <w:vAlign w:val="bottom"/>
            <w:gridSpan w:val="2"/>
          </w:tcPr>
          <w:p>
            <w:pPr>
              <w:jc w:val="right"/>
              <w:ind w:right="290"/>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420" w:type="dxa"/>
            <w:vAlign w:val="bottom"/>
            <w:tcBorders>
              <w:top w:val="single" w:sz="8" w:color="auto"/>
            </w:tcBorders>
          </w:tcPr>
          <w:p>
            <w:pPr>
              <w:spacing w:after="0"/>
              <w:rPr>
                <w:sz w:val="19"/>
                <w:szCs w:val="19"/>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13.04</w:t>
            </w:r>
          </w:p>
        </w:tc>
      </w:tr>
      <w:tr>
        <w:trPr>
          <w:trHeight w:val="223"/>
        </w:trPr>
        <w:tc>
          <w:tcPr>
            <w:tcW w:w="10060" w:type="dxa"/>
            <w:vAlign w:val="bottom"/>
          </w:tcPr>
          <w:p>
            <w:pPr>
              <w:spacing w:after="0"/>
              <w:rPr>
                <w:sz w:val="20"/>
                <w:szCs w:val="20"/>
                <w:color w:val="auto"/>
              </w:rPr>
            </w:pPr>
            <w:r>
              <w:rPr>
                <w:rFonts w:ascii="Arial" w:cs="Arial" w:eastAsia="Arial" w:hAnsi="Arial"/>
                <w:sz w:val="18"/>
                <w:szCs w:val="18"/>
                <w:color w:val="auto"/>
              </w:rPr>
              <w:t>Dilution per share to investors in this offering</w:t>
            </w:r>
          </w:p>
        </w:tc>
        <w:tc>
          <w:tcPr>
            <w:tcW w:w="8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55.46</w:t>
            </w:r>
          </w:p>
        </w:tc>
        <w:tc>
          <w:tcPr>
            <w:tcW w:w="20" w:type="dxa"/>
            <w:vAlign w:val="bottom"/>
            <w:tcBorders>
              <w:bottom w:val="single" w:sz="8" w:color="auto"/>
            </w:tcBorders>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If the underwriters exercise their option in full to purchase additional shares, the net tangible book value per share of our common stock after giving effect to this offering would be $14.03 per share, and the dilution in net tangible book value per share to investors in this offering would be $54.47 per share.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number of shares of our common stock to be outstanding after this offering is based on 20,289,907 shares of our common stock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2017, and excludes:</w:t>
      </w:r>
    </w:p>
    <w:p>
      <w:pPr>
        <w:spacing w:after="0" w:line="116" w:lineRule="exact"/>
        <w:rPr>
          <w:sz w:val="20"/>
          <w:szCs w:val="20"/>
          <w:color w:val="auto"/>
        </w:rPr>
      </w:pPr>
    </w:p>
    <w:p>
      <w:pPr>
        <w:ind w:left="660" w:right="60" w:hanging="20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2,643,180 shares of common stock issuable upon the exercise of options outstanding as of June 30, 2017, with a weighted-average exercise price of $10.62 per share;</w:t>
      </w:r>
    </w:p>
    <w:p>
      <w:pPr>
        <w:spacing w:after="0" w:line="75"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96,965 shares of common stock issuable upon the exercise of options granted after June 30, 2017, with a weighted-average exercise price of $26.77 per share;</w:t>
      </w:r>
    </w:p>
    <w:p>
      <w:pPr>
        <w:spacing w:after="0" w:line="75" w:lineRule="exact"/>
        <w:rPr>
          <w:rFonts w:ascii="Arial" w:cs="Arial" w:eastAsia="Arial" w:hAnsi="Arial"/>
          <w:sz w:val="18"/>
          <w:szCs w:val="18"/>
          <w:color w:val="auto"/>
        </w:rPr>
      </w:pPr>
    </w:p>
    <w:p>
      <w:pPr>
        <w:ind w:left="660" w:right="20" w:hanging="206"/>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198,009 shares of our common stock issuable upon exercise of warrants for shares of common stock that were outstanding as of June 30, 2017, with an exercise price of $4.55 per share; and</w:t>
      </w:r>
    </w:p>
    <w:p>
      <w:pPr>
        <w:spacing w:after="0" w:line="75" w:lineRule="exact"/>
        <w:rPr>
          <w:rFonts w:ascii="Arial" w:cs="Arial" w:eastAsia="Arial" w:hAnsi="Arial"/>
          <w:sz w:val="18"/>
          <w:szCs w:val="18"/>
          <w:color w:val="auto"/>
        </w:rPr>
      </w:pPr>
    </w:p>
    <w:p>
      <w:pPr>
        <w:ind w:left="660" w:right="80" w:hanging="206"/>
        <w:spacing w:after="0" w:line="273"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1,462,014 shares of common stock reserved for future issuance under our stock-based compensation plans, consisting of (a) 1,244,014 shares of common stock reserved for future issuance under our 2017 Equity Incentive Plan and (b) 218,000 shares of common stock reserved for future issuance under our 2017 Employee Stock Purchase Plan. Our 2017 Equity Incentive Plan and 2017 Employee Stock Purchase Plan also provide for automatic annual increases in the number of shares reserved under the plans each year, as more fully described in the section “Executive Compensation—Employee Benefit and Stock Plans” of our Quarterly Report on Form 10-Q for the period ended June 30, 2017 and our Annual Report on Form 10-K for the year ended December 31, 2016.</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To the extent that options or warrants outstanding as of June 30, 2017 have been or may be exercised, or we issue new options or warrants,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describe below transactions and series of similar transactions since January 1, 2014 to which we were a party or will be a party, in which:</w:t>
      </w:r>
    </w:p>
    <w:p>
      <w:pPr>
        <w:spacing w:after="0" w:line="142"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660" w:right="380" w:hanging="206"/>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or any member of the immediate family of the foregoing persons, had or will have a direct or indirect material interest.</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to which we have been or will be a party other than compensation arrangements, which are described where required under the section entitled “Executive Compensation” in our Annual Report on Form 10-K for the year ended December 31, 2016.</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Equity Financings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Series C-1 Preferred Stock Financing</w:t>
      </w:r>
    </w:p>
    <w:p>
      <w:pPr>
        <w:spacing w:after="0" w:line="229"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April 2014, we issued an aggregate of 474,001 shares of our Series C-1 convertible preferred stock at a purchase price of $4.55 per share, in exchange for the cancellation of secured convertible promissory notes originally issued in July 2013, which as of April 2014 had an aggregate principal and unpaid interest of $2.2 million.</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following table summarizes the Series C-1 convertible preferred stock issued to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Shares of</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Series C-1</w:t>
            </w:r>
          </w:p>
        </w:tc>
        <w:tc>
          <w:tcPr>
            <w:tcW w:w="120" w:type="dxa"/>
            <w:vAlign w:val="bottom"/>
          </w:tcPr>
          <w:p>
            <w:pPr>
              <w:spacing w:after="0"/>
              <w:rPr>
                <w:sz w:val="12"/>
                <w:szCs w:val="12"/>
                <w:color w:val="auto"/>
              </w:rPr>
            </w:pPr>
          </w:p>
        </w:tc>
        <w:tc>
          <w:tcPr>
            <w:tcW w:w="6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Preferred</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8"/>
        </w:trPr>
        <w:tc>
          <w:tcPr>
            <w:tcW w:w="9480" w:type="dxa"/>
            <w:vAlign w:val="bottom"/>
            <w:gridSpan w:val="2"/>
            <w:vMerge w:val="continue"/>
          </w:tcPr>
          <w:p>
            <w:pPr>
              <w:spacing w:after="0"/>
              <w:rPr>
                <w:sz w:val="15"/>
                <w:szCs w:val="15"/>
                <w:color w:val="auto"/>
              </w:rPr>
            </w:pPr>
          </w:p>
        </w:tc>
        <w:tc>
          <w:tcPr>
            <w:tcW w:w="114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5"/>
                <w:szCs w:val="15"/>
                <w:color w:val="auto"/>
              </w:rPr>
            </w:pPr>
          </w:p>
        </w:tc>
        <w:tc>
          <w:tcPr>
            <w:tcW w:w="62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1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Entities affiliated</w:t>
            </w:r>
          </w:p>
        </w:tc>
        <w:tc>
          <w:tcPr>
            <w:tcW w:w="8180" w:type="dxa"/>
            <w:vAlign w:val="bottom"/>
          </w:tcPr>
          <w:p>
            <w:pPr>
              <w:spacing w:after="0" w:line="189" w:lineRule="exact"/>
              <w:rPr>
                <w:sz w:val="20"/>
                <w:szCs w:val="20"/>
                <w:color w:val="auto"/>
              </w:rPr>
            </w:pPr>
            <w:r>
              <w:rPr>
                <w:rFonts w:ascii="Arial" w:cs="Arial" w:eastAsia="Arial" w:hAnsi="Arial"/>
                <w:sz w:val="18"/>
                <w:szCs w:val="18"/>
                <w:color w:val="auto"/>
              </w:rPr>
              <w:t>with Frazier Healthcare(1)</w:t>
            </w:r>
          </w:p>
        </w:tc>
        <w:tc>
          <w:tcPr>
            <w:tcW w:w="7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195,751</w:t>
            </w:r>
          </w:p>
        </w:tc>
        <w:tc>
          <w:tcPr>
            <w:tcW w:w="38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2"/>
              </w:rPr>
              <w:t>890,670</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195,751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890,670</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Alloy Ventures 2005, L.P.</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77,320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351,810</w:t>
            </w:r>
          </w:p>
        </w:tc>
        <w:tc>
          <w:tcPr>
            <w:tcW w:w="0" w:type="dxa"/>
            <w:vAlign w:val="bottom"/>
          </w:tcPr>
          <w:p>
            <w:pPr>
              <w:spacing w:after="0"/>
              <w:rPr>
                <w:sz w:val="1"/>
                <w:szCs w:val="1"/>
                <w:color w:val="auto"/>
              </w:rPr>
            </w:pPr>
          </w:p>
        </w:tc>
      </w:tr>
      <w:tr>
        <w:trPr>
          <w:trHeight w:val="230"/>
        </w:trPr>
        <w:tc>
          <w:tcPr>
            <w:tcW w:w="9480" w:type="dxa"/>
            <w:vAlign w:val="bottom"/>
            <w:gridSpan w:val="2"/>
          </w:tcPr>
          <w:p>
            <w:pPr>
              <w:spacing w:after="0"/>
              <w:rPr>
                <w:sz w:val="20"/>
                <w:szCs w:val="20"/>
                <w:color w:val="auto"/>
              </w:rPr>
            </w:pPr>
            <w:r>
              <w:rPr>
                <w:rFonts w:ascii="Arial" w:cs="Arial" w:eastAsia="Arial" w:hAnsi="Arial"/>
                <w:sz w:val="18"/>
                <w:szCs w:val="18"/>
                <w:color w:val="auto"/>
              </w:rPr>
              <w:t>Hamza Suria(3)</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180" w:hanging="452"/>
        <w:spacing w:after="0" w:line="274" w:lineRule="auto"/>
        <w:tabs>
          <w:tab w:leader="none" w:pos="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shares held by Frazier Healthcare V, L.P., an affiliate of Frazier Healthcare Ventures. Dr. Topper, a member of our Board of Directors, is a General Partner of Frazier Healthcare and may be deemed to have voting and investment power with respect to these shares.</w:t>
      </w:r>
    </w:p>
    <w:p>
      <w:pPr>
        <w:ind w:left="460" w:right="44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 Aynechi, a former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21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Each share of our Series C-1 convertible preferred stock converted automatically into one share of our common stock upon the closing of our initial public offering. The purchasers of our Series C-1 convertible preferred stock are entitled to specified registration rights, as described under “Description of Capital Stock—Registration Rights.”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Series D Preferred Stock Financing</w:t>
      </w:r>
    </w:p>
    <w:p>
      <w:pPr>
        <w:spacing w:after="0" w:line="229"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In July 2015, we sold an aggregate of 5,490,973 shares of our Series D convertible preferred stock at a purchase price of $7.42 per share, for an aggregate cash purchase price of $40.8 million.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summarizes the Series D convertible preferred stock purchased by our executive officers, members of our board of directors and persons who hold more than 5% of our outstanding capital stock:</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Shares of</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Series 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Stockholder</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9240" w:type="dxa"/>
            <w:vAlign w:val="bottom"/>
            <w:gridSpan w:val="2"/>
            <w:vMerge w:val="continue"/>
          </w:tcPr>
          <w:p>
            <w:pPr>
              <w:spacing w:after="0"/>
              <w:rPr>
                <w:sz w:val="15"/>
                <w:szCs w:val="15"/>
                <w:color w:val="auto"/>
              </w:rPr>
            </w:pPr>
          </w:p>
        </w:tc>
        <w:tc>
          <w:tcPr>
            <w:tcW w:w="102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89"/>
        </w:trPr>
        <w:tc>
          <w:tcPr>
            <w:tcW w:w="13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7"/>
              </w:rPr>
              <w:t>Entities affiliated</w:t>
            </w:r>
          </w:p>
        </w:tc>
        <w:tc>
          <w:tcPr>
            <w:tcW w:w="7940" w:type="dxa"/>
            <w:vAlign w:val="bottom"/>
          </w:tcPr>
          <w:p>
            <w:pPr>
              <w:spacing w:after="0" w:line="189" w:lineRule="exact"/>
              <w:rPr>
                <w:sz w:val="20"/>
                <w:szCs w:val="20"/>
                <w:color w:val="auto"/>
              </w:rPr>
            </w:pPr>
            <w:r>
              <w:rPr>
                <w:rFonts w:ascii="Arial" w:cs="Arial" w:eastAsia="Arial" w:hAnsi="Arial"/>
                <w:sz w:val="18"/>
                <w:szCs w:val="18"/>
                <w:color w:val="auto"/>
              </w:rPr>
              <w:t>with Biotechnology Value Fund, L.P</w:t>
            </w:r>
          </w:p>
        </w:tc>
        <w:tc>
          <w:tcPr>
            <w:tcW w:w="8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9"/>
              </w:rPr>
              <w:t>1,010,600</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4"/>
              </w:rPr>
              <w:t>7,503,111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HBM Healthcare Investments (Cayman) Ltd</w:t>
            </w:r>
          </w:p>
        </w:tc>
        <w:tc>
          <w:tcPr>
            <w:tcW w:w="820" w:type="dxa"/>
            <w:vAlign w:val="bottom"/>
          </w:tcPr>
          <w:p>
            <w:pPr>
              <w:jc w:val="right"/>
              <w:spacing w:after="0"/>
              <w:rPr>
                <w:sz w:val="20"/>
                <w:szCs w:val="20"/>
                <w:color w:val="auto"/>
              </w:rPr>
            </w:pPr>
            <w:r>
              <w:rPr>
                <w:rFonts w:ascii="Arial" w:cs="Arial" w:eastAsia="Arial" w:hAnsi="Arial"/>
                <w:sz w:val="18"/>
                <w:szCs w:val="18"/>
                <w:color w:val="auto"/>
              </w:rPr>
              <w:t>942,835</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6,999,999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Healthcare(1)</w:t>
            </w:r>
          </w:p>
        </w:tc>
        <w:tc>
          <w:tcPr>
            <w:tcW w:w="820" w:type="dxa"/>
            <w:vAlign w:val="bottom"/>
          </w:tcPr>
          <w:p>
            <w:pPr>
              <w:jc w:val="right"/>
              <w:spacing w:after="0"/>
              <w:rPr>
                <w:sz w:val="20"/>
                <w:szCs w:val="20"/>
                <w:color w:val="auto"/>
              </w:rPr>
            </w:pPr>
            <w:r>
              <w:rPr>
                <w:rFonts w:ascii="Arial" w:cs="Arial" w:eastAsia="Arial" w:hAnsi="Arial"/>
                <w:sz w:val="18"/>
                <w:szCs w:val="18"/>
                <w:color w:val="auto"/>
              </w:rPr>
              <w:t>942,835</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6,999,999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Novo A/S(2)</w:t>
            </w:r>
          </w:p>
        </w:tc>
        <w:tc>
          <w:tcPr>
            <w:tcW w:w="820" w:type="dxa"/>
            <w:vAlign w:val="bottom"/>
          </w:tcPr>
          <w:p>
            <w:pPr>
              <w:jc w:val="right"/>
              <w:spacing w:after="0"/>
              <w:rPr>
                <w:sz w:val="20"/>
                <w:szCs w:val="20"/>
                <w:color w:val="auto"/>
              </w:rPr>
            </w:pPr>
            <w:r>
              <w:rPr>
                <w:rFonts w:ascii="Arial" w:cs="Arial" w:eastAsia="Arial" w:hAnsi="Arial"/>
                <w:sz w:val="18"/>
                <w:szCs w:val="18"/>
                <w:color w:val="auto"/>
              </w:rPr>
              <w:t>673,454</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Nicholas B. Lydon, Ph.D., FRS(3)</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67,345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499,999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Carol G. Gallagher, Pharm.D.(4)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21,439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159,174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Robert E. Hoffman(5)</w:t>
            </w:r>
          </w:p>
        </w:tc>
        <w:tc>
          <w:tcPr>
            <w:tcW w:w="820" w:type="dxa"/>
            <w:vAlign w:val="bottom"/>
          </w:tcPr>
          <w:p>
            <w:pPr>
              <w:jc w:val="right"/>
              <w:spacing w:after="0"/>
              <w:rPr>
                <w:sz w:val="20"/>
                <w:szCs w:val="20"/>
                <w:color w:val="auto"/>
              </w:rPr>
            </w:pPr>
            <w:r>
              <w:rPr>
                <w:rFonts w:ascii="Arial" w:cs="Arial" w:eastAsia="Arial" w:hAnsi="Arial"/>
                <w:sz w:val="18"/>
                <w:szCs w:val="18"/>
                <w:color w:val="auto"/>
              </w:rPr>
              <w:t>6,734</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49,999</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Hamza Suria(6)</w:t>
            </w:r>
          </w:p>
        </w:tc>
        <w:tc>
          <w:tcPr>
            <w:tcW w:w="82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r>
        <w:trPr>
          <w:trHeight w:val="230"/>
        </w:trPr>
        <w:tc>
          <w:tcPr>
            <w:tcW w:w="9240" w:type="dxa"/>
            <w:vAlign w:val="bottom"/>
            <w:gridSpan w:val="2"/>
          </w:tcPr>
          <w:p>
            <w:pPr>
              <w:spacing w:after="0"/>
              <w:rPr>
                <w:sz w:val="20"/>
                <w:szCs w:val="20"/>
                <w:color w:val="auto"/>
              </w:rPr>
            </w:pPr>
            <w:r>
              <w:rPr>
                <w:rFonts w:ascii="Arial" w:cs="Arial" w:eastAsia="Arial" w:hAnsi="Arial"/>
                <w:sz w:val="18"/>
                <w:szCs w:val="18"/>
                <w:color w:val="auto"/>
              </w:rPr>
              <w:t>Marco Londei, M.D.(7)</w:t>
            </w:r>
          </w:p>
        </w:tc>
        <w:tc>
          <w:tcPr>
            <w:tcW w:w="820" w:type="dxa"/>
            <w:vAlign w:val="bottom"/>
          </w:tcPr>
          <w:p>
            <w:pPr>
              <w:jc w:val="right"/>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14,999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6"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shares held by Frazier Healthcare VII, L.P. and Frazier Healthcare VII-A, L.P., both affiliates of Frazier Healthcare. Dr. Topper, a member of our Board of Directors, is a General Partner of Frazier Healthcare and may be deemed to have voting and investment power with respect to these shares.</w:t>
      </w:r>
    </w:p>
    <w:p>
      <w:pPr>
        <w:ind w:left="460" w:right="42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 Aynechi, a former member of our board of directors, is employed as a Partner at Novo Ventures (US) Inc., which provides certain consultancy services to Novo A/S, and Dr. Aynechi has no beneficial ownership of or pecuniary interest in these shares.</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 Gallagher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Hoffman is our former Chief Financial Officer.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Suria is our President and Chief Executive Officer and is a member of our Board of Directors.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Dr. Londei is our Chief Medical Officer.</w:t>
      </w:r>
    </w:p>
    <w:p>
      <w:pPr>
        <w:spacing w:after="0" w:line="21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Each share of our Series D convertible preferred stock converted automatically into one share of our common stock upon the closing of our initial public offering. The purchasers of our Series D convertible preferred stock are entitled to specified registration rights, as described below under “Description of Capital Stock—Registration Rights.”</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Participation in our Initial Public Offering</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Certain of our principal stockholders and their affiliated entities, including stockholders affiliated with certain of our directors, purchased an aggregate of 1,316,666 shares of our common stock in our initial public offering on January 31, 2017 at the initial public offering price of $15.00 per share. The following table summarizes common stock purchased by members of our board of directors and entities who held more than 5% of our outstanding capital stock at the time of the purchase: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Number of</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8740" w:type="dxa"/>
            <w:vAlign w:val="bottom"/>
            <w:vMerge w:val="restart"/>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Purchased</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8740" w:type="dxa"/>
            <w:vAlign w:val="bottom"/>
            <w:vMerge w:val="continue"/>
          </w:tcPr>
          <w:p>
            <w:pPr>
              <w:spacing w:after="0"/>
              <w:rPr>
                <w:sz w:val="15"/>
                <w:szCs w:val="15"/>
                <w:color w:val="auto"/>
              </w:rPr>
            </w:pPr>
          </w:p>
        </w:tc>
        <w:tc>
          <w:tcPr>
            <w:tcW w:w="88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89"/>
              </w:rPr>
              <w:t>Shares</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89"/>
        </w:trPr>
        <w:tc>
          <w:tcPr>
            <w:tcW w:w="9120" w:type="dxa"/>
            <w:vAlign w:val="bottom"/>
            <w:gridSpan w:val="2"/>
          </w:tcPr>
          <w:p>
            <w:pPr>
              <w:spacing w:after="0" w:line="189" w:lineRule="exact"/>
              <w:rPr>
                <w:sz w:val="20"/>
                <w:szCs w:val="20"/>
                <w:color w:val="auto"/>
              </w:rPr>
            </w:pPr>
            <w:r>
              <w:rPr>
                <w:rFonts w:ascii="Arial" w:cs="Arial" w:eastAsia="Arial" w:hAnsi="Arial"/>
                <w:sz w:val="18"/>
                <w:szCs w:val="18"/>
                <w:color w:val="auto"/>
              </w:rPr>
              <w:t>Entities affiliated with Biotechnology Value Fund(1)</w:t>
            </w: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850,000</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3"/>
              </w:rPr>
              <w:t>12,750,000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Healthcare(2)</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tcPr>
          <w:p>
            <w:pPr>
              <w:spacing w:after="0"/>
              <w:rPr>
                <w:sz w:val="20"/>
                <w:szCs w:val="20"/>
                <w:color w:val="auto"/>
              </w:rPr>
            </w:pPr>
            <w:r>
              <w:rPr>
                <w:rFonts w:ascii="Arial" w:cs="Arial" w:eastAsia="Arial" w:hAnsi="Arial"/>
                <w:sz w:val="18"/>
                <w:szCs w:val="18"/>
                <w:color w:val="auto"/>
              </w:rPr>
              <w:t>Novo A/S</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Nicholas B. Lydon, Ph.D.,FRS(3)</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16,666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249,990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91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1,316,666</w:t>
            </w:r>
          </w:p>
        </w:tc>
        <w:tc>
          <w:tcPr>
            <w:tcW w:w="36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19,749,990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8865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4" w:lineRule="exact"/>
        <w:rPr>
          <w:sz w:val="20"/>
          <w:szCs w:val="20"/>
          <w:color w:val="auto"/>
        </w:rPr>
      </w:pPr>
    </w:p>
    <w:p>
      <w:pPr>
        <w:ind w:left="460" w:right="360" w:hanging="452"/>
        <w:spacing w:after="0" w:line="308"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Consists of 414,373 shares purchased by Biotechnology Value Fund, L.P., 269,019 shares purchased by Biotechnology Value Fund II, L.P., 74,064 shares purchased by Biotechnology Value Trading Fund OS, L.P. and 92,544 shares purchased by MSI BVF SPV LLC.</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hanging="452"/>
        <w:spacing w:after="0" w:line="256"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311,291 shares purchased by Frazier Healthcare VII, L.P and 88,709 shares purchased by Frazier Healthcare VII-A, L.P. Dr. Topper, a member of our Board of Directors, is a General Partner of Frazier Healthcare and may be deemed to have voting and investment power with respect to these shares.</w:t>
      </w: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Dr. Lydon is a member of our Board of Directors.</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have entered into an amended and restated investors’ rights agreement with certain holders of our convertible preferred stock, including entities with which certain of our directors are affiliated. These stockholders are entitled to rights with respect to the registration of their shares. For a description of these registration rights, see “Description of Capital Stock—Registration Rights.”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The indemnification agreements, our restated certificate of incorporation and our restated bylaws will require us to indemnify our directors to the fullest extent not prohibited by Delaware law. Subject to certain limitations, our restated bylaws also require us to advance expenses incurred by our directors and officers.</w:t>
      </w:r>
    </w:p>
    <w:p>
      <w:pPr>
        <w:spacing w:after="0" w:line="2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adopted a written related person transactions policy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person transaction with us without the review and approval of our audit committee, or a committee composed solely of independent directors in the event it is inappropriate for our audit committee to review such transaction due to a conflict of interest.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will be presented to our audit committee for review, consideration and approval.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August 31, 2017, and as adjusted to reflect the sale of common stock in this offering, for:</w:t>
      </w:r>
    </w:p>
    <w:p>
      <w:pPr>
        <w:spacing w:after="0" w:line="76"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our common stock.</w:t>
      </w:r>
    </w:p>
    <w:p>
      <w:pPr>
        <w:spacing w:after="0" w:line="22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Applicable percentage ownership is based on 20,469,570 shares of common stock outstanding as of August 31, 2017.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August 31, 2017. We did not deem these shares outstanding, however, for the purpose of computing the percentage ownership of any other person. Unless otherwise indicated, the address of each beneficial owner listed in the table below is c/o AnaptysBio, Inc., 10421 Pacific Center Court, Suite 200, San Diego, California 92121.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2160" w:type="dxa"/>
            <w:vAlign w:val="bottom"/>
            <w:gridSpan w:val="4"/>
          </w:tcPr>
          <w:p>
            <w:pPr>
              <w:ind w:left="160"/>
              <w:spacing w:after="0"/>
              <w:rPr>
                <w:sz w:val="20"/>
                <w:szCs w:val="20"/>
                <w:color w:val="auto"/>
              </w:rPr>
            </w:pPr>
            <w:r>
              <w:rPr>
                <w:rFonts w:ascii="Arial" w:cs="Arial" w:eastAsia="Arial" w:hAnsi="Arial"/>
                <w:sz w:val="14"/>
                <w:szCs w:val="14"/>
                <w:b w:val="1"/>
                <w:bCs w:val="1"/>
                <w:color w:val="auto"/>
              </w:rPr>
              <w:t>Beneficial Ownership</w:t>
            </w:r>
          </w:p>
        </w:tc>
        <w:tc>
          <w:tcPr>
            <w:tcW w:w="17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71"/>
        </w:trPr>
        <w:tc>
          <w:tcPr>
            <w:tcW w:w="7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160" w:type="dxa"/>
            <w:vAlign w:val="bottom"/>
            <w:gridSpan w:val="4"/>
          </w:tcPr>
          <w:p>
            <w:pPr>
              <w:ind w:left="160"/>
              <w:spacing w:after="0"/>
              <w:rPr>
                <w:sz w:val="20"/>
                <w:szCs w:val="20"/>
                <w:color w:val="auto"/>
              </w:rPr>
            </w:pPr>
            <w:r>
              <w:rPr>
                <w:rFonts w:ascii="Arial" w:cs="Arial" w:eastAsia="Arial" w:hAnsi="Arial"/>
                <w:sz w:val="14"/>
                <w:szCs w:val="14"/>
                <w:b w:val="1"/>
                <w:bCs w:val="1"/>
                <w:color w:val="auto"/>
              </w:rPr>
              <w:t>Prior to this Offering</w:t>
            </w:r>
          </w:p>
        </w:tc>
        <w:tc>
          <w:tcPr>
            <w:tcW w:w="178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After this Offering</w:t>
            </w:r>
          </w:p>
        </w:tc>
        <w:tc>
          <w:tcPr>
            <w:tcW w:w="0" w:type="dxa"/>
            <w:vAlign w:val="bottom"/>
          </w:tcPr>
          <w:p>
            <w:pPr>
              <w:spacing w:after="0"/>
              <w:rPr>
                <w:sz w:val="1"/>
                <w:szCs w:val="1"/>
                <w:color w:val="auto"/>
              </w:rPr>
            </w:pPr>
          </w:p>
        </w:tc>
      </w:tr>
      <w:tr>
        <w:trPr>
          <w:trHeight w:val="149"/>
        </w:trPr>
        <w:tc>
          <w:tcPr>
            <w:tcW w:w="7420" w:type="dxa"/>
            <w:vAlign w:val="bottom"/>
            <w:gridSpan w:val="2"/>
            <w:vMerge w:val="continue"/>
          </w:tcPr>
          <w:p>
            <w:pPr>
              <w:spacing w:after="0"/>
              <w:rPr>
                <w:sz w:val="12"/>
                <w:szCs w:val="12"/>
                <w:color w:val="auto"/>
              </w:rPr>
            </w:pPr>
          </w:p>
        </w:tc>
        <w:tc>
          <w:tcPr>
            <w:tcW w:w="1160" w:type="dxa"/>
            <w:vAlign w:val="bottom"/>
            <w:tcBorders>
              <w:top w:val="single" w:sz="8" w:color="auto"/>
            </w:tcBorders>
            <w:gridSpan w:val="2"/>
          </w:tcPr>
          <w:p>
            <w:pPr>
              <w:ind w:left="140"/>
              <w:spacing w:after="0" w:line="129"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Number</w:t>
            </w: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9"/>
              </w:rPr>
              <w:t>Percent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6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b w:val="1"/>
                <w:bCs w:val="1"/>
                <w:i w:val="1"/>
                <w:iCs w:val="1"/>
                <w:color w:val="auto"/>
              </w:rPr>
              <w:t>5% Stockholders</w:t>
            </w:r>
            <w:r>
              <w:rPr>
                <w:rFonts w:ascii="Arial" w:cs="Arial" w:eastAsia="Arial" w:hAnsi="Arial"/>
                <w:sz w:val="18"/>
                <w:szCs w:val="18"/>
                <w:color w:val="auto"/>
              </w:rPr>
              <w:t>:</w:t>
            </w:r>
          </w:p>
        </w:tc>
        <w:tc>
          <w:tcPr>
            <w:tcW w:w="580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Entities affiliated with Frazier Healthcare</w:t>
            </w:r>
            <w:r>
              <w:rPr>
                <w:rFonts w:ascii="Arial" w:cs="Arial" w:eastAsia="Arial" w:hAnsi="Arial"/>
                <w:sz w:val="15"/>
                <w:szCs w:val="15"/>
                <w:color w:val="auto"/>
              </w:rPr>
              <w:t>(1)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3,688,447</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18.0%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3,688,447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Novo Holdings A/S</w:t>
            </w:r>
            <w:r>
              <w:rPr>
                <w:rFonts w:ascii="Arial" w:cs="Arial" w:eastAsia="Arial" w:hAnsi="Arial"/>
                <w:sz w:val="15"/>
                <w:szCs w:val="15"/>
                <w:color w:val="auto"/>
              </w:rPr>
              <w:t>(2)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1,936,604</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1,936,604</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Alloy Ventures 2005, L.P.</w:t>
            </w:r>
            <w:r>
              <w:rPr>
                <w:rFonts w:ascii="Arial" w:cs="Arial" w:eastAsia="Arial" w:hAnsi="Arial"/>
                <w:sz w:val="15"/>
                <w:szCs w:val="15"/>
                <w:color w:val="auto"/>
              </w:rPr>
              <w:t>(3)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1,282,485</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6.3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1,282,485</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Entities affiliated with Biotechnology Value Fund, L.P.</w:t>
            </w:r>
            <w:r>
              <w:rPr>
                <w:rFonts w:ascii="Arial" w:cs="Arial" w:eastAsia="Arial" w:hAnsi="Arial"/>
                <w:sz w:val="15"/>
                <w:szCs w:val="15"/>
                <w:color w:val="auto"/>
              </w:rPr>
              <w:t>(4)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1,904,600</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9.3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1,904,600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r>
              <w:rPr>
                <w:rFonts w:ascii="Arial" w:cs="Arial" w:eastAsia="Arial" w:hAnsi="Arial"/>
                <w:sz w:val="18"/>
                <w:szCs w:val="18"/>
                <w:color w:val="auto"/>
              </w:rPr>
              <w:t>:</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Hamza Suria</w:t>
            </w:r>
            <w:r>
              <w:rPr>
                <w:rFonts w:ascii="Arial" w:cs="Arial" w:eastAsia="Arial" w:hAnsi="Arial"/>
                <w:sz w:val="15"/>
                <w:szCs w:val="15"/>
                <w:color w:val="auto"/>
              </w:rPr>
              <w:t>(5)</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562,330</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562,330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Marco Londei, M.D.</w:t>
            </w:r>
            <w:r>
              <w:rPr>
                <w:rFonts w:ascii="Arial" w:cs="Arial" w:eastAsia="Arial" w:hAnsi="Arial"/>
                <w:sz w:val="15"/>
                <w:szCs w:val="15"/>
                <w:color w:val="auto"/>
              </w:rPr>
              <w:t>(6)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212,938</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212,938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Matthew Moyle Ph.D.</w:t>
            </w:r>
            <w:r>
              <w:rPr>
                <w:rFonts w:ascii="Arial" w:cs="Arial" w:eastAsia="Arial" w:hAnsi="Arial"/>
                <w:sz w:val="15"/>
                <w:szCs w:val="15"/>
                <w:color w:val="auto"/>
              </w:rPr>
              <w:t>(7)</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49,411</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49,411</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Carol G. Gallagher, Pharm.D.</w:t>
            </w:r>
            <w:r>
              <w:rPr>
                <w:rFonts w:ascii="Arial" w:cs="Arial" w:eastAsia="Arial" w:hAnsi="Arial"/>
                <w:sz w:val="15"/>
                <w:szCs w:val="15"/>
                <w:color w:val="auto"/>
              </w:rPr>
              <w:t>(8)</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162,018</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162,018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Nicholas B. Lydon, Ph.D., FRS</w:t>
            </w:r>
            <w:r>
              <w:rPr>
                <w:rFonts w:ascii="Arial" w:cs="Arial" w:eastAsia="Arial" w:hAnsi="Arial"/>
                <w:sz w:val="15"/>
                <w:szCs w:val="15"/>
                <w:color w:val="auto"/>
              </w:rPr>
              <w:t>(9)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335,118</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1.6</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335,118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Hollings Renton</w:t>
            </w:r>
            <w:r>
              <w:rPr>
                <w:rFonts w:ascii="Arial" w:cs="Arial" w:eastAsia="Arial" w:hAnsi="Arial"/>
                <w:sz w:val="15"/>
                <w:szCs w:val="15"/>
                <w:color w:val="auto"/>
              </w:rPr>
              <w:t>(10)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51,156</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51,156</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John Schmid</w:t>
            </w:r>
            <w:r>
              <w:rPr>
                <w:rFonts w:ascii="Arial" w:cs="Arial" w:eastAsia="Arial" w:hAnsi="Arial"/>
                <w:sz w:val="15"/>
                <w:szCs w:val="15"/>
                <w:color w:val="auto"/>
              </w:rPr>
              <w:t>(11)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42,337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42,337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James A. Schoeneck</w:t>
            </w:r>
            <w:r>
              <w:rPr>
                <w:rFonts w:ascii="Arial" w:cs="Arial" w:eastAsia="Arial" w:hAnsi="Arial"/>
                <w:sz w:val="15"/>
                <w:szCs w:val="15"/>
                <w:color w:val="auto"/>
              </w:rPr>
              <w:t>(12)</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42,337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42,337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James N. Topper, M.D., Ph.D.</w:t>
            </w:r>
            <w:r>
              <w:rPr>
                <w:rFonts w:ascii="Arial" w:cs="Arial" w:eastAsia="Arial" w:hAnsi="Arial"/>
                <w:sz w:val="15"/>
                <w:szCs w:val="15"/>
                <w:color w:val="auto"/>
              </w:rPr>
              <w:t>(1)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3,688,447</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18.0</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3,688,447</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J. Anthony Ware, M.D.</w:t>
            </w:r>
            <w:r>
              <w:rPr>
                <w:rFonts w:ascii="Arial" w:cs="Arial" w:eastAsia="Arial" w:hAnsi="Arial"/>
                <w:sz w:val="15"/>
                <w:szCs w:val="15"/>
                <w:color w:val="auto"/>
              </w:rPr>
              <w:t>(13)</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1,588</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1,588</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 (11 persons)</w:t>
            </w:r>
            <w:r>
              <w:rPr>
                <w:rFonts w:ascii="Arial" w:cs="Arial" w:eastAsia="Arial" w:hAnsi="Arial"/>
                <w:sz w:val="15"/>
                <w:szCs w:val="15"/>
                <w:color w:val="auto"/>
              </w:rPr>
              <w:t>(14)</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5,147,680</w:t>
            </w:r>
          </w:p>
        </w:tc>
        <w:tc>
          <w:tcPr>
            <w:tcW w:w="1000" w:type="dxa"/>
            <w:vAlign w:val="bottom"/>
            <w:gridSpan w:val="2"/>
          </w:tcPr>
          <w:p>
            <w:pPr>
              <w:jc w:val="right"/>
              <w:ind w:right="520"/>
              <w:spacing w:after="0"/>
              <w:rPr>
                <w:sz w:val="20"/>
                <w:szCs w:val="20"/>
                <w:color w:val="auto"/>
              </w:rPr>
            </w:pPr>
            <w:r>
              <w:rPr>
                <w:rFonts w:ascii="Arial" w:cs="Arial" w:eastAsia="Arial" w:hAnsi="Arial"/>
                <w:sz w:val="18"/>
                <w:szCs w:val="18"/>
                <w:color w:val="auto"/>
              </w:rPr>
              <w:t>23.9</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5,147,680</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8658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w:t>
      </w:r>
    </w:p>
    <w:p>
      <w:pPr>
        <w:spacing w:after="0" w:line="23" w:lineRule="exact"/>
        <w:rPr>
          <w:sz w:val="20"/>
          <w:szCs w:val="20"/>
          <w:color w:val="auto"/>
        </w:rPr>
      </w:pPr>
    </w:p>
    <w:p>
      <w:pPr>
        <w:ind w:left="460" w:right="140" w:hanging="452"/>
        <w:spacing w:after="0" w:line="25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Schedule 13-D filed by Frazier Healthcare V, L.P. on February 10, 2017. Consists of (a) 2,345,612 shares of common stock held directly by Frazier Healthcare V, L.P., (b) 1,045,031 shares of common stock held directly by Frazier Healthcare VII, L.P., (c) 297,804 shares of common stock held directly by Frazier Healthcare VII-A, L.P.. The general partner of Frazier Healthcare V, L.P. is FHM V, L.P., a Delaware limited partnership. The general partner of FHM V, L.P. is FHM V, LLC, a Delaware limited liability company. The general partner of Frazier Healthcare VII, L.P. and Frazier Healthcare VII-A, L.P. is FHM</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4" w:lineRule="auto"/>
        <w:rPr>
          <w:sz w:val="20"/>
          <w:szCs w:val="20"/>
          <w:color w:val="auto"/>
        </w:rPr>
      </w:pPr>
      <w:r>
        <w:rPr>
          <w:rFonts w:ascii="Arial" w:cs="Arial" w:eastAsia="Arial" w:hAnsi="Arial"/>
          <w:sz w:val="18"/>
          <w:szCs w:val="18"/>
          <w:color w:val="auto"/>
        </w:rPr>
        <w:t>VII, L.P., a Delaware limited partnership. The general partner of FHM VII, L.P. is FHM VII, LLC, a Delaware limited liability company. Dr. Topper, a member of our Board of Directors, Alan Frazier, Nader Naini, Nathan Every and Patrick Heron are members of FHM V, LLC and FHM VII, LLC and may be deemed to share voting and investment power with respect to the shares held by FHM V, LLC and FHM VII, LLC. The address of Frazier Healthcare is 601 Union, Two Union Square, Suite 3200, Seattle WA 98101.</w:t>
      </w:r>
    </w:p>
    <w:p>
      <w:pPr>
        <w:spacing w:after="0" w:line="2" w:lineRule="exact"/>
        <w:rPr>
          <w:sz w:val="20"/>
          <w:szCs w:val="20"/>
          <w:color w:val="auto"/>
        </w:rPr>
      </w:pPr>
    </w:p>
    <w:p>
      <w:pPr>
        <w:ind w:left="460" w:right="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Form 4 filed by Novo Holdings A/S on August 21, 2017. Consists of (a) 1,936,604 shares of common stock held directly by Novo Holdings A/S. The board of directors of Novo A/S, which is currently comprised of Sten Scheibye, Gôran Ando, Jeppe Christiansen, Steen Riisgaard and Per Wold-Olsen, has shared voting and investment power with respect to these shares and may exercise such control only with the support of a majority of the board. As such, no individual member of the board is deemed to hold any beneficiary ownership in these shares. The address of Novo A/S is Tuborg Havnevej 19, 2900 Hellerup, Denmark.</w:t>
      </w:r>
    </w:p>
    <w:p>
      <w:pPr>
        <w:spacing w:after="0" w:line="2" w:lineRule="exact"/>
        <w:rPr>
          <w:rFonts w:ascii="Arial" w:cs="Arial" w:eastAsia="Arial" w:hAnsi="Arial"/>
          <w:sz w:val="18"/>
          <w:szCs w:val="18"/>
          <w:color w:val="auto"/>
        </w:rPr>
      </w:pPr>
    </w:p>
    <w:p>
      <w:pPr>
        <w:ind w:left="460" w:right="20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1,282,485 shares of common stock held directly by Alloy Ventures 2005, L.P. The general partner of Alloy Ventures 2005, L.P. is Alloy Ventures 2005, LLC. The managing members of Alloy Ventures 2005, LLC are Craig Taylor, Doug Kelly John Shoch, Dan Rubin and Tony Di Bona.</w:t>
      </w:r>
    </w:p>
    <w:p>
      <w:pPr>
        <w:spacing w:after="0" w:line="1" w:lineRule="exact"/>
        <w:rPr>
          <w:rFonts w:ascii="Arial" w:cs="Arial" w:eastAsia="Arial" w:hAnsi="Arial"/>
          <w:sz w:val="16"/>
          <w:szCs w:val="16"/>
          <w:color w:val="auto"/>
        </w:rPr>
      </w:pPr>
    </w:p>
    <w:p>
      <w:pPr>
        <w:ind w:left="460" w:right="40" w:hanging="452"/>
        <w:spacing w:after="0" w:line="265"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Schedule 13-G filed by Biotechnology Value Fund L.P. on January 26, 2017. Consists of (a) 907,116 shares of common stock held directly by Biotechnology Value Fund, L.P., (b) 551,019 shares of common stock directly by Biotechnology Value Fund II, L.P., (c) 74,064 shares of common stock held directly by Trading Fund OS and (d) 372,401 shares of common stock held directly in the Partners Managed Accounts.</w:t>
      </w:r>
    </w:p>
    <w:p>
      <w:pPr>
        <w:ind w:left="460" w:right="10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(a) 4,998 shares of common stock held directly by Mr. Suria and (b) 557,332 shares of common stock issuable to Mr. Suria upon the exercise of stock options that are exercisable within 60 days of August 31, 2017, of which 102,499 shares were unvested but were early exercisable, as of 60 days after August 31, 2017.</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(a) 2,020 shares of common stock held directly by Dr. Londei and (b) 210,918 shares of common stock issuable to Dr. Londei upon the exercise of stock options that are exercisable within 60 days of August 31, 2017, of which 40,241 shares were unvested but were early exercisable, as of 60 days after August 31, 2017.</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Mr. Moyle resigned as our Chief Scientific Officer effective July 21, 2017. Consists of (a) 30,000 shares of common stock held directly by Mr. Moyle and (b) 19,411 shares of common stock issuable to Mr. Moyle upon the exercise of stock options that are exercisable within 60 days of August 31, 2017.</w:t>
      </w:r>
    </w:p>
    <w:p>
      <w:pPr>
        <w:spacing w:after="0" w:line="1" w:lineRule="exact"/>
        <w:rPr>
          <w:rFonts w:ascii="Arial" w:cs="Arial" w:eastAsia="Arial" w:hAnsi="Arial"/>
          <w:sz w:val="18"/>
          <w:szCs w:val="18"/>
          <w:color w:val="auto"/>
        </w:rPr>
      </w:pPr>
    </w:p>
    <w:p>
      <w:pPr>
        <w:ind w:left="460" w:right="2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(a) 64,296 shares of common stock held directly by Dr. Gallagher and (b) 97,722 shares of common stock issuable to Dr. Gallagher upon the exercise of stock options that are exercisable within 60 days of August 31, 2017.</w:t>
      </w:r>
    </w:p>
    <w:p>
      <w:pPr>
        <w:ind w:left="460" w:right="80" w:hanging="452"/>
        <w:spacing w:after="0" w:line="281"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(a) 287,623 shares of common stock held directly by Dr. Lydon, (b) 16,483 shares of common stock issuable upon the exercise of a warrant held directly by Dr. Lydon and (c) 31,012 shares of common stock issuable to Dr. Lydon upon the exercise of stock options that are exercisable within 60 days of August 31, 2017, of which 2,134 shares were unvested but were early exercisable, as of 60 days after August 31, 2017.</w:t>
      </w:r>
    </w:p>
    <w:p>
      <w:pPr>
        <w:spacing w:after="0" w:line="2" w:lineRule="exact"/>
        <w:rPr>
          <w:rFonts w:ascii="Arial" w:cs="Arial" w:eastAsia="Arial" w:hAnsi="Arial"/>
          <w:sz w:val="16"/>
          <w:szCs w:val="16"/>
          <w:color w:val="auto"/>
        </w:rPr>
      </w:pPr>
    </w:p>
    <w:p>
      <w:pPr>
        <w:ind w:left="460" w:right="10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51,156 shares of common stock issuable to Mr. Renton upon the exercise of stock options that are exercisable within 60 days of August 31, 2017, of which 11,652 shares were unvested but were early exercisable, as of 60 days after August 31, 2017.</w:t>
      </w:r>
    </w:p>
    <w:p>
      <w:pPr>
        <w:ind w:left="460" w:right="8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42,337 shares of common stock issuable to Mr. Schmid upon the exercise of stock options that are exercisable within 60 days of August 31, 2017, of which 12,275 shares were unvested but were early exercisable, as of 60 days after August 31, 2017.</w:t>
      </w:r>
    </w:p>
    <w:p>
      <w:pPr>
        <w:ind w:left="460" w:right="680" w:hanging="452"/>
        <w:spacing w:after="0" w:line="265"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Represents 42,337 shares of common stock issuable to Mr. Schoeneck upon the exercise of stock options that are exercisable within 60 days of August 31, 2017, of which 15,288 shares were unvested but were early exercisable, as of 60 days after August 31, 2017.</w:t>
      </w:r>
    </w:p>
    <w:p>
      <w:pPr>
        <w:ind w:left="460" w:right="34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1,588 shares of common stock issuable to Mr. Ware upon the exercise of stock options that are exercisable within 60 days of August 31, 2017.</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 w:hanging="452"/>
        <w:spacing w:after="0" w:line="312"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Includes shares beneficially owned by our executive officers and directors. Consists of (a) 4,077,384 shares of common stock, (b) 16,483 shares of common stock issuable upon the exercise of warrants and (b) 1,053,813 shares of common stock issuable upon the exercise of stock options that are exercisable within 60 days of August 31, 2017, of which 184,089 shares were unvested but early exercisable, as of 60 days after August 31, 2017.</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Dominic G. Piscitelli commenced his employment with us as our Chief Financial Officer in January 2017. As of August 31, 2017, Mr. Piscitelli held options to purchase 245,241 shares of our common stock, none of which are exercisable within 60 days of August 31, 2017.</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24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Our authorized capital stock consists of 500,000,000 shares of common stock, $0.001 par value per share, and 10,000,000 shares of undesignated preferred stock, $0.001 par value per share. The following description summarizes the most important terms of our capital stock. Because it is only a summary, it does not contain all the information that may be important to you. For a complete description, you should refer to our restated certificate of incorporation and restated bylaws, which are included as exhibits to the registration statement of which this prospectus forms a part, and to the applicable provisions of Delaware law.</w:t>
      </w:r>
    </w:p>
    <w:p>
      <w:pPr>
        <w:spacing w:after="0" w:line="188"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As of June 30, 2017, there were 20,289,907 shares of our common stock issued, held by approximately 95 stockholders of record, and no shares of our preferred stock outstanding. Our board of directors is authorized, without stockholder approval, to issue additional shares of our capital stock.</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Rights</w:t>
      </w:r>
    </w:p>
    <w:p>
      <w:pPr>
        <w:spacing w:after="0" w:line="22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 See “Dividend Policy” above.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Holders of our common stock are entitled to one vote for each share held on all matters submitted to a vote of stockholders. We have not provided for cumulative voting for the election of directors in our restated certificate of incorporation. Accordingly, pursuant to our restated certificate of incorporation, holders of a majority of the shares of our common stock can elect all of our directors. Our restated certificate of incorporation establishes a classified board of directors, divided into three classes with staggered three-year terms. Only one class of directors is elected at each annual meeting of our stockholders, with the other classes continuing for the remainder of their respective three-year terms.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 Preemptive or Similar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Right to Receive Liquidation Distributions</w:t>
      </w:r>
    </w:p>
    <w:p>
      <w:pPr>
        <w:spacing w:after="0" w:line="22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board of directors is authorized, subject to limitations prescribed by Delaware law, to issue preferred stock in one or more series, to establish from time to time the number of shares to be included in each series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fix the designation, powers, preferences and rights of the shares of each series and any of their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June 30, 2017, we had outstanding warrants to purchase an aggregate of 198,009 shares of our common stock, with an exercise price of $4.55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share.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of June 30, 2017, we had outstanding options to purchase an aggregate of 2,643,180 shares of our common stock, with a weighted-average exercise price of $10.62. Subsequent to June 30, 2017, we granted stock options to purchase 96,965 shares of common stock, with a weighted-average exercise price of $26.77 per share.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Pursuant to the terms of our Amended and Restated Investor Rights Agreement, the holders of approximately 9,240,026 shares of our common stock are entitled to rights with respect to the registration of these shares under the Securities Act, as described below. We refer to these shares collectively as registrable securities.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Demand Registration Rights</w:t>
      </w:r>
    </w:p>
    <w:p>
      <w:pPr>
        <w:spacing w:after="0" w:line="229"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At any point, the holders of at least a majority of the then-outstanding registrable securities may make a written request to us for the registration of any of the registrable securities under the Securities Act. Within 30 days of such request, we are obligated to provide written notice of such request to all stockholders to file a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total period of not more than 60 days if our board of directors determines in its good faith judgment that it would be seriously detrimental to us and our stockholders for such registration statement to be effected at such time.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S-3 Registration Rights</w:t>
      </w:r>
    </w:p>
    <w:p>
      <w:pPr>
        <w:spacing w:after="0" w:line="22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holder of then-outstanding registrable securities can request that we register all or part of their shares on Form S-3 if we are eligible to file a registration statement on Form S-3 and if the aggregate price to the public of the shares offered is at least $2,000,000. The stockholders may only require us to effect two registration statements on Form S-3 in a 12-month period. We may postpone taking action with respect to such filing once during any 12-month period for a total cumulative period of not more than 90 days if our board of directors determines in its good faith judgment that the filing would be materially detrimental to us and our stockholders.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Piggyback Registration Rights</w:t>
      </w:r>
    </w:p>
    <w:p>
      <w:pPr>
        <w:spacing w:after="0" w:line="22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connection with this offering, holders of registrable securities were entitled to, and the necessary percentage of holders waived, their rights to notice of this offering and to include their registrable securities in this offering. If we register any of our securities for public sale in another offering, holders of registrable securities will have the right to include their shares in the registration statement. However, this right does not apply to a registration relating to employee benefit plans, a registration relating to a corporate reorganization or a registration of only common stock issuable upon conversion of debt securities that are also being registered. We have the right to terminate any registration we have initiated before the effective date of such registration, whether or not any holder has elected to include registrable securities in such registration. The underwriters of any underwritten offering will have the right to limit the number of shares registered by these holders if they determine in good faith that marketing factors require limitation, in which case the number of shares to be registered will be apportioned pro rata among these holders, according to the total amount of securities entitled to be included by each holder, or in a manner mutually agreed upon by the holders. However, in any underwriting not in connection with an initial public offering, the number of shares to be registered by these holders cannot be reduced below 30% of the total shares covered by the registration statement.</w:t>
      </w:r>
    </w:p>
    <w:p>
      <w:pPr>
        <w:spacing w:after="0" w:line="273"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Expenses of Registration Rights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generally will pay all expenses, other than underwriting discounts and commissions.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Expiration of Registration Rights</w:t>
      </w:r>
    </w:p>
    <w:p>
      <w:pPr>
        <w:spacing w:after="0" w:line="22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earlier of the fifth anniversary of the closing of our initial public offering, a merger, consolidation, sale or disposition of our company or a sale by a holder of equity securities representing at least a majority of the voting power of our company, or when that holder can sell all of its registrable securities in a three-month period without restriction under Rule 144 of the Securities Act.</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Anti-Takeover Provisions</w:t>
      </w:r>
    </w:p>
    <w:p>
      <w:pPr>
        <w:spacing w:after="0" w:line="229"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The provisions of Delaware law,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Delaware Law</w:t>
      </w:r>
    </w:p>
    <w:p>
      <w:pPr>
        <w:spacing w:after="0" w:line="229"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We are subject to the provisions of Section 203 of the Delaware General Corporation Law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87" w:lineRule="exact"/>
        <w:rPr>
          <w:sz w:val="20"/>
          <w:szCs w:val="20"/>
          <w:color w:val="auto"/>
        </w:rPr>
      </w:pPr>
    </w:p>
    <w:p>
      <w:pPr>
        <w:ind w:left="660" w:right="50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660" w:right="14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voting stock outstanding, but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80" w:right="60"/>
        <w:spacing w:after="0" w:line="264" w:lineRule="auto"/>
        <w:rPr>
          <w:sz w:val="20"/>
          <w:szCs w:val="20"/>
          <w:color w:val="auto"/>
        </w:rPr>
      </w:pPr>
      <w:r>
        <w:rPr>
          <w:rFonts w:ascii="Arial" w:cs="Arial" w:eastAsia="Arial" w:hAnsi="Arial"/>
          <w:sz w:val="18"/>
          <w:szCs w:val="18"/>
          <w:color w:val="auto"/>
        </w:rPr>
        <w:t>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87" w:lineRule="exact"/>
        <w:rPr>
          <w:sz w:val="20"/>
          <w:szCs w:val="20"/>
          <w:color w:val="auto"/>
        </w:rPr>
      </w:pPr>
    </w:p>
    <w:p>
      <w:pPr>
        <w:ind w:left="660" w:hanging="206"/>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181"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Restated Certificate of Incorporation and Restated Bylaw Provisions</w:t>
      </w:r>
    </w:p>
    <w:p>
      <w:pPr>
        <w:spacing w:after="0" w:line="229"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restated certificate of incorporation and our restated bylaws include a number of provisions that could deter hostile takeovers or delay or prevent changes in control of our company, including the following:</w:t>
      </w:r>
    </w:p>
    <w:p>
      <w:pPr>
        <w:spacing w:after="0" w:line="76" w:lineRule="exact"/>
        <w:rPr>
          <w:sz w:val="20"/>
          <w:szCs w:val="20"/>
          <w:color w:val="auto"/>
        </w:rPr>
      </w:pPr>
    </w:p>
    <w:p>
      <w:pPr>
        <w:ind w:left="660" w:right="140" w:hanging="206"/>
        <w:spacing w:after="0" w:line="27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Board of Directors Vacancies. </w:t>
      </w:r>
      <w:r>
        <w:rPr>
          <w:rFonts w:ascii="Arial" w:cs="Arial" w:eastAsia="Arial" w:hAnsi="Arial"/>
          <w:sz w:val="17"/>
          <w:szCs w:val="17"/>
          <w:color w:val="auto"/>
        </w:rPr>
        <w:t>Our restated certificate of incorporation and restated bylaws authorize only our board of directors to fill vacant</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77" w:lineRule="exact"/>
        <w:rPr>
          <w:rFonts w:ascii="Arial" w:cs="Arial" w:eastAsia="Arial" w:hAnsi="Arial"/>
          <w:sz w:val="17"/>
          <w:szCs w:val="17"/>
          <w:color w:val="auto"/>
        </w:rPr>
      </w:pPr>
    </w:p>
    <w:p>
      <w:pPr>
        <w:jc w:val="both"/>
        <w:ind w:left="660" w:right="20" w:hanging="206"/>
        <w:spacing w:after="0" w:line="286"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restated certificate of incorporation and restated bylaws provide that our board is classified into three classes of directors, each</w:t>
      </w:r>
      <w:r>
        <w:rPr>
          <w:rFonts w:ascii="Arial" w:cs="Arial" w:eastAsia="Arial" w:hAnsi="Arial"/>
          <w:sz w:val="17"/>
          <w:szCs w:val="17"/>
          <w:i w:val="1"/>
          <w:iCs w:val="1"/>
          <w:color w:val="auto"/>
        </w:rPr>
        <w:t xml:space="preserve"> </w:t>
      </w:r>
      <w:r>
        <w:rPr>
          <w:rFonts w:ascii="Arial" w:cs="Arial" w:eastAsia="Arial" w:hAnsi="Arial"/>
          <w:sz w:val="17"/>
          <w:szCs w:val="17"/>
          <w:color w:val="auto"/>
        </w:rPr>
        <w:t>with 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70" w:lineRule="exact"/>
        <w:rPr>
          <w:rFonts w:ascii="Arial" w:cs="Arial" w:eastAsia="Arial" w:hAnsi="Arial"/>
          <w:sz w:val="17"/>
          <w:szCs w:val="17"/>
          <w:color w:val="auto"/>
        </w:rPr>
      </w:pPr>
    </w:p>
    <w:p>
      <w:pPr>
        <w:ind w:left="660" w:right="20" w:hanging="206"/>
        <w:spacing w:after="0" w:line="272"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Stockholder Action; Special Meetings of Stockholders. </w:t>
      </w:r>
      <w:r>
        <w:rPr>
          <w:rFonts w:ascii="Arial" w:cs="Arial" w:eastAsia="Arial" w:hAnsi="Arial"/>
          <w:sz w:val="17"/>
          <w:szCs w:val="17"/>
          <w:color w:val="auto"/>
        </w:rPr>
        <w:t>Our restated certificate of incorporation provides that our stockholders may not take action by</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chairman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83" w:lineRule="exact"/>
        <w:rPr>
          <w:rFonts w:ascii="Arial" w:cs="Arial" w:eastAsia="Arial" w:hAnsi="Arial"/>
          <w:sz w:val="17"/>
          <w:szCs w:val="17"/>
          <w:color w:val="auto"/>
        </w:rPr>
      </w:pPr>
    </w:p>
    <w:p>
      <w:pPr>
        <w:ind w:left="660" w:right="260" w:hanging="206"/>
        <w:spacing w:after="0" w:line="25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Advance Notice Requirements for Stockholder Proposals and Director Nominations. </w:t>
      </w:r>
      <w:r>
        <w:rPr>
          <w:rFonts w:ascii="Arial" w:cs="Arial" w:eastAsia="Arial" w:hAnsi="Arial"/>
          <w:sz w:val="18"/>
          <w:szCs w:val="18"/>
          <w:color w:val="auto"/>
        </w:rPr>
        <w:t>Our restated bylaws provide advance notice procedures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80" w:right="340"/>
        <w:spacing w:after="0" w:line="308" w:lineRule="auto"/>
        <w:rPr>
          <w:sz w:val="20"/>
          <w:szCs w:val="20"/>
          <w:color w:val="auto"/>
        </w:rPr>
      </w:pPr>
      <w:r>
        <w:rPr>
          <w:rFonts w:ascii="Arial" w:cs="Arial" w:eastAsia="Arial" w:hAnsi="Arial"/>
          <w:sz w:val="17"/>
          <w:szCs w:val="17"/>
          <w:color w:val="auto"/>
        </w:rPr>
        <w:t>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52" w:lineRule="exact"/>
        <w:rPr>
          <w:sz w:val="20"/>
          <w:szCs w:val="20"/>
          <w:color w:val="auto"/>
        </w:rPr>
      </w:pPr>
    </w:p>
    <w:p>
      <w:pPr>
        <w:jc w:val="both"/>
        <w:ind w:left="660" w:right="400" w:hanging="206"/>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No Cumulative Voting. </w:t>
      </w:r>
      <w:r>
        <w:rPr>
          <w:rFonts w:ascii="Arial" w:cs="Arial" w:eastAsia="Arial" w:hAnsi="Arial"/>
          <w:sz w:val="18"/>
          <w:szCs w:val="18"/>
          <w:color w:val="auto"/>
        </w:rPr>
        <w:t>The Delaware General Corporation Law provides that stockholders are not entitled to the right to cumulate votes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election of directors unless a corporation’s certificate of incorporation provides otherwise. Our restated certificate of incorporation and restated bylaws do not provide for cumulative voting.</w:t>
      </w:r>
    </w:p>
    <w:p>
      <w:pPr>
        <w:spacing w:after="0" w:line="86" w:lineRule="exact"/>
        <w:rPr>
          <w:rFonts w:ascii="Arial" w:cs="Arial" w:eastAsia="Arial" w:hAnsi="Arial"/>
          <w:sz w:val="18"/>
          <w:szCs w:val="18"/>
          <w:color w:val="auto"/>
        </w:rPr>
      </w:pPr>
    </w:p>
    <w:p>
      <w:pPr>
        <w:ind w:left="660" w:right="300" w:hanging="206"/>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Directors Removed Only for Cause. </w:t>
      </w:r>
      <w:r>
        <w:rPr>
          <w:rFonts w:ascii="Arial" w:cs="Arial" w:eastAsia="Arial" w:hAnsi="Arial"/>
          <w:sz w:val="18"/>
          <w:szCs w:val="18"/>
          <w:color w:val="auto"/>
        </w:rPr>
        <w:t>Our restated certificate of incorporation provides that stockholders may remove directors only for cause and</w:t>
      </w:r>
      <w:r>
        <w:rPr>
          <w:rFonts w:ascii="Arial" w:cs="Arial" w:eastAsia="Arial" w:hAnsi="Arial"/>
          <w:sz w:val="18"/>
          <w:szCs w:val="18"/>
          <w:i w:val="1"/>
          <w:iCs w:val="1"/>
          <w:color w:val="auto"/>
        </w:rPr>
        <w:t xml:space="preserve"> </w:t>
      </w:r>
      <w:r>
        <w:rPr>
          <w:rFonts w:ascii="Arial" w:cs="Arial" w:eastAsia="Arial" w:hAnsi="Arial"/>
          <w:sz w:val="18"/>
          <w:szCs w:val="18"/>
          <w:color w:val="auto"/>
        </w:rPr>
        <w:t>only by the affirmative vote of the holders of at least two-thirds of our outstanding common stock.</w:t>
      </w:r>
    </w:p>
    <w:p>
      <w:pPr>
        <w:spacing w:after="0" w:line="75" w:lineRule="exact"/>
        <w:rPr>
          <w:rFonts w:ascii="Arial" w:cs="Arial" w:eastAsia="Arial" w:hAnsi="Arial"/>
          <w:sz w:val="18"/>
          <w:szCs w:val="18"/>
          <w:color w:val="auto"/>
        </w:rPr>
      </w:pPr>
    </w:p>
    <w:p>
      <w:pPr>
        <w:ind w:left="660" w:right="220" w:hanging="206"/>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Amendment of Charter Provisions. </w:t>
      </w:r>
      <w:r>
        <w:rPr>
          <w:rFonts w:ascii="Arial" w:cs="Arial" w:eastAsia="Arial" w:hAnsi="Arial"/>
          <w:sz w:val="18"/>
          <w:szCs w:val="18"/>
          <w:color w:val="auto"/>
        </w:rPr>
        <w:t>Any amendment of the above provisions in our restated certificate of incorporation would require approval by</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at least two-thirds of our outstanding common stock.</w:t>
      </w:r>
    </w:p>
    <w:p>
      <w:pPr>
        <w:spacing w:after="0" w:line="75" w:lineRule="exact"/>
        <w:rPr>
          <w:rFonts w:ascii="Arial" w:cs="Arial" w:eastAsia="Arial" w:hAnsi="Arial"/>
          <w:sz w:val="18"/>
          <w:szCs w:val="18"/>
          <w:color w:val="auto"/>
        </w:rPr>
      </w:pPr>
    </w:p>
    <w:p>
      <w:pPr>
        <w:ind w:left="660" w:hanging="206"/>
        <w:spacing w:after="0" w:line="279"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Issuance of Undesignated Preferred Stock. </w:t>
      </w:r>
      <w:r>
        <w:rPr>
          <w:rFonts w:ascii="Arial" w:cs="Arial" w:eastAsia="Arial" w:hAnsi="Arial"/>
          <w:sz w:val="17"/>
          <w:szCs w:val="17"/>
          <w:color w:val="auto"/>
        </w:rPr>
        <w:t>Our board of directors has the authority, without further action by the stockholders, to issue up to</w:t>
      </w:r>
      <w:r>
        <w:rPr>
          <w:rFonts w:ascii="Arial" w:cs="Arial" w:eastAsia="Arial" w:hAnsi="Arial"/>
          <w:sz w:val="17"/>
          <w:szCs w:val="17"/>
          <w:i w:val="1"/>
          <w:iCs w:val="1"/>
          <w:color w:val="auto"/>
        </w:rPr>
        <w:t xml:space="preserve"> </w:t>
      </w:r>
      <w:r>
        <w:rPr>
          <w:rFonts w:ascii="Arial" w:cs="Arial" w:eastAsia="Arial" w:hAnsi="Arial"/>
          <w:sz w:val="17"/>
          <w:szCs w:val="17"/>
          <w:color w:val="auto"/>
        </w:rPr>
        <w:t>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76" w:lineRule="exact"/>
        <w:rPr>
          <w:rFonts w:ascii="Arial" w:cs="Arial" w:eastAsia="Arial" w:hAnsi="Arial"/>
          <w:sz w:val="17"/>
          <w:szCs w:val="17"/>
          <w:color w:val="auto"/>
        </w:rPr>
      </w:pPr>
    </w:p>
    <w:p>
      <w:pPr>
        <w:ind w:left="660" w:hanging="206"/>
        <w:spacing w:after="0" w:line="25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Choice of Forum. </w:t>
      </w:r>
      <w:r>
        <w:rPr>
          <w:rFonts w:ascii="Arial" w:cs="Arial" w:eastAsia="Arial" w:hAnsi="Arial"/>
          <w:sz w:val="18"/>
          <w:szCs w:val="18"/>
          <w:color w:val="auto"/>
        </w:rPr>
        <w:t>Our restated certificate of incorporation provides that the Court of Chancery of the State of Delaware will be the exclusive forum</w:t>
      </w:r>
      <w:r>
        <w:rPr>
          <w:rFonts w:ascii="Arial" w:cs="Arial" w:eastAsia="Arial" w:hAnsi="Arial"/>
          <w:sz w:val="18"/>
          <w:szCs w:val="18"/>
          <w:i w:val="1"/>
          <w:iCs w:val="1"/>
          <w:color w:val="auto"/>
        </w:rPr>
        <w:t xml:space="preserve"> </w:t>
      </w:r>
      <w:r>
        <w:rPr>
          <w:rFonts w:ascii="Arial" w:cs="Arial" w:eastAsia="Arial" w:hAnsi="Arial"/>
          <w:sz w:val="18"/>
          <w:szCs w:val="18"/>
          <w:color w:val="auto"/>
        </w:rPr>
        <w:t>for any derivative action or proceeding brought on our behalf; any action asserting a breach of fiduciary duty; any action asserting a claim against us arising pursuant to the Delaware General Corporation Law, our restated certificate of incorporation or our restated bylaws; or any action asserting a claim against us that is governed by the internal affairs doctrine.</w:t>
      </w: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transfer agent and registrar for our common stock is American Stock Transfer and Trust Company, LLC. The transfer agent’s address is 6201 15th Avenue, Brooklyn, New York 11219, and its telephone number is (800) 937-5449.</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2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section summarizes the material U.S. federal income tax considerations relating to the acquisition, ownership and disposition of our common stock acquired in this offering by “non-U.S. holders” (as defined below). This summary does not provide a complete analysis of all potential U.S. federal income tax considerations relating thereto. The information provided below is based upon provisions of the Internal Revenue Code of 1986, as amended, or the Code, Treasury regulations promulgated thereunder, administrative rulings and judicial decisions currently in effect. These authorities may change at any time, possibly retroactively, or the Internal Revenue Service, or IRS, might interpret the existing authorities differently. In either case, the tax considerations of owning or disposing of our common stock could differ from those described below. As a result, we cannot assure you that the tax consequences described in this discussion will not be challenged by the IRS or will be sustained by a court if challenged by the IRS.</w:t>
      </w:r>
    </w:p>
    <w:p>
      <w:pPr>
        <w:spacing w:after="0" w:line="17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This summary does not address the tax considerations arising under the laws of any non-U.S., state or local jurisdiction, or under U.S. federal gift and estate tax laws, except to the limited extent provided below. In addition, this discussion does not address tax considerations applicable to an investor’s particular circumstances or to investors that may be subject to special tax rules, including, without limitation:</w:t>
      </w:r>
    </w:p>
    <w:p>
      <w:pPr>
        <w:spacing w:after="0" w:line="87" w:lineRule="exact"/>
        <w:rPr>
          <w:sz w:val="20"/>
          <w:szCs w:val="20"/>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partnerships or other entities treated as partnerships or pass-through entities for U.S. federal tax purposes (or investors in such entities);</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Medicare contribution tax on net investment income;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tax-exempt organizations or tax-qualified retirement plans;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controlled foreign corporations or passive foreign investment companies;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who acquired our common stock as compensation for services;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that own, or are deemed to own, more than 5% of our capital stock (except to the extent specifically set forth below);</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persons who hold our common stock as a position in a hedging transaction, “straddle,” “conversion transaction” or other risk reduction transaction;</w:t>
      </w:r>
    </w:p>
    <w:p>
      <w:pPr>
        <w:spacing w:after="0" w:line="153" w:lineRule="exact"/>
        <w:rPr>
          <w:rFonts w:ascii="Arial" w:cs="Arial" w:eastAsia="Arial" w:hAnsi="Arial"/>
          <w:sz w:val="16"/>
          <w:szCs w:val="16"/>
          <w:color w:val="auto"/>
        </w:rPr>
      </w:pPr>
    </w:p>
    <w:p>
      <w:pPr>
        <w:ind w:left="660" w:right="160" w:hanging="206"/>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2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if a partnership or entity classified as a partnership or other pass-through entity for U.S. federal income tax purposes is a beneficial owner of our common stock, the tax treatment of a partner in the partnership or an owner of the entity will depend upon the status of the partner or other owner and the activities of the partnership or other entity. Accordingly, this summary does not address tax considerations applicable to partnerships that hold our common stock, and partners in such partnerships should consult their tax advisors.</w:t>
      </w:r>
    </w:p>
    <w:p>
      <w:pPr>
        <w:spacing w:after="0" w:line="18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INVESTORS CONSIDERING THE PURCHASE OF OUR COMMON STOCK SHOULD CONSULT THEIR OWN TAX ADVISORS REGARDING THE APPLICATION OF THE U.S. FEDERAL INCOME AND ESTATE TAX LAWS TO THEIR PARTICULAR SITUATIONS AND THE CONSEQUENCES OF FOREIGN, STATE OR LOCAL LAWS, AND TAX TREATIES.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Non-U.S. Holder Defined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summary, a “non-U.S. holder” is any beneficial owner of our common stock, other than a partnership, that is not:</w:t>
      </w:r>
    </w:p>
    <w:p>
      <w:pPr>
        <w:spacing w:after="0" w:line="131" w:lineRule="exact"/>
        <w:rPr>
          <w:sz w:val="20"/>
          <w:szCs w:val="20"/>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under the laws of the United States, any state therein or the District of Columbia;</w:t>
      </w:r>
    </w:p>
    <w:p>
      <w:pPr>
        <w:spacing w:after="0" w:line="75"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trust if it (i) is subject to the primary supervision of a U.S. court and one of more U.S. persons have authority to control all substantial decisions of the trust or (ii) has a valid election in effect under the applicable Treasury regulations to be treated as a U.S. person; or</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estate whose income is subject to U.S. income tax regardless of source.</w:t>
      </w:r>
    </w:p>
    <w:p>
      <w:pPr>
        <w:spacing w:after="0" w:line="225"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6"/>
          <w:szCs w:val="16"/>
          <w:color w:val="auto"/>
        </w:rPr>
        <w:t>If you are a non-U.S. citizen who is an individual,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subject to U.S. federal income tax as if they were U.S. citizens.</w:t>
      </w:r>
    </w:p>
    <w:p>
      <w:pPr>
        <w:spacing w:after="0" w:line="2"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Such an individual is urged to consult his or her own tax advisor regarding the U.S. federal income tax consequences of the ownership or disposition of our common stock.</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remaining excess will be treated as gain realized on the sale or other disposition of our common stock. See “—Sale of Common Stock.”</w:t>
      </w:r>
    </w:p>
    <w:p>
      <w:pPr>
        <w:spacing w:after="0" w:line="15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 Form W-8BEN or Form W-8BEN-E (or any successor of such forms) or appropriate substitute form to us or our paying agent. If the non-U.S. holder holds the stock through a financial institution or other agent acting on the holder’s behalf, the holder will be required to provide appropriate documentation to the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7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corporate non-U.S. holders that are effectively connected with a U.S. trade or business of the corporate non-U.S. holder may also be subject to a branch profits tax at a rate of 30% or such lower rate as may be specified by an applicable tax treaty.</w:t>
      </w:r>
    </w:p>
    <w:p>
      <w:pPr>
        <w:spacing w:after="0" w:line="17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See also the section below titled “—Foreign Account Tax Compliance Act” for additional withholding rules that may apply to dividends paid to certain foreign financial institutions or non-financial foreign entities.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 of 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Subject to the discussions below regarding Backup Withholding and Information Reporting and the Foreign Account Tax Compliance Act, non-U.S.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will generally not be subject to U.S. federal income tax on any gains realized on the sale, exchange or other disposition of our common stock unless:</w:t>
      </w:r>
    </w:p>
    <w:p>
      <w:pPr>
        <w:spacing w:after="0" w:line="139" w:lineRule="exact"/>
        <w:rPr>
          <w:sz w:val="20"/>
          <w:szCs w:val="20"/>
          <w:color w:val="auto"/>
        </w:rPr>
      </w:pPr>
    </w:p>
    <w:p>
      <w:pPr>
        <w:jc w:val="both"/>
        <w:ind w:left="660" w:right="140" w:hanging="206"/>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86"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92"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rules of the Foreign Investment in Real Property Tax Act, or FIRPTA, treat the gain as effectively connected with a U.S. trade or business.</w:t>
      </w:r>
    </w:p>
    <w:p>
      <w:pPr>
        <w:spacing w:after="0" w:line="23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become a USRPHC, gain realized by a Non U.S. Holder on a disposition of our common stock will not be subject to U.S. federal income tax so long as (1) the Non U.S. Holder owned, directly, indirectly or constructively, no more than five percent of our common stock at all times within the shorter of (i) the five year period preceding the disposition or (ii) the holder’s holding period and (2) our common stock is regularly traded on an established securities market.</w:t>
      </w:r>
    </w:p>
    <w:p>
      <w:pPr>
        <w:spacing w:after="0" w:line="18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The branch profits tax rate is 30%, although an applicable income tax treaty between the United States and the non-U.S. holder’s country of residence might provide for a lower rate.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 Federal Estate Tax</w:t>
      </w:r>
    </w:p>
    <w:p>
      <w:pPr>
        <w:spacing w:after="0" w:line="229"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 purposes than for U.S. federal income tax purposes. Investors are urged to consult their own tax advisors regarding the U.S. federal estate tax consequences of the ownership or disposition of our common stock.</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Code and the Treasury regulations require those who make specified payments to report the payments to the IRS. Among the specified payments are dividends and proceeds paid by brokers to their customers. The required information returns enable the IRS to determine whether the recipient properly included the payments in income. This reporting regime is reinforced by “backup withholding” rules. These rules require the payors to withhold tax from payments subject to information reporting if the recipient fails to cooperate with the reporting regime by failing to provide his taxpayer identification number to the payor, furnishing an incorrect identification number, or failing to report interest or dividends on his returns. The backup withholding tax rate is currently 28%. The backup withholding rules do not apply to payments to corporations, whether domestic or foreign, provided they establish such exemption.</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Payments to non-U.S. holders of dividends on common stock generally will not be subject to backup withholding, and payments of proceeds made to non-U.S. holders by a broker upon a sale of common stock will not be subject to information reporting or backup withholding, in each case so long as the non-U.S. holder certifies its nonresident status (and we or our paying agent do not have actual knowledge or reason to know the holder is a U.S. person or that the conditions of any other exemption are not, in fact, satisfied) or otherwise establishes an exemption. The certification procedures to claim treaty benefits described under “—Dividends” will generally satisfy the certification requirements necessary to avoid the backup withholding tax. We must report annually to the IRS any dividends paid to each non-U.S. holder and the tax withheld, if any, with respect to these dividends. Copies of these reports may be made available to tax authorities in the country where the non-U.S. holder resides.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the Treasury regulations, the payment of proceeds from the disposition of shares of our common stock by a non-U.S. holder made to or through a U.S. office of a broker generally will be subject to information reporting and backup withholding unless the beneficial owner certifies, under penalties of perjury, among other things, its status as a non-U.S. holder (and the broker does not have actual knowledge or reason to know the holder is a U.S. person) or otherwise establishes an exemption. The payment of proceeds from the disposition of shares of our common stock by a non-U.S. holder made to or through a non-U.S. office of a broker generally will not be subject to backup withholding and information reporting, except as noted below. Information reporting, but not backup withholding, will apply to a payment of proceeds, even if that payment is made outside of the United States, if you sell our common stock through a non-U.S. office of a broker that is:</w:t>
      </w:r>
    </w:p>
    <w:p>
      <w:pPr>
        <w:spacing w:after="0" w:line="95" w:lineRule="exact"/>
        <w:rPr>
          <w:sz w:val="20"/>
          <w:szCs w:val="20"/>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U.S. person (including a foreign branch or office of such person);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“controlled foreign corporation” for U.S. federal income tax purposes;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foreign person 50% or more of whose gross income from certain periods is effectively connected with a U.S. trade or business; or</w:t>
      </w:r>
    </w:p>
    <w:p>
      <w:pPr>
        <w:spacing w:after="0" w:line="130" w:lineRule="exact"/>
        <w:rPr>
          <w:rFonts w:ascii="Arial" w:cs="Arial" w:eastAsia="Arial" w:hAnsi="Arial"/>
          <w:sz w:val="18"/>
          <w:szCs w:val="18"/>
          <w:color w:val="auto"/>
        </w:rPr>
      </w:pPr>
    </w:p>
    <w:p>
      <w:pPr>
        <w:ind w:left="660" w:right="140" w:hanging="206"/>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foreign partnership if at any time during its tax year (a) one or more of its partners are U.S. persons who, in the aggregate, hold more than 50% of the income or capital interests of the partnership or (b) the foreign partnership is engaged in a U.S. trade or business;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unless the broker has documentary evidence that the beneficial owner is a non-U.S. holder and certain other conditions are satisfied, or the beneficial owner otherwise establishes an exemption (and the broker has no actual knowledge or reason to know to the contrary).</w:t>
      </w:r>
    </w:p>
    <w:p>
      <w:pPr>
        <w:spacing w:after="0" w:line="170"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Backup withholding is not an additional tax. Any amounts withheld from a payment to a holder of common stock under the backup withholding rules can be credited against any U.S. federal income tax liability of the holder and may entitle the holder to a refund, provided that the required information is furnished to the IRS in a timely manner.</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Foreign Account Tax Compliance Act</w:t>
      </w:r>
    </w:p>
    <w:p>
      <w:pPr>
        <w:spacing w:after="0" w:line="229"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 U.S. federal withholding tax of 30% may apply to dividends and the gross proceeds of a disposition of our common stock paid to a foreign financial institution (as specifically defined by the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and the gross proceeds of a disposition of our common stock paid to a non-financial foreign entity unless such entity provides the withholding agent with either a certification that it does not have any substantial direct or indirect U.S. owners or provides information regarding direct and indirect U.S. owners of the entity. The 30% federal withholding tax described in this paragraph cannot be reduced under an income tax treaty with the United States or by providing an IRS Form W-8BEN or similar documentation. The withholding tax described above will not apply if the foreign financial institution or non-financial foreign entity otherwise qualifies for an exemption from the rules. Under certain circumstances, a non-U.S. holder might be eligible for refunds or credits of such taxes. Holders should consult with their own tax advisors regarding the possible implications of the withholding described herein. Foreign financial institutions located in jurisdictions that have an intergovernmental agreement with the United States governing FATCA may be subject to different rules.</w:t>
      </w:r>
    </w:p>
    <w:p>
      <w:pPr>
        <w:spacing w:after="0" w:line="18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withholding provisions described above generally will apply to proceeds from a sale or other disposition of common stock if such sale or other disposition occurs on or after January 1, 2019 and currently apply to payments of dividends on our common stock.</w:t>
      </w:r>
    </w:p>
    <w:p>
      <w:pPr>
        <w:spacing w:after="0" w:line="170"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EACH PROSPECTIVE INVESTOR SHOULD CONSULT ITS OWN TAX ADVISOR REGARDING THE PARTICULAR U.S. FEDERAL, STATE, LOCAL AND FOREIGN TAX CONSEQUENCES OF PURCHASING, HOLDING AND DISPOSING OF OUR COMMON STOCK, INCLUDING THE CONSEQUENCES OF ANY PROPOSED CHANGE IN APPLICABLE LAWS.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Under the terms and subject to the conditions contained in an underwriting agreement dated October 12, 2017, we have agreed to sell to the underwriters named below, for whom Credit Suisse Securities (USA) LLC, Jefferies LLC and Stifel, Nicolaus &amp; Company, Incorporated are acting as representatives, the following respective numbers of shares of common stock: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58"/>
        </w:trPr>
        <w:tc>
          <w:tcPr>
            <w:tcW w:w="10480" w:type="dxa"/>
            <w:vAlign w:val="bottom"/>
            <w:gridSpan w:val="2"/>
            <w:vMerge w:val="continue"/>
          </w:tcPr>
          <w:p>
            <w:pPr>
              <w:spacing w:after="0"/>
              <w:rPr>
                <w:sz w:val="13"/>
                <w:szCs w:val="13"/>
                <w:color w:val="auto"/>
              </w:rPr>
            </w:pPr>
          </w:p>
        </w:tc>
        <w:tc>
          <w:tcPr>
            <w:tcW w:w="9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7"/>
              </w:rPr>
              <w:t>of Shares</w:t>
            </w:r>
          </w:p>
        </w:tc>
        <w:tc>
          <w:tcPr>
            <w:tcW w:w="0" w:type="dxa"/>
            <w:vAlign w:val="bottom"/>
          </w:tcPr>
          <w:p>
            <w:pPr>
              <w:spacing w:after="0"/>
              <w:rPr>
                <w:sz w:val="1"/>
                <w:szCs w:val="1"/>
                <w:color w:val="auto"/>
              </w:rPr>
            </w:pPr>
          </w:p>
        </w:tc>
      </w:tr>
      <w:tr>
        <w:trPr>
          <w:trHeight w:val="20"/>
        </w:trPr>
        <w:tc>
          <w:tcPr>
            <w:tcW w:w="780" w:type="dxa"/>
            <w:vAlign w:val="bottom"/>
            <w:tcBorders>
              <w:bottom w:val="single" w:sz="8" w:color="CCEEFF"/>
            </w:tcBorders>
            <w:shd w:val="clear" w:color="auto" w:fill="000000"/>
          </w:tcPr>
          <w:p>
            <w:pPr>
              <w:spacing w:after="0" w:line="20" w:lineRule="exact"/>
              <w:rPr>
                <w:sz w:val="1"/>
                <w:szCs w:val="1"/>
                <w:color w:val="auto"/>
              </w:rPr>
            </w:pPr>
          </w:p>
        </w:tc>
        <w:tc>
          <w:tcPr>
            <w:tcW w:w="97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04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Credit Suisse Securities (USA) LLC</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1,200,000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88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Stifel, Nicolaus &amp; Company, Incorporated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880" w:type="dxa"/>
            <w:vAlign w:val="bottom"/>
          </w:tcPr>
          <w:p>
            <w:pPr>
              <w:jc w:val="right"/>
              <w:spacing w:after="0"/>
              <w:rPr>
                <w:sz w:val="20"/>
                <w:szCs w:val="20"/>
                <w:color w:val="auto"/>
              </w:rPr>
            </w:pPr>
            <w:r>
              <w:rPr>
                <w:rFonts w:ascii="Arial" w:cs="Arial" w:eastAsia="Arial" w:hAnsi="Arial"/>
                <w:sz w:val="18"/>
                <w:szCs w:val="18"/>
                <w:color w:val="auto"/>
              </w:rPr>
              <w:t>240,000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W. Baird &amp; Co. Incorporated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480" w:type="dxa"/>
            <w:vAlign w:val="bottom"/>
            <w:gridSpan w:val="2"/>
          </w:tcPr>
          <w:p>
            <w:pPr>
              <w:spacing w:after="0"/>
              <w:rPr>
                <w:sz w:val="20"/>
                <w:szCs w:val="20"/>
                <w:color w:val="auto"/>
              </w:rPr>
            </w:pPr>
            <w:r>
              <w:rPr>
                <w:rFonts w:ascii="Arial" w:cs="Arial" w:eastAsia="Arial" w:hAnsi="Arial"/>
                <w:sz w:val="18"/>
                <w:szCs w:val="18"/>
                <w:color w:val="auto"/>
              </w:rPr>
              <w:t>SunTrust Robinson Humphrey, Inc.</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underwriting agreement provides that the underwriters are obligated to purchase all the shares of common stock in the offering if any are purchased, other than those shares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66"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have granted to the underwriters a 30-day option to purchase on a pro rata basis up to 450,000 additional shares at the public offering price less the underwriting discounts and commissions.</w:t>
      </w:r>
    </w:p>
    <w:p>
      <w:pPr>
        <w:spacing w:after="0" w:line="170"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underwriters propose to offer the shares of common stock initially at the public offering price on the cover page of this prospectus and to selling group members at that price less a selling concession of $2.1578 per share. After the public offering the underwriters may change the public offering price and concession and discount to broker/dealers.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compensation we will pay: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tcPr>
          <w:p>
            <w:pPr>
              <w:spacing w:after="0"/>
              <w:rPr>
                <w:sz w:val="14"/>
                <w:szCs w:val="14"/>
                <w:color w:val="auto"/>
              </w:rPr>
            </w:pPr>
          </w:p>
        </w:tc>
        <w:tc>
          <w:tcPr>
            <w:tcW w:w="172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Per Share</w:t>
            </w:r>
          </w:p>
        </w:tc>
        <w:tc>
          <w:tcPr>
            <w:tcW w:w="3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060" w:type="dxa"/>
            <w:vAlign w:val="bottom"/>
          </w:tcPr>
          <w:p>
            <w:pPr>
              <w:spacing w:after="0"/>
              <w:rPr>
                <w:sz w:val="10"/>
                <w:szCs w:val="10"/>
                <w:color w:val="auto"/>
              </w:rPr>
            </w:pPr>
          </w:p>
        </w:tc>
        <w:tc>
          <w:tcPr>
            <w:tcW w:w="106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Without</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With</w:t>
            </w:r>
          </w:p>
        </w:tc>
        <w:tc>
          <w:tcPr>
            <w:tcW w:w="380" w:type="dxa"/>
            <w:vAlign w:val="bottom"/>
          </w:tcPr>
          <w:p>
            <w:pPr>
              <w:spacing w:after="0"/>
              <w:rPr>
                <w:sz w:val="10"/>
                <w:szCs w:val="10"/>
                <w:color w:val="auto"/>
              </w:rPr>
            </w:pP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Without</w:t>
            </w:r>
          </w:p>
        </w:tc>
        <w:tc>
          <w:tcPr>
            <w:tcW w:w="380" w:type="dxa"/>
            <w:vAlign w:val="bottom"/>
          </w:tcPr>
          <w:p>
            <w:pPr>
              <w:spacing w:after="0"/>
              <w:rPr>
                <w:sz w:val="10"/>
                <w:szCs w:val="10"/>
                <w:color w:val="auto"/>
              </w:rPr>
            </w:pPr>
          </w:p>
        </w:tc>
        <w:tc>
          <w:tcPr>
            <w:tcW w:w="92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8"/>
              </w:rPr>
              <w:t>With Option</w:t>
            </w: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Option to</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Option to</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Option to</w:t>
            </w:r>
          </w:p>
        </w:tc>
        <w:tc>
          <w:tcPr>
            <w:tcW w:w="3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Purchase</w:t>
            </w: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Purchase</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38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to Purchase</w:t>
            </w: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38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71"/>
        </w:trPr>
        <w:tc>
          <w:tcPr>
            <w:tcW w:w="7060" w:type="dxa"/>
            <w:vAlign w:val="bottom"/>
            <w:vMerge w:val="restart"/>
          </w:tcPr>
          <w:p>
            <w:pPr>
              <w:spacing w:after="0"/>
              <w:rPr>
                <w:sz w:val="20"/>
                <w:szCs w:val="20"/>
                <w:color w:val="auto"/>
              </w:rPr>
            </w:pPr>
            <w:r>
              <w:rPr>
                <w:rFonts w:ascii="Arial" w:cs="Arial" w:eastAsia="Arial" w:hAnsi="Arial"/>
                <w:sz w:val="18"/>
                <w:szCs w:val="18"/>
                <w:color w:val="auto"/>
              </w:rPr>
              <w:t>Underwriting Discounts and Commissions paid by us</w:t>
            </w: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Shares</w:t>
            </w: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Shares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4"/>
                <w:szCs w:val="14"/>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224"/>
        </w:trPr>
        <w:tc>
          <w:tcPr>
            <w:tcW w:w="7060" w:type="dxa"/>
            <w:vAlign w:val="bottom"/>
            <w:vMerge w:val="continue"/>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$ 3.5963</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$ 3.5963</w:t>
            </w:r>
          </w:p>
        </w:tc>
        <w:tc>
          <w:tcPr>
            <w:tcW w:w="38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$10,788,900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$12,407,235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estimate that our out of pocket expenses for this offering will be approximately $434,060. We have also agreed to reimburse the underwriters for up to $35,000 for their FINRA counsel fee. In accordance with FINRA Rule 5110, this reimbursed fee is deemed underwriting compensation for this offering. In addition, the underwriters have agreed to reimburse us for certain expenses.</w:t>
      </w:r>
    </w:p>
    <w:p>
      <w:pPr>
        <w:spacing w:after="0" w:line="18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We and our executive officers and directors (other than Dr. Lydon) have agreed with the underwriters that, for a period of 90 days after the date of this prospectus, and Dr. Lydon and entities affiliated with Frazier Healthcare have agreed with the underwriters that, for a period of 60 days after the date of this prospectus, subject to certain exceptions, we and they will not (1) offer, sell, pledge, contract to sell, sell any option or contract to purchase, purchase any option or contract to sell, grant any option, right or warrant to purchase, lend, or otherwise transfer or dispose of (or enter into any transaction which is designed to, or might reasonably be expected to, result in the disposition), directly or indirectly, including the filing (or participation in the filing)</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with the SEC of a registration statement under the Securities Act to register, any shares of our common stock or any securities convertible into or exercisable or exchangeable for our common stock or warrants or other rights to acquire shares of our common stock of which such officer, director or holder is now, or may in the future become, the beneficial owner (within the meaning of Rule 13d-3 under the Exchange Act), or (2) enter into any swap or other derivatives transaction that transfers to another, in whole or in part, directly or indirectly, any of the economic benefits or risks of ownership of such common stock, securities, warrants or other rights to acquire common stock, whether any such transaction described in clause (1) or (2) above is to be settled by delivery of common stock or other securities, in cash or otherwise, or (3) publicly disclose the intention to enter into any transaction described in clause (1) or (2) above, except with the prior written consent of Credit Suisse Securities (USA) LLC.</w:t>
      </w:r>
    </w:p>
    <w:p>
      <w:pPr>
        <w:spacing w:after="0" w:line="17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restrictions on our executive officers and directors and their affiliates above do not apply to the following, subject to certain limitations set forth in the lock-up agreements:</w:t>
      </w:r>
    </w:p>
    <w:p>
      <w:pPr>
        <w:spacing w:after="0" w:line="76"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transfers of securities as a bona fide gift;</w:t>
      </w:r>
    </w:p>
    <w:p>
      <w:pPr>
        <w:spacing w:after="0" w:line="130"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transfers or dispositions of securities to any trust for the direct or indirect benefit of the lock-up signatory or any member of the immediate family of the lock-up signatory;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transfers of securities to affiliates;</w:t>
      </w:r>
    </w:p>
    <w:p>
      <w:pPr>
        <w:spacing w:after="0" w:line="130"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transfers of securities by will, other testamentary document or intestate succession to the legal representative, heir, beneficiary or a member of the immediate family of the lock-up signatory;</w:t>
      </w:r>
    </w:p>
    <w:p>
      <w:pPr>
        <w:spacing w:after="0" w:line="75"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transfers or dispositions of shares of our common stock or securities convertible or exchangeable into shares of our common stock acquired in open market purchases after the closing of this offering;</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entry into any trading plan established pursuant to Rule 10b5-1 under the Exchange Act;</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exercise of options, warrants or other rights to acquire shares of common stock in accordance with their terms pursuant to an employee benefit plan, option, warrant or other right;</w:t>
      </w:r>
    </w:p>
    <w:p>
      <w:pPr>
        <w:spacing w:after="0" w:line="75" w:lineRule="exact"/>
        <w:rPr>
          <w:rFonts w:ascii="Arial" w:cs="Arial" w:eastAsia="Arial" w:hAnsi="Arial"/>
          <w:sz w:val="18"/>
          <w:szCs w:val="18"/>
          <w:color w:val="auto"/>
        </w:rPr>
      </w:pPr>
    </w:p>
    <w:p>
      <w:pPr>
        <w:ind w:left="660" w:right="340" w:hanging="20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transfers pursuant to a court order or settlement agreement related to the distribution of assets in connection with the dissolution of a marriage or civil union;</w:t>
      </w:r>
    </w:p>
    <w:p>
      <w:pPr>
        <w:spacing w:after="0" w:line="75" w:lineRule="exact"/>
        <w:rPr>
          <w:rFonts w:ascii="Arial" w:cs="Arial" w:eastAsia="Arial" w:hAnsi="Arial"/>
          <w:sz w:val="18"/>
          <w:szCs w:val="18"/>
          <w:color w:val="auto"/>
        </w:rPr>
      </w:pPr>
    </w:p>
    <w:p>
      <w:pPr>
        <w:ind w:left="660" w:right="60" w:hanging="206"/>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transfers to us pursuant to agreements under which we have the option to repurchase such shares or a right of first refusal with respect to transfers of such shares upon termination of service of the lock-up signatory;</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transfers by certain stockholders of shares purchased in this offering; or</w:t>
      </w:r>
    </w:p>
    <w:p>
      <w:pPr>
        <w:spacing w:after="0" w:line="130" w:lineRule="exact"/>
        <w:rPr>
          <w:rFonts w:ascii="Arial" w:cs="Arial" w:eastAsia="Arial" w:hAnsi="Arial"/>
          <w:sz w:val="18"/>
          <w:szCs w:val="18"/>
          <w:color w:val="auto"/>
        </w:rPr>
      </w:pPr>
    </w:p>
    <w:p>
      <w:pPr>
        <w:jc w:val="both"/>
        <w:ind w:left="660" w:right="100" w:hanging="206"/>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transfers of shares of our common stock or any security convertible into or exercisable or exchangeable for common stock pursuant to a liquidation, tender offer, merger, consolidation or similar transaction that results in all of our stockholders having the right to exchange their securities for cash, securities or other property.</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We have agreed to indemnify the underwriters against liabilities under the Securities Act, or contribute to payments that the underwriters may be required to make in that respect.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symbol “ANAB.”</w:t>
      </w:r>
    </w:p>
    <w:p>
      <w:pPr>
        <w:spacing w:after="0" w:line="22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In connection with the offering the underwriters may engage in stabilizing transactions, over-allotment transactions, syndicate covering transactions and penalty bids and passive market making in accordance with Regulation M under the Securities Exchange Act of 1934, as amended, or the Exchange Act.</w:t>
      </w:r>
    </w:p>
    <w:p>
      <w:pPr>
        <w:spacing w:after="0" w:line="29"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Stabilizing transactions permit bids to purchase the underlying security so long as the stabilizing bids do not exceed a specified maximum.</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0" w:hanging="206"/>
        <w:spacing w:after="0" w:line="25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additional shares that they have the option to purchase. In a naked short position, the number of shares involved is greater than the number of additional shares that they have the option to purchase. The underwriters may close out any covered short position by either exercising their option to purchase additional shares and/or purchasing shares in the open market.</w:t>
      </w:r>
    </w:p>
    <w:p>
      <w:pPr>
        <w:spacing w:after="0" w:line="98" w:lineRule="exact"/>
        <w:rPr>
          <w:rFonts w:ascii="Arial" w:cs="Arial" w:eastAsia="Arial" w:hAnsi="Arial"/>
          <w:sz w:val="18"/>
          <w:szCs w:val="18"/>
          <w:color w:val="auto"/>
        </w:rPr>
      </w:pPr>
    </w:p>
    <w:p>
      <w:pPr>
        <w:ind w:left="660" w:right="20" w:hanging="206"/>
        <w:spacing w:after="0" w:line="255"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additional shares through their option. If the underwriters sell more shares than could be covered by the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94" w:lineRule="exact"/>
        <w:rPr>
          <w:rFonts w:ascii="Arial" w:cs="Arial" w:eastAsia="Arial" w:hAnsi="Arial"/>
          <w:sz w:val="18"/>
          <w:szCs w:val="18"/>
          <w:color w:val="auto"/>
        </w:rPr>
      </w:pPr>
    </w:p>
    <w:p>
      <w:pPr>
        <w:ind w:left="660" w:right="440" w:hanging="206"/>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Penalty bids permit the representatives to reclaim a selling concession from a syndicate member when the common stock originally sold by the syndicate member is purchased in a stabilizing or syndicate covering transaction to cover syndicate short positions.</w:t>
      </w:r>
    </w:p>
    <w:p>
      <w:pPr>
        <w:spacing w:after="0" w:line="51" w:lineRule="exact"/>
        <w:rPr>
          <w:rFonts w:ascii="Arial" w:cs="Arial" w:eastAsia="Arial" w:hAnsi="Arial"/>
          <w:sz w:val="17"/>
          <w:szCs w:val="17"/>
          <w:color w:val="auto"/>
        </w:rPr>
      </w:pPr>
    </w:p>
    <w:p>
      <w:pPr>
        <w:ind w:left="660" w:right="160" w:hanging="20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 price of the common stock. As a result the price of our common stock may be higher than the price that might otherwise exist in the open market. These transactions may be effected on The NASDAQ Global Select Market or otherwise and, if commenced, may be discontinued at any time.</w:t>
      </w:r>
    </w:p>
    <w:p>
      <w:pPr>
        <w:spacing w:after="0" w:line="18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71"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These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This document is not intended to constitute an offer or solicitation to purchase or invest in the securities described herein. The securities may not be publicly offered, sold or advertised, directly or indirectly, in, into or from Switzerland and will not be listed on the SIX Swiss Exchange or on any other exchange or regulated trading facility in Switzerland. Neither this document nor any other offering or marketing material relating to the securities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document nor any other offering or marketing material relating to the securities may be publicly distributed or otherwise made publicly available in Switzerland.</w:t>
      </w:r>
    </w:p>
    <w:p>
      <w:pPr>
        <w:spacing w:after="0" w:line="178"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Neither this document nor any other offering or marketing material relating to the offering, nor the Company nor the securities have been or will be filed with or approved by any Swiss regulatory authority. The securities are not subject to the supervision by any Swiss regulatory authority, e.g., the Swiss Financial Markets Supervisory Authority FINMA (FINMA), and investors in the securities will not benefit from protection or supervision by such authority.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each underwriter represents and agrees that with effect from and including the date on which the Prospectus Directive is implemented in that Relevant Member State, it has not made and will not make an offer of securities which are the subject of the offering contemplated by this prospectus to the public in that Relevant Member State other than:</w:t>
      </w:r>
    </w:p>
    <w:p>
      <w:pPr>
        <w:spacing w:after="0" w:line="92"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140" w:hanging="446"/>
        <w:spacing w:after="0" w:line="264"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900" w:right="40" w:hanging="446"/>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securities shall require us or any underwriter to publish a prospectus pursuant to Article 3 of the Prospectus Directive.</w:t>
      </w:r>
    </w:p>
    <w:p>
      <w:pPr>
        <w:spacing w:after="0" w:line="170"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Member State means the communication in any form and by any means of sufficient information on the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terms of the offer and the securities to be offered so as to enable an investor to decide to purchase or subscribe the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900" w:right="60" w:hanging="446"/>
        <w:spacing w:after="0" w:line="31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securities in circumstances in which Section 21 of the FSMA does not apply to us; and</w:t>
      </w:r>
    </w:p>
    <w:p>
      <w:pPr>
        <w:spacing w:after="0" w:line="52" w:lineRule="exact"/>
        <w:rPr>
          <w:rFonts w:ascii="Arial" w:cs="Arial" w:eastAsia="Arial" w:hAnsi="Arial"/>
          <w:sz w:val="16"/>
          <w:szCs w:val="16"/>
          <w:color w:val="auto"/>
        </w:rPr>
      </w:pPr>
    </w:p>
    <w:p>
      <w:pPr>
        <w:ind w:left="900" w:right="140" w:hanging="446"/>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Canadian Residents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1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distribution of shares of common stock offered hereby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offered hereby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1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By purchasing shares of common stock offered hereby in Canada and accepting delivery of a purchase confirmation, a purchaser is representing to us and the dealer from whom the purchase confirmation is received that:</w:t>
      </w:r>
    </w:p>
    <w:p>
      <w:pPr>
        <w:spacing w:after="0" w:line="76" w:lineRule="exact"/>
        <w:rPr>
          <w:sz w:val="20"/>
          <w:szCs w:val="20"/>
          <w:color w:val="auto"/>
        </w:rPr>
      </w:pPr>
    </w:p>
    <w:p>
      <w:pPr>
        <w:ind w:left="660" w:right="180" w:hanging="206"/>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purchaser is entitled under applicable provincial securities laws to purchase the shares without the benefit of a prospectus qualified under those securities laws as it is an “accredited investor” as defined under National Instrument 45-106—</w:t>
      </w:r>
      <w:r>
        <w:rPr>
          <w:rFonts w:ascii="Arial" w:cs="Arial" w:eastAsia="Arial" w:hAnsi="Arial"/>
          <w:sz w:val="17"/>
          <w:szCs w:val="17"/>
          <w:i w:val="1"/>
          <w:iCs w:val="1"/>
          <w:color w:val="auto"/>
        </w:rPr>
        <w:t>Prospectus Exemptions</w:t>
      </w:r>
      <w:r>
        <w:rPr>
          <w:rFonts w:ascii="Arial" w:cs="Arial" w:eastAsia="Arial" w:hAnsi="Arial"/>
          <w:sz w:val="17"/>
          <w:szCs w:val="17"/>
          <w:color w:val="auto"/>
        </w:rPr>
        <w:t>,</w:t>
      </w:r>
    </w:p>
    <w:p>
      <w:pPr>
        <w:spacing w:after="0" w:line="51" w:lineRule="exact"/>
        <w:rPr>
          <w:rFonts w:ascii="Arial" w:cs="Arial" w:eastAsia="Arial" w:hAnsi="Arial"/>
          <w:sz w:val="17"/>
          <w:szCs w:val="17"/>
          <w:color w:val="auto"/>
        </w:rPr>
      </w:pPr>
    </w:p>
    <w:p>
      <w:pPr>
        <w:ind w:left="660" w:right="340" w:hanging="206"/>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purchaser is a “permitted client” as defined in National Instrument 31-103—</w:t>
      </w:r>
      <w:r>
        <w:rPr>
          <w:rFonts w:ascii="Arial" w:cs="Arial" w:eastAsia="Arial" w:hAnsi="Arial"/>
          <w:sz w:val="18"/>
          <w:szCs w:val="18"/>
          <w:i w:val="1"/>
          <w:iCs w:val="1"/>
          <w:color w:val="auto"/>
        </w:rPr>
        <w:t>Registration Requirements, Exemptions and Ongoing Registrant</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17"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Canadian purchasers are hereby notified that the underwriters are relying on the exemption set out in section 3A.3 or 3A.4, if applicable, of National Instrument 33-105—</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Canadian purchasers of shares of common stock offered hereby should consult their own legal and tax advisors with respect to the tax consequences of an investment in the shares in their particular circumstances and about the eligibility of the shares for investment by the purchaser under relevant Canadian legislation.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Neither this prospectus nor any other offering material relating to the securities described in this prospectus has been submitted to the clearance procedures of the Autorité des Marchés Financiers or of the competent authority of another member state of the European Economic Area and notified to the Autorité des Marchés Financiers. The securities have not been offered or sold and will not be offered or sold, directly or indirectly, to the public in France. Neither this prospectus nor any other offering material relating to the securities has been or will be:</w:t>
      </w:r>
    </w:p>
    <w:p>
      <w:pPr>
        <w:spacing w:after="0" w:line="77" w:lineRule="exact"/>
        <w:rPr>
          <w:sz w:val="20"/>
          <w:szCs w:val="20"/>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660" w:right="120" w:hanging="206"/>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securities to the public in France.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131" w:lineRule="exact"/>
        <w:rPr>
          <w:sz w:val="20"/>
          <w:szCs w:val="20"/>
          <w:color w:val="auto"/>
        </w:rPr>
      </w:pPr>
    </w:p>
    <w:p>
      <w:pPr>
        <w:ind w:left="660" w:right="300" w:hanging="206"/>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xml:space="preserve">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660" w:right="20" w:hanging="206"/>
        <w:spacing w:after="0" w:line="308"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a transaction that, in accordance with article L.411-2-II-1° -or-2° -or 3° of the French Code monétaire et financier and article 211-2 of the General Regulations (</w:t>
      </w:r>
      <w:r>
        <w:rPr>
          <w:rFonts w:ascii="Arial" w:cs="Arial" w:eastAsia="Arial" w:hAnsi="Arial"/>
          <w:sz w:val="17"/>
          <w:szCs w:val="17"/>
          <w:i w:val="1"/>
          <w:iCs w:val="1"/>
          <w:color w:val="auto"/>
        </w:rPr>
        <w:t>Règlement Général</w:t>
      </w:r>
      <w:r>
        <w:rPr>
          <w:rFonts w:ascii="Arial" w:cs="Arial" w:eastAsia="Arial" w:hAnsi="Arial"/>
          <w:sz w:val="17"/>
          <w:szCs w:val="17"/>
          <w:color w:val="auto"/>
        </w:rPr>
        <w:t>) of the Autorité des Marchés Financiers, does not constitute a public offer (</w:t>
      </w:r>
      <w:r>
        <w:rPr>
          <w:rFonts w:ascii="Arial" w:cs="Arial" w:eastAsia="Arial" w:hAnsi="Arial"/>
          <w:sz w:val="17"/>
          <w:szCs w:val="17"/>
          <w:i w:val="1"/>
          <w:iCs w:val="1"/>
          <w:color w:val="auto"/>
        </w:rPr>
        <w:t>appel public à l’épargne</w:t>
      </w:r>
      <w:r>
        <w:rPr>
          <w:rFonts w:ascii="Arial" w:cs="Arial" w:eastAsia="Arial" w:hAnsi="Arial"/>
          <w:sz w:val="17"/>
          <w:szCs w:val="17"/>
          <w:color w:val="auto"/>
        </w:rPr>
        <w:t>).</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securities may be resold directly or indirectly, only in compliance with articles L.411-1, L.411-2, L.412-1 and L.621-8 through L.621-8-3 of the French Code monétaire et financier.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Republic of Italy</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The offering of securities has not been registered with the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color w:val="auto"/>
        </w:rPr>
        <w:t xml:space="preserve"> (“CONSOB”) pursuant to Italian securities legislation and, accordingly, no securities may be offered, sold or delivered, nor copies of this prospectus supplement, the accompanying prospectus or any other documents relating to the securities may not be distributed in Italy except:</w:t>
      </w:r>
    </w:p>
    <w:p>
      <w:pPr>
        <w:spacing w:after="0" w:line="73" w:lineRule="exact"/>
        <w:rPr>
          <w:sz w:val="20"/>
          <w:szCs w:val="20"/>
          <w:color w:val="auto"/>
        </w:rPr>
      </w:pPr>
    </w:p>
    <w:p>
      <w:pPr>
        <w:ind w:firstLine="464"/>
        <w:spacing w:after="0" w:line="286" w:lineRule="auto"/>
        <w:tabs>
          <w:tab w:leader="none" w:pos="701" w:val="left"/>
        </w:tabs>
        <w:numPr>
          <w:ilvl w:val="0"/>
          <w:numId w:val="43"/>
        </w:numPr>
        <w:rPr>
          <w:rFonts w:ascii="Arial" w:cs="Arial" w:eastAsia="Arial" w:hAnsi="Arial"/>
          <w:sz w:val="17"/>
          <w:szCs w:val="17"/>
          <w:color w:val="auto"/>
        </w:rPr>
      </w:pPr>
      <w:r>
        <w:rPr>
          <w:rFonts w:ascii="Arial" w:cs="Arial" w:eastAsia="Arial" w:hAnsi="Arial"/>
          <w:sz w:val="17"/>
          <w:szCs w:val="17"/>
          <w:color w:val="auto"/>
        </w:rPr>
        <w:t>to “qualified investors”, as referred to in Article 100 of Legislative Decree No. 58 of 24 February 1998, as amended (the “Decree No. 58”) and defined in Article 26, paragraph 1, letter d) of CONSOB Regulation No. 16190 of 29 October 2007, as amended (“Regulation No. 16190”) pursuant to Article 34-ter, paragraph 1, letter. b) of CONSOB Regulation No. 11971 of 14 May 1999, as amended (“Regulation No. 11971”); or</w:t>
      </w:r>
    </w:p>
    <w:p>
      <w:pPr>
        <w:spacing w:after="0" w:line="165" w:lineRule="exact"/>
        <w:rPr>
          <w:rFonts w:ascii="Arial" w:cs="Arial" w:eastAsia="Arial" w:hAnsi="Arial"/>
          <w:sz w:val="17"/>
          <w:szCs w:val="17"/>
          <w:color w:val="auto"/>
        </w:rPr>
      </w:pPr>
    </w:p>
    <w:p>
      <w:pPr>
        <w:ind w:right="340" w:firstLine="464"/>
        <w:spacing w:after="0" w:line="277" w:lineRule="auto"/>
        <w:tabs>
          <w:tab w:leader="none" w:pos="7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Any offer, sale or delivery of the securities or distribution of copies of this prospectus supplement, the accompanying prospectus or any other documents relating to the securities in the Republic of Italy must be:</w:t>
      </w:r>
    </w:p>
    <w:p>
      <w:pPr>
        <w:spacing w:after="0" w:line="62" w:lineRule="exact"/>
        <w:rPr>
          <w:sz w:val="20"/>
          <w:szCs w:val="20"/>
          <w:color w:val="auto"/>
        </w:rPr>
      </w:pPr>
    </w:p>
    <w:p>
      <w:pPr>
        <w:ind w:right="120" w:firstLine="464"/>
        <w:spacing w:after="0" w:line="264" w:lineRule="auto"/>
        <w:tabs>
          <w:tab w:leader="none" w:pos="701"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1 September 1993, as amended (the “Banking Law”), Decree No. 58 and Regulation No. 16190 and any other applicable laws and regulations;</w:t>
      </w:r>
    </w:p>
    <w:p>
      <w:pPr>
        <w:spacing w:after="0" w:line="181" w:lineRule="exact"/>
        <w:rPr>
          <w:rFonts w:ascii="Arial" w:cs="Arial" w:eastAsia="Arial" w:hAnsi="Arial"/>
          <w:sz w:val="18"/>
          <w:szCs w:val="18"/>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225" w:lineRule="exact"/>
        <w:rPr>
          <w:rFonts w:ascii="Arial" w:cs="Arial" w:eastAsia="Arial" w:hAnsi="Arial"/>
          <w:sz w:val="18"/>
          <w:szCs w:val="18"/>
          <w:color w:val="auto"/>
        </w:rPr>
      </w:pPr>
    </w:p>
    <w:p>
      <w:pPr>
        <w:ind w:right="100" w:firstLine="464"/>
        <w:spacing w:after="0" w:line="277" w:lineRule="auto"/>
        <w:tabs>
          <w:tab w:leader="none" w:pos="701"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securities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Furthermore, securities which are initially offered and placed in Italy or abroad to qualified investors only but in the following year are regularly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sistematicamente</w:t>
      </w:r>
      <w:r>
        <w:rPr>
          <w:rFonts w:ascii="Arial" w:cs="Arial" w:eastAsia="Arial" w:hAnsi="Arial"/>
          <w:sz w:val="16"/>
          <w:szCs w:val="16"/>
          <w:color w:val="auto"/>
        </w:rPr>
        <w:t>”) distributed on the secondary market in Italy to non-qualified investors become subject to the public offer and the prospectus requirement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rules provided under Decree No. 58 and Regulation No. 11971. Failure to comply with such rules may result in the sale of the securities being declared null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void and in the liability of the intermediary transferring the securities for any damages suffered by such non-qualified investors.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Germany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prospectus does not constitute a Prospectus Directive-compliant prospectus in accordance with the German Securities Prospectus Act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Wertpapierprospektgesetz</w:t>
      </w:r>
      <w:r>
        <w:rPr>
          <w:rFonts w:ascii="Arial" w:cs="Arial" w:eastAsia="Arial" w:hAnsi="Arial"/>
          <w:sz w:val="16"/>
          <w:szCs w:val="16"/>
          <w:color w:val="auto"/>
        </w:rPr>
        <w:t>) and does therefore not allow any public offering in the Federal Republic of Germany (“Germany”) or any other Relevant Member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 pursuant to § 17 and § 18 of the German Securities Prospectus Act. No action has been or will be taken in Germany that would permit a public offering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securities, or distribution of a prospectus or any other offering material relating to the securities. In particular, no securities prospectus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Wertpapierprospekt</w:t>
      </w:r>
      <w:r>
        <w:rPr>
          <w:rFonts w:ascii="Arial" w:cs="Arial" w:eastAsia="Arial" w:hAnsi="Arial"/>
          <w:sz w:val="16"/>
          <w:szCs w:val="16"/>
          <w:color w:val="auto"/>
        </w:rPr>
        <w:t>) within the meaning of the German Securities Prospectus Act or any other applicable laws of Germany, has been or will be published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within Germany, nor has this prospectus been filed with or approved by the German Federal Financial Supervisory Authority (</w:t>
      </w:r>
      <w:r>
        <w:rPr>
          <w:rFonts w:ascii="Arial" w:cs="Arial" w:eastAsia="Arial" w:hAnsi="Arial"/>
          <w:sz w:val="18"/>
          <w:szCs w:val="18"/>
          <w:i w:val="1"/>
          <w:iCs w:val="1"/>
          <w:color w:val="auto"/>
        </w:rPr>
        <w:t>Bundesanstalt für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Finanzdienstleistungsaufsicht</w:t>
      </w:r>
      <w:r>
        <w:rPr>
          <w:rFonts w:ascii="Arial" w:cs="Arial" w:eastAsia="Arial" w:hAnsi="Arial"/>
          <w:sz w:val="18"/>
          <w:szCs w:val="18"/>
          <w:color w:val="auto"/>
        </w:rPr>
        <w:t>) for publication within Germany.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9" w:lineRule="auto"/>
        <w:rPr>
          <w:sz w:val="20"/>
          <w:szCs w:val="20"/>
          <w:color w:val="auto"/>
        </w:rPr>
      </w:pPr>
      <w:r>
        <w:rPr>
          <w:rFonts w:ascii="Arial" w:cs="Arial" w:eastAsia="Arial" w:hAnsi="Arial"/>
          <w:sz w:val="17"/>
          <w:szCs w:val="17"/>
          <w:color w:val="auto"/>
        </w:rPr>
        <w:t>Each manager will represent, agree and undertake, (i) that it has not offered, sold or delivered and will not offer, sell or deliver the securities within Germany other than in accordance with the German Securities Prospectus Act (</w:t>
      </w:r>
      <w:r>
        <w:rPr>
          <w:rFonts w:ascii="Arial" w:cs="Arial" w:eastAsia="Arial" w:hAnsi="Arial"/>
          <w:sz w:val="17"/>
          <w:szCs w:val="17"/>
          <w:i w:val="1"/>
          <w:iCs w:val="1"/>
          <w:color w:val="auto"/>
        </w:rPr>
        <w:t>Wertpapierprospektgesetz</w:t>
      </w:r>
      <w:r>
        <w:rPr>
          <w:rFonts w:ascii="Arial" w:cs="Arial" w:eastAsia="Arial" w:hAnsi="Arial"/>
          <w:sz w:val="17"/>
          <w:szCs w:val="17"/>
          <w:color w:val="auto"/>
        </w:rPr>
        <w:t>) and any other applicable laws in Germany governing the issue, sale and offering of securities, and (ii) that it will distribute in Germany any offering material relating to the securities only under circumstances that will result in compliance with the applicable rules and regulations of Germany.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is strictly for use of the person who has received it. It may not be forwarded to other persons or published in Germany.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Arab Emirates</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securities have not been, and are not being, publicly offered, sold, promoted or advertised in the United Arab Emirates (“U.A.E.”) other than in compliance with the laws of the U.A.E. Prospective investors in the Dubai International Financial Centre should have regard to the specific notice to prospective investors in the Dubai International Financial Centre set out above.</w:t>
      </w:r>
    </w:p>
    <w:p>
      <w:pPr>
        <w:spacing w:after="0" w:line="18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The information contained in this prospectus supplement and the accompanying prospectus does not constitute a public offer of securities in the U.A.E. in accordance with the Commercial Companies Law (Federal Law No. 8 of 1984 of the U.A.E., as amended) or otherwise and is not intended to be a public offer. This prospectus supplement and the accompanying prospectus have not been approved by or filed with the Central Bank of the United Arab Emirates, the Emirates Securities and Commodities Authority or the Dubai Financial Services Authority, or DFSA. If you do not understand the contents of this prospectus supplement or the accompanying prospectus, you should consult an authorized financial adviser. This prospectus supplement and the accompanying prospectus are provided for the benefit of the recipient only, and should not be delivered to, or relied on by, any other person.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This document relates to an exempt offer in accordance with the Offered Securities Rules of the Dubai Financial Services Authority. This document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document nor taken steps to verify the information set out in it, and has no responsibility for it. The notes which are the subject of the offering contemplated by this offering memorandum may be illiquid and/or subject to restrictions on their resale. Prospective purchasers of the notes offered should conduct their own due diligence on the notes. If you do not understand the contents of this document you should consult an authorized financial advisor.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Kingdom of Saudi Arabia</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This prospectus may not be distributed in the Kingdom of Saudi Arabia except to such persons as are permitted under the Offers of Securities Regulations issued by the Capital Market Authority of Saudi Arabia (the “Capital Market Authority”). The Capital Market Authority does not make any representations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a prospective purchaser does not understand the contents of this prospectus he or she should consult an authorised financial adviser. By accepting this prospectus and other information relating to the offering of the securities in the Kingdom of Saudi Arabia, each recipient represents that he is a “sophisticated investor”, as set out in the prospectus.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South Africa</w:t>
      </w:r>
    </w:p>
    <w:p>
      <w:pPr>
        <w:spacing w:after="0" w:line="12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Due to restrictions under the securities laws of South Africa, the securities are not offered, and the offer of our securities shall not be transferred, sold, renounced or delivered, in South Africa or to a person with an address in South Africa, unless one or other of the following exemptions applies:</w:t>
      </w:r>
    </w:p>
    <w:p>
      <w:pPr>
        <w:spacing w:after="0" w:line="29" w:lineRule="exact"/>
        <w:rPr>
          <w:sz w:val="20"/>
          <w:szCs w:val="20"/>
          <w:color w:val="auto"/>
        </w:rPr>
      </w:pPr>
    </w:p>
    <w:p>
      <w:pPr>
        <w:ind w:left="900" w:right="280" w:hanging="446"/>
        <w:spacing w:after="0" w:line="25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 duly registered banks, mutual banks, financial services provider, financial institution, the Public Investment Corporation (in each case registered as such in South Africa), a person who deals with securities in their ordinary course of business, or a wholly owned subsidiary of a bank, mutual bank, authorized services provider or financial institution, acting as agent in the capacity of an authorized portfolio manager for a pension fund (duly registered in South Africa), or as manager for a collective investment scheme(registered in South Africa); or</w:t>
      </w:r>
    </w:p>
    <w:p>
      <w:pPr>
        <w:spacing w:after="0" w:line="93"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contemplated acquisition cost of the securities, for any single addressee acting as principal is equal to or greater than R1,000,000.</w:t>
      </w:r>
    </w:p>
    <w:p>
      <w:pPr>
        <w:spacing w:after="0" w:line="23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document does not, nor is it intended to, constitute an “offer to the public” (as that term is defined in the South African Companies Act, 2008 (the “SA Companies Act”) and does not, nor is it intended to, constitute a prospectus prepared and registered under the SA Companies Act. This document is not an “offer to the public” and must not be acted on or relied on by persons who do not fall within Section 96(1)(a) of the SA Companies Act (such persons being referred to as “relevant persons”). Any investment or investment activity to which this document relates is available only to relevant persons and will be engaged in only with relevant persons. A South African resident person or company or any non-South African company which is a subsidiary of a South African company is not permitted to acquire the securities unless such person has obtained exchange control approval to do so.</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supplement and any other document or material in connection with the offer or sale, or 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92" w:lineRule="exact"/>
        <w:rPr>
          <w:sz w:val="20"/>
          <w:szCs w:val="20"/>
          <w:color w:val="auto"/>
        </w:rPr>
      </w:pPr>
    </w:p>
    <w:p>
      <w:pPr>
        <w:ind w:left="900" w:right="240" w:hanging="446"/>
        <w:spacing w:after="0" w:line="264"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900" w:hanging="446"/>
        <w:spacing w:after="0" w:line="277"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5"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92" w:lineRule="exact"/>
        <w:rPr>
          <w:rFonts w:ascii="Arial" w:cs="Arial" w:eastAsia="Arial" w:hAnsi="Arial"/>
          <w:sz w:val="18"/>
          <w:szCs w:val="18"/>
          <w:color w:val="auto"/>
        </w:rPr>
      </w:pPr>
    </w:p>
    <w:p>
      <w:pPr>
        <w:ind w:left="1480" w:right="80" w:hanging="567"/>
        <w:spacing w:after="0" w:line="277"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480" w:right="680" w:hanging="567"/>
        <w:spacing w:after="0" w:line="277" w:lineRule="auto"/>
        <w:tabs>
          <w:tab w:leader="none" w:pos="148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Residents of Malaysia</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securities may not be offered for subscription or purchase and no invitation to subscribe for or purchase such Certificates in Malaysia may be made, directly or indirectly, and this prospectus or any document or other materials in connection therewith may not be distributed in Malaysia other than to persons falling within the categories specified under Schedule 6 or Section 229(l)(b), Schedule 7 or Section 230(l)(b) and Schedule 8 or Section 257(3) of the Capital Market and Services Act, 2007 of Malaysia. The Securities Commission of Malaysia shall not be liable for any non-disclosure on the part of the Issuer and assumes no responsibility for the correctness of any statements made or opinions or reports expressed in this prospectus.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China</w:t>
      </w:r>
    </w:p>
    <w:p>
      <w:pPr>
        <w:spacing w:after="0" w:line="121" w:lineRule="exact"/>
        <w:rPr>
          <w:sz w:val="20"/>
          <w:szCs w:val="20"/>
          <w:color w:val="auto"/>
        </w:rPr>
      </w:pPr>
    </w:p>
    <w:p>
      <w:pPr>
        <w:ind w:right="60" w:firstLine="456"/>
        <w:spacing w:after="0" w:line="342" w:lineRule="auto"/>
        <w:rPr>
          <w:sz w:val="20"/>
          <w:szCs w:val="20"/>
          <w:color w:val="auto"/>
        </w:rPr>
      </w:pPr>
      <w:r>
        <w:rPr>
          <w:rFonts w:ascii="Arial" w:cs="Arial" w:eastAsia="Arial" w:hAnsi="Arial"/>
          <w:sz w:val="16"/>
          <w:szCs w:val="16"/>
          <w:color w:val="auto"/>
        </w:rPr>
        <w:t>This prospectus does not constitute a public offer of the securities offered by this prospectus, whether by sale or subscription, in the People’s Republic of China, or the PRC. The securities are not being offered or sold directly or indirectly in the PRC to or for the benefit of, legal or natural persons of the PRC.</w:t>
      </w:r>
    </w:p>
    <w:p>
      <w:pPr>
        <w:spacing w:after="0" w:line="12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Further, no legal or natural persons of the PRC may directly or indirectly purchase any of the securities without obtaining all prior PRC’s governmental approvals that are required, whether statutorily or otherwise. Persons who come into possession of this document are required by the issuer and its representatives to observe these restrictions.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Korea</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securities have not been and will not be registered under the Financial Investments Services and Capital Markets Act of Korea and the decrees and regulations thereunder, or the FSCMA, and the securities have been and will be offered in Korea as a private placement under the FSCMA. None of the securities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 FETL. The securities have not been listed on any of securities exchanges in the world including, without limitation, the Korea Exchange in Korea. Furthermore, the purchaser of the securities shall comply with all applicable regulatory requirements (including but not limited to requirements under the FETL) in connection with the purchase of the securities. By the purchase of the securities, the relevant holder thereof will be deemed to represent and warrant that if it is in Korea or is a resident of Korea, it purchased the securities pursuant to the applicable laws and regulations of Korea.</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Taiwan</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The securities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securities in Taiwan.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 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offer is pursuant to a disclosure document which complies with Chapter 6D of the Corporations Act. Any person acquiring securities must observe such Australian on-sale restrictions. 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Cayman Islands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prospectus does not constitute an invitation or offer to the public in the Cayman Islands of the securities, whether by way of sale or subscription.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underwriters have not offered or sold, and will not offer or sell, directly or indirectly, any securities in the Cayman Islands.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Bermuda</w:t>
      </w:r>
    </w:p>
    <w:p>
      <w:pPr>
        <w:spacing w:after="0" w:line="121" w:lineRule="exact"/>
        <w:rPr>
          <w:sz w:val="20"/>
          <w:szCs w:val="20"/>
          <w:color w:val="auto"/>
        </w:rPr>
      </w:pPr>
    </w:p>
    <w:p>
      <w:pPr>
        <w:jc w:val="both"/>
        <w:ind w:right="80" w:firstLine="456"/>
        <w:spacing w:after="0" w:line="286" w:lineRule="auto"/>
        <w:rPr>
          <w:sz w:val="20"/>
          <w:szCs w:val="20"/>
          <w:color w:val="auto"/>
        </w:rPr>
      </w:pPr>
      <w:r>
        <w:rPr>
          <w:rFonts w:ascii="Arial" w:cs="Arial" w:eastAsia="Arial" w:hAnsi="Arial"/>
          <w:sz w:val="17"/>
          <w:szCs w:val="17"/>
          <w:color w:val="auto"/>
        </w:rPr>
        <w:t>The securities offered by this prospectus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British Virgin Islands</w:t>
      </w:r>
    </w:p>
    <w:p>
      <w:pPr>
        <w:spacing w:after="0" w:line="121"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The securities are not being, and may not be offered to the public or to any person in the British Virgin Islands for purchase or subscription by us or on our behalf. The securities may be offered to companies incorporated under the BVI Business Companies Act, 2004 (British Virgin Islands) (each a BVI Company), but only where the offer will be made to, and received by, the relevant BVI Company entirely outside of the British Virgin Islands.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prospectus has not been, and will not be, registered with the Financial Services Commission of the British Virgin Islands. No registered prospectus has been or will be prepared in respect of the securities for the purposes of the Securities and Investment Business Act, 2010, or SIBA or the Public Issuers Code of the British Virgin Islands.</w:t>
      </w:r>
    </w:p>
    <w:p>
      <w:pPr>
        <w:spacing w:after="0" w:line="18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The securities may be offered to persons located in the British Virgin Islands who are “qualified investors” for the purposes of SIBA. Qualified investors include (i) certain entities which are regulated by the Financial Services Commission in the British Virgin Islands, including banks, insurance companies, licensees under SIBA and public, professional and private mutual funds; (ii) a company, any securities of which are listed on a recognised exchange; and (iii) persons defined as “professional investors” under SIBA, which is any person (a) whose ordinary business involves, whether for that person’s own account or the account of others, the acquisition or disposal of property of the same kind as the property, or a substantial part of our property; or</w:t>
      </w:r>
    </w:p>
    <w:p>
      <w:pPr>
        <w:spacing w:after="0" w:line="2" w:lineRule="exact"/>
        <w:rPr>
          <w:sz w:val="20"/>
          <w:szCs w:val="20"/>
          <w:color w:val="auto"/>
        </w:rPr>
      </w:pPr>
    </w:p>
    <w:p>
      <w:pPr>
        <w:ind w:right="360" w:firstLine="8"/>
        <w:spacing w:after="0" w:line="261"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who has signed a declaration that he, whether individually or jointly with his spouse, has net worth in excess of US$1,000,000 and that he consents to being treated as a professional investor.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Fenwick &amp; West LLP, San Francisco, California.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relating to the offering will be passed upon for the underwriters by Cooley LLP, San Diego, California.</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60" w:firstLine="456"/>
        <w:spacing w:after="0" w:line="312" w:lineRule="auto"/>
        <w:rPr>
          <w:sz w:val="20"/>
          <w:szCs w:val="20"/>
          <w:color w:val="auto"/>
        </w:rPr>
      </w:pPr>
      <w:r>
        <w:rPr>
          <w:rFonts w:ascii="Arial" w:cs="Arial" w:eastAsia="Arial" w:hAnsi="Arial"/>
          <w:sz w:val="16"/>
          <w:szCs w:val="16"/>
          <w:color w:val="auto"/>
        </w:rPr>
        <w:t>The consolidated financial statements of AnaptysBio, Inc. as of December 31, 2015 and 2016, and for each of the years in the three-year period ended December 31, 2016, have been incorporated by reference herein and in the registration statement in reliance upon the report of KPMG LLP, an independent registered public accounting firm, incorporated by reference herein, and upon the authority of said firm as experts in accounting and auditing.</w:t>
      </w: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the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A copy of the registration statement and the exhibits filed therewith may be inspected without charge at the public reference room maintained by the SEC, located at 100 F Street, NE, Washington, DC 20549, and copies of all or any part of the registration statement may be obtained from that office. Please call the SEC at 1-800-SEC-0330 for further information about the public reference room. The SEC also maintains a website that contains reports, proxy and information statements and other information regarding registrants that file electronically with the SEC. The address of the website is www.sec.gov.</w:t>
      </w:r>
    </w:p>
    <w:p>
      <w:pPr>
        <w:spacing w:after="0" w:line="178"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We are subject to the information and reporting requirements of the Exchange Act, and, in accordance with this law, file periodic reports and other information with the SEC. These periodic reports and other information are available for inspection and copying at the SEC’s public reference facilities and the website of the SEC referred to above. We also maintain a website at www.anaptysbio.com.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incorporate by reference into this prospectus and the registration statement of which this prospectus is a part the information or documents listed below that we have filed with the SEC (Commission File No. 001-37985).</w:t>
      </w:r>
    </w:p>
    <w:p>
      <w:pPr>
        <w:spacing w:after="0" w:line="76" w:lineRule="exact"/>
        <w:rPr>
          <w:sz w:val="20"/>
          <w:szCs w:val="20"/>
          <w:color w:val="auto"/>
        </w:rPr>
      </w:pPr>
    </w:p>
    <w:p>
      <w:pPr>
        <w:ind w:left="5620" w:right="2640" w:hanging="5166"/>
        <w:spacing w:after="0" w:line="449" w:lineRule="auto"/>
        <w:tabs>
          <w:tab w:leader="none" w:pos="666"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2016, filed with the SEC on March 8, 2017; 52</w:t>
      </w:r>
    </w:p>
    <w:p>
      <w:pPr>
        <w:sectPr>
          <w:pgSz w:w="11900" w:h="16838" w:orient="portrait"/>
          <w:cols w:equalWidth="0" w:num="1">
            <w:col w:w="11340"/>
          </w:cols>
          <w:pgMar w:left="240" w:top="459" w:right="3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00" w:hanging="206"/>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2017 and June 30, 2017, filed with the SEC on May 12, 2017 and August 10, 2017, respectively;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March 2, 2017, July 27, 2017, August 24, 2017 and October 10, 2017.</w:t>
      </w:r>
    </w:p>
    <w:p>
      <w:pPr>
        <w:spacing w:after="0" w:line="22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will furnish without charge to you, on written or oral request, a copy of any or all of the documents incorporated by reference, including exhibits to these documents. You should direct any requests for documents to 10421 Pacific Center Court, Suite 200 San Diego, CA 92121, telephone (858)</w:t>
      </w:r>
    </w:p>
    <w:p>
      <w:pPr>
        <w:spacing w:after="0" w:line="254" w:lineRule="auto"/>
        <w:rPr>
          <w:sz w:val="20"/>
          <w:szCs w:val="20"/>
          <w:color w:val="auto"/>
        </w:rPr>
      </w:pPr>
      <w:r>
        <w:rPr>
          <w:rFonts w:ascii="Arial" w:cs="Arial" w:eastAsia="Arial" w:hAnsi="Arial"/>
          <w:sz w:val="18"/>
          <w:szCs w:val="18"/>
          <w:color w:val="auto"/>
        </w:rPr>
        <w:t>362-6295. Copies of the above reports may also be accessed from our website at www.anaptysbio.com. We do not incorporate the information from our website into this prospectus or any supplement to this prospectus and you should not consider any information on, or that can be accessed through, our website as part of this prospectus or any supplement to this prospectus (other than those filings with the SEC that we specifically incorporate by reference into this prospectus or any supplement to this prospectus).</w:t>
      </w:r>
    </w:p>
    <w:p>
      <w:pPr>
        <w:spacing w:after="0" w:line="190"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80"/>
        <w:spacing w:after="0"/>
        <w:rPr>
          <w:sz w:val="20"/>
          <w:szCs w:val="20"/>
          <w:color w:val="auto"/>
        </w:rPr>
      </w:pPr>
      <w:r>
        <w:rPr>
          <w:rFonts w:ascii="Arial" w:cs="Arial" w:eastAsia="Arial" w:hAnsi="Arial"/>
          <w:sz w:val="29"/>
          <w:szCs w:val="29"/>
          <w:color w:val="auto"/>
        </w:rPr>
        <w:t>3,000,000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537210</wp:posOffset>
            </wp:positionV>
            <wp:extent cx="2118360" cy="5575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183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300"/>
        <w:spacing w:after="0"/>
        <w:rPr>
          <w:sz w:val="20"/>
          <w:szCs w:val="20"/>
          <w:color w:val="auto"/>
        </w:rPr>
      </w:pPr>
      <w:r>
        <w:rPr>
          <w:rFonts w:ascii="Arial" w:cs="Arial" w:eastAsia="Arial" w:hAnsi="Arial"/>
          <w:sz w:val="36"/>
          <w:szCs w:val="36"/>
          <w:b w:val="1"/>
          <w:bCs w:val="1"/>
          <w:color w:val="auto"/>
        </w:rPr>
        <w:t>AnaptysBio, Inc.</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720"/>
        <w:spacing w:after="0"/>
        <w:rPr>
          <w:sz w:val="20"/>
          <w:szCs w:val="20"/>
          <w:color w:val="auto"/>
        </w:rPr>
      </w:pPr>
      <w:r>
        <w:rPr>
          <w:rFonts w:ascii="Arial" w:cs="Arial" w:eastAsia="Arial" w:hAnsi="Arial"/>
          <w:sz w:val="29"/>
          <w:szCs w:val="29"/>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605790</wp:posOffset>
            </wp:positionV>
            <wp:extent cx="10890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480"/>
        <w:spacing w:after="0"/>
        <w:rPr>
          <w:sz w:val="20"/>
          <w:szCs w:val="20"/>
          <w:color w:val="auto"/>
        </w:rPr>
      </w:pPr>
      <w:r>
        <w:rPr>
          <w:rFonts w:ascii="Arial" w:cs="Arial" w:eastAsia="Arial" w:hAnsi="Arial"/>
          <w:sz w:val="36"/>
          <w:szCs w:val="3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3083560</wp:posOffset>
            </wp:positionH>
            <wp:positionV relativeFrom="paragraph">
              <wp:posOffset>256540</wp:posOffset>
            </wp:positionV>
            <wp:extent cx="10890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Credit Suisse</w:t>
      </w:r>
    </w:p>
    <w:p>
      <w:pPr>
        <w:spacing w:after="0" w:line="40"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Jefferies</w:t>
      </w:r>
    </w:p>
    <w:p>
      <w:pPr>
        <w:spacing w:after="0" w:line="4"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auto"/>
        </w:rPr>
        <w:t>Stifel</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Wedbush PacGrow</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Baird</w:t>
      </w:r>
    </w:p>
    <w:p>
      <w:pPr>
        <w:spacing w:after="0" w:line="10"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SunTrust Robinson Humphrey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October 12,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923925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1)"/>
      <w:numFmt w:val="decimal"/>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2"/>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2"/>
    </w:lvl>
  </w:abstractNum>
  <w:abstractNum w:abstractNumId="25">
    <w:nsid w:val="5C482A97"/>
    <w:multiLevelType w:val="hybridMultilevel"/>
    <w:lvl w:ilvl="0">
      <w:lvlJc w:val="left"/>
      <w:lvlText w:val="(%1)"/>
      <w:numFmt w:val="decimal"/>
      <w:start w:val="14"/>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1)"/>
      <w:numFmt w:val="lowerLetter"/>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lowerRoman"/>
      <w:start w:val="1"/>
    </w:lvl>
  </w:abstractNum>
  <w:abstractNum w:abstractNumId="45">
    <w:nsid w:val="7644A45C"/>
    <w:multiLevelType w:val="hybridMultilevel"/>
    <w:lvl w:ilvl="0">
      <w:lvlJc w:val="left"/>
      <w:lvlText w:val="(%1)"/>
      <w:numFmt w:val="lowerRoman"/>
      <w:start w:val="1"/>
    </w:lvl>
  </w:abstractNum>
  <w:abstractNum w:abstractNumId="46">
    <w:nsid w:val="32FFF902"/>
    <w:multiLevelType w:val="hybridMultilevel"/>
    <w:lvl w:ilvl="0">
      <w:lvlJc w:val="left"/>
      <w:lvlText w:val="(%1)"/>
      <w:numFmt w:val="lowerLetter"/>
      <w:start w:val="1"/>
    </w:lvl>
    <w:lvl w:ilvl="1">
      <w:lvlJc w:val="left"/>
      <w:lvlText w:val="(%2)"/>
      <w:numFmt w:val="lowerLetter"/>
      <w:start w:val="1"/>
    </w:lvl>
  </w:abstractNum>
  <w:abstractNum w:abstractNumId="47">
    <w:nsid w:val="684A481A"/>
    <w:multiLevelType w:val="hybridMultilevel"/>
    <w:lvl w:ilvl="0">
      <w:lvlJc w:val="left"/>
      <w:lvlText w:val="(%1)"/>
      <w:numFmt w:val="lowerLetter"/>
      <w:start w:val="2"/>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2019-12-07T03:58:35Z</dcterms:created>
  <dcterms:modified xsi:type="dcterms:W3CDTF">2019-12-07T03:58:35Z</dcterms:modified>
</cp:coreProperties>
</file>