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 PURSUANT TO</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August 31, 2022</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earliest event reported)</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7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auto"/>
        </w:rPr>
        <w:t>001-37985</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20-3828755</w:t>
      </w:r>
    </w:p>
    <w:p>
      <w:pPr>
        <w:spacing w:after="0" w:line="44"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9"/>
          <w:szCs w:val="19"/>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4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10770 Wateridge Circle, Suite 210,</w:t>
      </w:r>
    </w:p>
    <w:p>
      <w:pPr>
        <w:spacing w:after="0" w:line="32"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San Diego, CA 92121</w:t>
      </w: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(858) 362-6295</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4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210" w:type="dxa"/>
        <w:tblCellMar>
          <w:top w:w="0" w:type="dxa"/>
          <w:left w:w="0" w:type="dxa"/>
          <w:bottom w:w="0" w:type="dxa"/>
          <w:right w:w="0" w:type="dxa"/>
        </w:tblCellMar>
      </w:tblPr>
      <w:tr>
        <w:trPr>
          <w:trHeight w:val="248"/>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8"/>
        </w:trPr>
        <w:tc>
          <w:tcPr>
            <w:tcW w:w="3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4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292"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74"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92"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7.01</w:t>
      </w:r>
      <w:r>
        <w:rPr>
          <w:sz w:val="20"/>
          <w:szCs w:val="20"/>
          <w:color w:val="auto"/>
        </w:rPr>
        <w:tab/>
      </w:r>
      <w:r>
        <w:rPr>
          <w:rFonts w:ascii="Times New Roman" w:cs="Times New Roman" w:eastAsia="Times New Roman" w:hAnsi="Times New Roman"/>
          <w:sz w:val="19"/>
          <w:szCs w:val="19"/>
          <w:b w:val="1"/>
          <w:bCs w:val="1"/>
          <w:color w:val="auto"/>
        </w:rPr>
        <w:t>Regulation FD.</w:t>
      </w:r>
    </w:p>
    <w:p>
      <w:pPr>
        <w:spacing w:after="0" w:line="220"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9"/>
          <w:szCs w:val="19"/>
          <w:color w:val="auto"/>
        </w:rPr>
        <w:t>On August 31, 2022, AnaptysBio, Inc. issued a press release announcing imsidolimab HARP Phase 2 top-line data in moderate-to-severe hidradenitis suppurativa. A copy of the press release is attached as Exhibit 99.1 to this report and incorporated herein by reference.</w:t>
      </w:r>
    </w:p>
    <w:p>
      <w:pPr>
        <w:spacing w:after="0" w:line="177"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The information within this report,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report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20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 Exhibits</w:t>
            </w:r>
          </w:p>
        </w:tc>
        <w:tc>
          <w:tcPr>
            <w:tcW w:w="9300" w:type="dxa"/>
            <w:vAlign w:val="bottom"/>
          </w:tcPr>
          <w:p>
            <w:pPr>
              <w:spacing w:after="0"/>
              <w:rPr>
                <w:sz w:val="22"/>
                <w:szCs w:val="22"/>
                <w:color w:val="auto"/>
              </w:rPr>
            </w:pPr>
          </w:p>
        </w:tc>
      </w:tr>
      <w:tr>
        <w:trPr>
          <w:trHeight w:val="527"/>
        </w:trPr>
        <w:tc>
          <w:tcPr>
            <w:tcW w:w="2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 Number</w:t>
            </w: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b w:val="1"/>
                <w:bCs w:val="1"/>
                <w:color w:val="auto"/>
              </w:rPr>
              <w:t>Exhibit Title or Description</w:t>
            </w:r>
          </w:p>
        </w:tc>
      </w:tr>
      <w:tr>
        <w:trPr>
          <w:trHeight w:val="237"/>
        </w:trPr>
        <w:tc>
          <w:tcPr>
            <w:tcW w:w="19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99.</w:t>
            </w:r>
            <w:r>
              <w:rPr>
                <w:rFonts w:ascii="Times New Roman" w:cs="Times New Roman" w:eastAsia="Times New Roman" w:hAnsi="Times New Roman"/>
                <w:sz w:val="20"/>
                <w:szCs w:val="20"/>
                <w:u w:val="single" w:color="auto"/>
                <w:color w:val="0000FF"/>
              </w:rPr>
              <w:t>1</w:t>
            </w: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Press release issued by AnaptysBio, Inc. regarding imsidolimab HARP Phase 2 top-line data in moderate-to-</w:t>
            </w:r>
          </w:p>
        </w:tc>
      </w:tr>
      <w:tr>
        <w:trPr>
          <w:trHeight w:val="256"/>
        </w:trPr>
        <w:tc>
          <w:tcPr>
            <w:tcW w:w="20" w:type="dxa"/>
            <w:vAlign w:val="bottom"/>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156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severe hidradenitis suppurativa, dated August 31, 2022.</w:t>
            </w:r>
          </w:p>
        </w:tc>
      </w:tr>
      <w:tr>
        <w:trPr>
          <w:trHeight w:val="255"/>
        </w:trPr>
        <w:tc>
          <w:tcPr>
            <w:tcW w:w="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104</w:t>
            </w:r>
          </w:p>
        </w:tc>
        <w:tc>
          <w:tcPr>
            <w:tcW w:w="156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Cover Page Interactive Data File (the cover page XBRL tags are embedded within the inline XBRL</w:t>
            </w:r>
          </w:p>
        </w:tc>
      </w:tr>
      <w:tr>
        <w:trPr>
          <w:trHeight w:val="258"/>
        </w:trPr>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93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document).</w:t>
            </w:r>
          </w:p>
        </w:tc>
      </w:tr>
      <w:tr>
        <w:trPr>
          <w:trHeight w:val="2579"/>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2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AnaptysBio, Inc.</w:t>
      </w:r>
    </w:p>
    <w:p>
      <w:pPr>
        <w:spacing w:after="0" w:line="28" w:lineRule="exact"/>
        <w:rPr>
          <w:sz w:val="20"/>
          <w:szCs w:val="20"/>
          <w:color w:val="auto"/>
        </w:rPr>
      </w:pPr>
    </w:p>
    <w:p>
      <w:pPr>
        <w:ind w:left="20"/>
        <w:spacing w:after="0"/>
        <w:tabs>
          <w:tab w:leader="none" w:pos="4220" w:val="left"/>
          <w:tab w:leader="none" w:pos="4780" w:val="left"/>
        </w:tabs>
        <w:rPr>
          <w:sz w:val="20"/>
          <w:szCs w:val="20"/>
          <w:color w:val="auto"/>
        </w:rPr>
      </w:pPr>
      <w:r>
        <w:rPr>
          <w:rFonts w:ascii="Times New Roman" w:cs="Times New Roman" w:eastAsia="Times New Roman" w:hAnsi="Times New Roman"/>
          <w:sz w:val="20"/>
          <w:szCs w:val="20"/>
          <w:color w:val="auto"/>
        </w:rPr>
        <w:t>Date: August 31, 2022</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21590</wp:posOffset>
            </wp:positionV>
            <wp:extent cx="4097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3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Name: Dennis Mulroy</w:t>
      </w:r>
    </w:p>
    <w:p>
      <w:pPr>
        <w:spacing w:after="0" w:line="4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Title: Chief Financial Officer</w:t>
      </w:r>
    </w:p>
    <w:p>
      <w:pPr>
        <w:sectPr>
          <w:pgSz w:w="11900" w:h="16838" w:orient="portrait"/>
          <w:cols w:equalWidth="0" w:num="1">
            <w:col w:w="11220"/>
          </w:cols>
          <w:pgMar w:left="320" w:top="1409" w:right="359" w:bottom="1440" w:gutter="0" w:footer="0" w:header="0"/>
        </w:sectPr>
      </w:pPr>
    </w:p>
    <w:bookmarkStart w:id="3" w:name="page4"/>
    <w:bookmarkEnd w:id="3"/>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5891530</wp:posOffset>
            </wp:positionH>
            <wp:positionV relativeFrom="page">
              <wp:posOffset>88900</wp:posOffset>
            </wp:positionV>
            <wp:extent cx="1448435" cy="334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34645"/>
                    </a:xfrm>
                    <a:prstGeom prst="rect">
                      <a:avLst/>
                    </a:prstGeom>
                    <a:noFill/>
                  </pic:spPr>
                </pic:pic>
              </a:graphicData>
            </a:graphic>
          </wp:anchor>
        </w:drawing>
      </w:r>
    </w:p>
    <w:p>
      <w:pPr>
        <w:jc w:val="center"/>
        <w:ind w:left="340" w:right="100"/>
        <w:spacing w:after="0" w:line="258" w:lineRule="auto"/>
        <w:rPr>
          <w:sz w:val="20"/>
          <w:szCs w:val="20"/>
          <w:color w:val="auto"/>
        </w:rPr>
      </w:pPr>
      <w:r>
        <w:rPr>
          <w:rFonts w:ascii="Times New Roman" w:cs="Times New Roman" w:eastAsia="Times New Roman" w:hAnsi="Times New Roman"/>
          <w:sz w:val="29"/>
          <w:szCs w:val="29"/>
          <w:b w:val="1"/>
          <w:bCs w:val="1"/>
          <w:color w:val="auto"/>
        </w:rPr>
        <w:t>AnaptysBio Reports HARP Phase 2 Top-Line Data of Imsidolimab in Moderate-to-Severe Hidradenitis Suppurativa</w:t>
      </w:r>
    </w:p>
    <w:p>
      <w:pPr>
        <w:spacing w:after="0" w:line="50" w:lineRule="exact"/>
        <w:rPr>
          <w:sz w:val="20"/>
          <w:szCs w:val="20"/>
          <w:color w:val="auto"/>
        </w:rPr>
      </w:pPr>
    </w:p>
    <w:p>
      <w:pPr>
        <w:ind w:left="660" w:right="100" w:hanging="328"/>
        <w:spacing w:after="0" w:line="241" w:lineRule="auto"/>
        <w:tabs>
          <w:tab w:leader="none" w:pos="655" w:val="left"/>
        </w:tabs>
        <w:numPr>
          <w:ilvl w:val="0"/>
          <w:numId w:val="1"/>
        </w:numPr>
        <w:rPr>
          <w:rFonts w:ascii="Arial" w:cs="Arial" w:eastAsia="Arial" w:hAnsi="Arial"/>
          <w:sz w:val="22"/>
          <w:szCs w:val="22"/>
          <w:color w:val="auto"/>
        </w:rPr>
      </w:pPr>
      <w:r>
        <w:rPr>
          <w:rFonts w:ascii="Times New Roman" w:cs="Times New Roman" w:eastAsia="Times New Roman" w:hAnsi="Times New Roman"/>
          <w:sz w:val="22"/>
          <w:szCs w:val="22"/>
          <w:color w:val="auto"/>
        </w:rPr>
        <w:t>Imsidolimab (anti-IL-36 receptor antagonist) did not demonstrate improvement over placebo in the primary endpoint and key secondary endpoints</w:t>
      </w:r>
    </w:p>
    <w:p>
      <w:pPr>
        <w:ind w:left="660" w:hanging="328"/>
        <w:spacing w:after="0" w:line="229" w:lineRule="auto"/>
        <w:tabs>
          <w:tab w:leader="none" w:pos="660" w:val="left"/>
        </w:tabs>
        <w:numPr>
          <w:ilvl w:val="0"/>
          <w:numId w:val="1"/>
        </w:numPr>
        <w:rPr>
          <w:rFonts w:ascii="Arial" w:cs="Arial" w:eastAsia="Arial" w:hAnsi="Arial"/>
          <w:sz w:val="22"/>
          <w:szCs w:val="22"/>
          <w:color w:val="auto"/>
        </w:rPr>
      </w:pPr>
      <w:r>
        <w:rPr>
          <w:rFonts w:ascii="Times New Roman" w:cs="Times New Roman" w:eastAsia="Times New Roman" w:hAnsi="Times New Roman"/>
          <w:sz w:val="22"/>
          <w:szCs w:val="22"/>
          <w:color w:val="auto"/>
        </w:rPr>
        <w:t>Imsidolimab was safe and well tolerated with no imsidolimab-related serious or severe adverse events reported</w:t>
      </w:r>
    </w:p>
    <w:p>
      <w:pPr>
        <w:ind w:left="660" w:hanging="328"/>
        <w:spacing w:after="0" w:line="229" w:lineRule="auto"/>
        <w:tabs>
          <w:tab w:leader="none" w:pos="660" w:val="left"/>
        </w:tabs>
        <w:numPr>
          <w:ilvl w:val="0"/>
          <w:numId w:val="1"/>
        </w:numPr>
        <w:rPr>
          <w:rFonts w:ascii="Arial" w:cs="Arial" w:eastAsia="Arial" w:hAnsi="Arial"/>
          <w:sz w:val="22"/>
          <w:szCs w:val="22"/>
          <w:color w:val="auto"/>
        </w:rPr>
      </w:pPr>
      <w:r>
        <w:rPr>
          <w:rFonts w:ascii="Times New Roman" w:cs="Times New Roman" w:eastAsia="Times New Roman" w:hAnsi="Times New Roman"/>
          <w:sz w:val="22"/>
          <w:szCs w:val="22"/>
          <w:color w:val="auto"/>
        </w:rPr>
        <w:t>Company to discontinue imsidolimab clinical development in hidradenitis suppurativa</w:t>
      </w:r>
    </w:p>
    <w:p>
      <w:pPr>
        <w:ind w:left="660" w:hanging="328"/>
        <w:spacing w:after="0" w:line="230" w:lineRule="auto"/>
        <w:tabs>
          <w:tab w:leader="none" w:pos="655" w:val="left"/>
        </w:tabs>
        <w:numPr>
          <w:ilvl w:val="0"/>
          <w:numId w:val="1"/>
        </w:numPr>
        <w:rPr>
          <w:rFonts w:ascii="Arial" w:cs="Arial" w:eastAsia="Arial" w:hAnsi="Arial"/>
          <w:sz w:val="22"/>
          <w:szCs w:val="22"/>
          <w:color w:val="auto"/>
        </w:rPr>
      </w:pPr>
      <w:r>
        <w:rPr>
          <w:rFonts w:ascii="Times New Roman" w:cs="Times New Roman" w:eastAsia="Times New Roman" w:hAnsi="Times New Roman"/>
          <w:sz w:val="22"/>
          <w:szCs w:val="22"/>
          <w:color w:val="auto"/>
        </w:rPr>
        <w:t>Enrollment ongoing in the imsidolimab GEMINI-1 GPP Phase 3 registrational trial with top-line data anticipated Q4 2023 and the company plans to outlicense imsidolimab prior to potential FDA approval</w:t>
      </w:r>
    </w:p>
    <w:p>
      <w:pPr>
        <w:ind w:left="660" w:right="420" w:hanging="328"/>
        <w:spacing w:after="0" w:line="237" w:lineRule="auto"/>
        <w:tabs>
          <w:tab w:leader="none" w:pos="655" w:val="left"/>
        </w:tabs>
        <w:numPr>
          <w:ilvl w:val="0"/>
          <w:numId w:val="1"/>
        </w:numPr>
        <w:rPr>
          <w:rFonts w:ascii="Arial" w:cs="Arial" w:eastAsia="Arial" w:hAnsi="Arial"/>
          <w:sz w:val="22"/>
          <w:szCs w:val="22"/>
          <w:color w:val="auto"/>
        </w:rPr>
      </w:pPr>
      <w:r>
        <w:rPr>
          <w:rFonts w:ascii="Times New Roman" w:cs="Times New Roman" w:eastAsia="Times New Roman" w:hAnsi="Times New Roman"/>
          <w:sz w:val="22"/>
          <w:szCs w:val="22"/>
          <w:color w:val="auto"/>
        </w:rPr>
        <w:t>Company to focus R&amp;D efforts on its novel immune cell modulator pipeline, including its two checkpoint agonists in clinical-stage development, rosnilimab and ANB032</w:t>
      </w:r>
    </w:p>
    <w:p>
      <w:pPr>
        <w:spacing w:after="0" w:line="200"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SAN DIEGO, Aug. 31, 2022 </w:t>
      </w:r>
      <w:r>
        <w:rPr>
          <w:rFonts w:ascii="Times New Roman" w:cs="Times New Roman" w:eastAsia="Times New Roman" w:hAnsi="Times New Roman"/>
          <w:sz w:val="22"/>
          <w:szCs w:val="22"/>
          <w:color w:val="auto"/>
        </w:rPr>
        <w:t>— AnaptysBio, Inc. (Nasdaq: ANAB), a clinical-stage biotechnology company focused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delivering innovative immunology therapeutics, today announced top-line data from its HARP Phase 2 trial for the treatment of moderate-to-severe hidradenitis suppurativa (HS). The trial indicated imsidolimab was safe and well tolerated, however did not demonstrate efficacy over placebo in the trial’s primary endpoint and key secondary endpoints. Clinical development of imsidolimab is being discontinued in hidradenitis suppurativa.</w:t>
      </w:r>
    </w:p>
    <w:p>
      <w:pPr>
        <w:spacing w:after="0" w:line="205"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2"/>
          <w:szCs w:val="22"/>
          <w:color w:val="auto"/>
        </w:rPr>
        <w:t>“HS is a severely debilitating, painful and chronic skin disease with substantial unmet need. Although the results of this hidradenitis suppurativa trial are disappointing, we are very grateful to the patients, investigators and our employees involved in conducting this trial,” said Dr. Paul F. Lizzul, chief medical officer.</w:t>
      </w:r>
    </w:p>
    <w:p>
      <w:pPr>
        <w:spacing w:after="0" w:line="20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Imsidolimab previously demonstrated efficacy and safety in the GALLOP Phase 2 trial in generalized pustular psoriasis (GPP), a systemic, life-threatening inflammatory disease in which imsidolimab has been granted Orphan Disease Designation. Enrollment of the GEMINI-1 GPP Phase 3 registrational trial is ongoing and top-line data is anticipated in Q4 2023. The company plans to outlicense investigational imsidolimab prior to potential FDA approval for the treatment of GPP.</w:t>
      </w:r>
    </w:p>
    <w:p>
      <w:pPr>
        <w:spacing w:after="0" w:line="19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AnaptysBio also continues to advance the development of two wholly-owned immune cell modulators targeting PD-1 and BTLA for autoimmune and inflammatory disease. Top-line data from the AZURE Phase 2 trial of rosnilimab, a PD-1 agonist antibody, in moderate-to-severe alopecia areata is anticipated in the first quarter of 2023, and the company expects to file a U.S. IND for an initial Phase 2 trial of ANB032, a BTLA agonist antibody, in the fourth quarter of 2022.</w:t>
      </w:r>
    </w:p>
    <w:p>
      <w:pPr>
        <w:spacing w:after="0" w:line="20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IL-36 pathway plays a key role in the disease pathology of GPP. While we remain optimistic that imsidolimab, an IL-36 receptor antagonist, can meaningfully impact the treatment of patients with GPP, as part of our ongoing strategic portfolio review we have made the decision to complete execution of our Phase 3 program and outlicense imsidolimab prior to potential FDA approval,” said Daniel Faga, interim president and chief executive officer of AnaptysBio.</w:t>
      </w:r>
    </w:p>
    <w:p>
      <w:pPr>
        <w:sectPr>
          <w:pgSz w:w="11900" w:h="16838" w:orient="portrait"/>
          <w:cols w:equalWidth="0" w:num="1">
            <w:col w:w="11220"/>
          </w:cols>
          <w:pgMar w:left="320" w:top="1440" w:right="359" w:bottom="1440" w:gutter="0" w:footer="0" w:header="0"/>
        </w:sectPr>
      </w:pPr>
    </w:p>
    <w:bookmarkStart w:id="4" w:name="page5"/>
    <w:bookmarkEnd w:id="4"/>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5891530</wp:posOffset>
            </wp:positionH>
            <wp:positionV relativeFrom="page">
              <wp:posOffset>88900</wp:posOffset>
            </wp:positionV>
            <wp:extent cx="1448435" cy="334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34645"/>
                    </a:xfrm>
                    <a:prstGeom prst="rect">
                      <a:avLst/>
                    </a:prstGeom>
                    <a:noFill/>
                  </pic:spPr>
                </pic:pic>
              </a:graphicData>
            </a:graphic>
          </wp:anchor>
        </w:drawing>
      </w:r>
    </w:p>
    <w:p>
      <w:pPr>
        <w:ind w:right="120"/>
        <w:spacing w:after="0" w:line="236" w:lineRule="auto"/>
        <w:rPr>
          <w:sz w:val="20"/>
          <w:szCs w:val="20"/>
          <w:color w:val="auto"/>
        </w:rPr>
      </w:pPr>
      <w:r>
        <w:rPr>
          <w:rFonts w:ascii="Times New Roman" w:cs="Times New Roman" w:eastAsia="Times New Roman" w:hAnsi="Times New Roman"/>
          <w:sz w:val="22"/>
          <w:szCs w:val="22"/>
          <w:color w:val="auto"/>
        </w:rPr>
        <w:t>“We’re well capitalized with over $570 million in cash at the end of Q2, and excited to focus on the R&amp;D of our novel immune cell modulator pipeline, including our two checkpoint agonists in clinical-stage development, rosnilimab and ANB032. We believe their mechanisms of action, acting directly on cell types mediating disease pathology, have the potential to treat a broad range of autoimmune and inflammatory disorders.”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HARP P2b Trial Top-line Results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Trial design:</w:t>
      </w:r>
    </w:p>
    <w:p>
      <w:pPr>
        <w:ind w:left="660" w:right="60" w:hanging="328"/>
        <w:spacing w:after="0" w:line="231"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This double-blind, placebo-controlled Phase 2 trial enrolled 149 patients, at sites located within North America and Europe, with moderate to severe hidradenitis suppurativa. Key inclusion criteria included age between 18 and 75 years, clinically confirmed ongoing moderate-to-severe HS with at least 5 inflammatory nodule and abscess (AN) lesion count, less than 20 draining fistulas and at least Hurley stage 2.</w:t>
      </w:r>
    </w:p>
    <w:p>
      <w:pPr>
        <w:ind w:left="660" w:right="60" w:hanging="328"/>
        <w:spacing w:after="0" w:line="230"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Patients received subcutaneous monthly doses of imsidolimab 400 mg/200mg (n=50), imsidolimab 200 mg/100mg (n=50), or placebo (n=49) in a 16-week treatment double-blind placebo-controlled period followed by a 16-week extension period. Placebo patients were re-randomized in a 1:1 ratio to imsidolimab 400 mg/200 mg or imsidolimab 200 mg/100 mg in the extension period.</w:t>
      </w:r>
    </w:p>
    <w:p>
      <w:pPr>
        <w:spacing w:after="0" w:line="1" w:lineRule="exact"/>
        <w:rPr>
          <w:rFonts w:ascii="Arial" w:cs="Arial" w:eastAsia="Arial" w:hAnsi="Arial"/>
          <w:sz w:val="22"/>
          <w:szCs w:val="22"/>
          <w:color w:val="auto"/>
        </w:rPr>
      </w:pPr>
    </w:p>
    <w:p>
      <w:pPr>
        <w:ind w:left="660" w:right="120" w:hanging="328"/>
        <w:spacing w:after="0" w:line="235" w:lineRule="auto"/>
        <w:tabs>
          <w:tab w:leader="none" w:pos="655" w:val="left"/>
        </w:tabs>
        <w:numPr>
          <w:ilvl w:val="0"/>
          <w:numId w:val="2"/>
        </w:numPr>
        <w:rPr>
          <w:rFonts w:ascii="Arial" w:cs="Arial" w:eastAsia="Arial" w:hAnsi="Arial"/>
          <w:sz w:val="22"/>
          <w:szCs w:val="22"/>
          <w:color w:val="auto"/>
        </w:rPr>
      </w:pPr>
      <w:r>
        <w:rPr>
          <w:rFonts w:ascii="Times New Roman" w:cs="Times New Roman" w:eastAsia="Times New Roman" w:hAnsi="Times New Roman"/>
          <w:sz w:val="22"/>
          <w:szCs w:val="22"/>
          <w:color w:val="auto"/>
        </w:rPr>
        <w:t>Mean baseline total inflammatory nodule and abscess (AN) lesion count for the imsidolimab high dose arm, the imsidolimab low dose arm and placebo arm were 14.0, 11.9 and 12.1, respectively. Mean baseline draining fistula count for high dose arm, low dose arm and placebo arms were 4.1, 2.7 and 3.1,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Safety and tolerability data:</w:t>
      </w:r>
    </w:p>
    <w:p>
      <w:pPr>
        <w:spacing w:after="0" w:line="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Imsidolimab was safe and well tolerated with no imsidolimab-related serious or severe adverse events reported.</w:t>
      </w:r>
    </w:p>
    <w:p>
      <w:pPr>
        <w:ind w:left="660" w:hanging="328"/>
        <w:spacing w:after="0" w:line="230"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majority of treatment-emergent adverse events (TEAEs), except for COVID-19, were related to underlying HS, were mild to moderate in both imsidolimab arms and resolved without leading to treatment discontinuation and number of TEAEs or TEAE timing did not correlate with dosing.</w:t>
      </w:r>
    </w:p>
    <w:p>
      <w:pPr>
        <w:ind w:left="660" w:right="740" w:hanging="328"/>
        <w:spacing w:after="0" w:line="230"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The most common TEAEs observed across imsidolimab and placebo dosed patients were COVID-19 (n=10) and Hidradenitis (n=8), which were deemed unrelated to treatment.</w:t>
      </w:r>
    </w:p>
    <w:p>
      <w:pPr>
        <w:ind w:left="660" w:right="40" w:hanging="328"/>
        <w:spacing w:after="0" w:line="249" w:lineRule="auto"/>
        <w:tabs>
          <w:tab w:leader="none" w:pos="655" w:val="left"/>
        </w:tabs>
        <w:numPr>
          <w:ilvl w:val="0"/>
          <w:numId w:val="3"/>
        </w:numPr>
        <w:rPr>
          <w:rFonts w:ascii="Arial" w:cs="Arial" w:eastAsia="Arial" w:hAnsi="Arial"/>
          <w:sz w:val="21"/>
          <w:szCs w:val="21"/>
          <w:color w:val="auto"/>
        </w:rPr>
      </w:pPr>
      <w:r>
        <w:rPr>
          <w:rFonts w:ascii="Times New Roman" w:cs="Times New Roman" w:eastAsia="Times New Roman" w:hAnsi="Times New Roman"/>
          <w:sz w:val="21"/>
          <w:szCs w:val="21"/>
          <w:color w:val="auto"/>
        </w:rPr>
        <w:t>Serious TEAEs were observed in 6.1% (n=3) of placebo patients vs. 4.0 % (n=2) on imsidolimab low dose and 0 in the imsidolimab high dose. Two cases were COVID-19 that occurred in the imsidolimab low dose arm, and all other Serious TEAEs occurred in placebo arm, including right ring finger abscess, abortion spontaneous, and worsening HS.</w:t>
      </w:r>
    </w:p>
    <w:p>
      <w:pPr>
        <w:sectPr>
          <w:pgSz w:w="11900" w:h="16838" w:orient="portrait"/>
          <w:cols w:equalWidth="0" w:num="1">
            <w:col w:w="11140"/>
          </w:cols>
          <w:pgMar w:left="320" w:top="1440" w:right="439" w:bottom="1440" w:gutter="0" w:footer="0" w:header="0"/>
        </w:sectPr>
      </w:pPr>
    </w:p>
    <w:bookmarkStart w:id="5" w:name="page6"/>
    <w:bookmarkEnd w:id="5"/>
    <w:p>
      <w:pPr>
        <w:spacing w:after="0" w:line="1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5891530</wp:posOffset>
            </wp:positionH>
            <wp:positionV relativeFrom="page">
              <wp:posOffset>88900</wp:posOffset>
            </wp:positionV>
            <wp:extent cx="1448435" cy="334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34010"/>
                    </a:xfrm>
                    <a:prstGeom prst="rect">
                      <a:avLst/>
                    </a:prstGeom>
                    <a:noFill/>
                  </pic:spPr>
                </pic:pic>
              </a:graphicData>
            </a:graphic>
          </wp:anchor>
        </w:drawing>
      </w:r>
    </w:p>
    <w:tbl>
      <w:tblPr>
        <w:tblLayout w:type="fixed"/>
        <w:tblInd w:w="50" w:type="dxa"/>
        <w:tblCellMar>
          <w:top w:w="0" w:type="dxa"/>
          <w:left w:w="0" w:type="dxa"/>
          <w:bottom w:w="0" w:type="dxa"/>
          <w:right w:w="0" w:type="dxa"/>
        </w:tblCellMar>
      </w:tblPr>
      <w:tr>
        <w:trPr>
          <w:trHeight w:val="305"/>
        </w:trPr>
        <w:tc>
          <w:tcPr>
            <w:tcW w:w="22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Patients with:</w:t>
            </w:r>
          </w:p>
        </w:tc>
        <w:tc>
          <w:tcPr>
            <w:tcW w:w="22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8"/>
              </w:rPr>
              <w:t>Imsidolimab High Dose</w:t>
            </w:r>
          </w:p>
        </w:tc>
        <w:tc>
          <w:tcPr>
            <w:tcW w:w="2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b w:val="1"/>
                <w:bCs w:val="1"/>
                <w:color w:val="auto"/>
                <w:w w:val="99"/>
              </w:rPr>
              <w:t>Imsidolimab Low Dose</w:t>
            </w:r>
          </w:p>
        </w:tc>
        <w:tc>
          <w:tcPr>
            <w:tcW w:w="2240" w:type="dxa"/>
            <w:vAlign w:val="bottom"/>
            <w:tcBorders>
              <w:top w:val="single" w:sz="8" w:color="auto"/>
              <w:bottom w:val="single" w:sz="8" w:color="auto"/>
              <w:right w:val="single" w:sz="8" w:color="auto"/>
            </w:tcBorders>
            <w:gridSpan w:val="2"/>
          </w:tcPr>
          <w:p>
            <w:pPr>
              <w:ind w:left="740"/>
              <w:spacing w:after="0"/>
              <w:rPr>
                <w:sz w:val="20"/>
                <w:szCs w:val="20"/>
                <w:color w:val="auto"/>
              </w:rPr>
            </w:pPr>
            <w:r>
              <w:rPr>
                <w:rFonts w:ascii="Times New Roman" w:cs="Times New Roman" w:eastAsia="Times New Roman" w:hAnsi="Times New Roman"/>
                <w:sz w:val="22"/>
                <w:szCs w:val="22"/>
                <w:b w:val="1"/>
                <w:bCs w:val="1"/>
                <w:color w:val="auto"/>
              </w:rPr>
              <w:t>Placebo</w:t>
            </w:r>
          </w:p>
        </w:tc>
        <w:tc>
          <w:tcPr>
            <w:tcW w:w="2240" w:type="dxa"/>
            <w:vAlign w:val="bottom"/>
            <w:tcBorders>
              <w:top w:val="single" w:sz="8" w:color="auto"/>
              <w:bottom w:val="single" w:sz="8" w:color="auto"/>
              <w:right w:val="single" w:sz="8" w:color="auto"/>
            </w:tcBorders>
            <w:gridSpan w:val="2"/>
          </w:tcPr>
          <w:p>
            <w:pPr>
              <w:ind w:left="760"/>
              <w:spacing w:after="0"/>
              <w:rPr>
                <w:sz w:val="20"/>
                <w:szCs w:val="20"/>
                <w:color w:val="auto"/>
              </w:rPr>
            </w:pPr>
            <w:r>
              <w:rPr>
                <w:rFonts w:ascii="Times New Roman" w:cs="Times New Roman" w:eastAsia="Times New Roman" w:hAnsi="Times New Roman"/>
                <w:sz w:val="22"/>
                <w:szCs w:val="22"/>
                <w:b w:val="1"/>
                <w:bCs w:val="1"/>
                <w:color w:val="auto"/>
              </w:rPr>
              <w:t>Overall</w:t>
            </w:r>
          </w:p>
        </w:tc>
        <w:tc>
          <w:tcPr>
            <w:tcW w:w="0" w:type="dxa"/>
            <w:vAlign w:val="bottom"/>
          </w:tcPr>
          <w:p>
            <w:pPr>
              <w:spacing w:after="0"/>
              <w:rPr>
                <w:sz w:val="1"/>
                <w:szCs w:val="1"/>
                <w:color w:val="auto"/>
              </w:rPr>
            </w:pPr>
          </w:p>
        </w:tc>
      </w:tr>
      <w:tr>
        <w:trPr>
          <w:trHeight w:val="289"/>
        </w:trPr>
        <w:tc>
          <w:tcPr>
            <w:tcW w:w="22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At least 1 TEAE</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38.0% (19)</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28.0%</w:t>
            </w:r>
          </w:p>
        </w:tc>
        <w:tc>
          <w:tcPr>
            <w:tcW w:w="10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34.7%</w:t>
            </w:r>
          </w:p>
        </w:tc>
        <w:tc>
          <w:tcPr>
            <w:tcW w:w="10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(17)</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33.6%</w:t>
            </w:r>
          </w:p>
        </w:tc>
        <w:tc>
          <w:tcPr>
            <w:tcW w:w="10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(50)</w:t>
            </w:r>
          </w:p>
        </w:tc>
        <w:tc>
          <w:tcPr>
            <w:tcW w:w="0" w:type="dxa"/>
            <w:vAlign w:val="bottom"/>
          </w:tcPr>
          <w:p>
            <w:pPr>
              <w:spacing w:after="0"/>
              <w:rPr>
                <w:sz w:val="1"/>
                <w:szCs w:val="1"/>
                <w:color w:val="auto"/>
              </w:rPr>
            </w:pPr>
          </w:p>
        </w:tc>
      </w:tr>
      <w:tr>
        <w:trPr>
          <w:trHeight w:val="229"/>
        </w:trPr>
        <w:tc>
          <w:tcPr>
            <w:tcW w:w="2260" w:type="dxa"/>
            <w:vAlign w:val="bottom"/>
            <w:tcBorders>
              <w:left w:val="single" w:sz="8" w:color="auto"/>
              <w:right w:val="single" w:sz="8" w:color="auto"/>
            </w:tcBorders>
          </w:tcPr>
          <w:p>
            <w:pPr>
              <w:ind w:left="240"/>
              <w:spacing w:after="0" w:line="229" w:lineRule="exact"/>
              <w:rPr>
                <w:sz w:val="20"/>
                <w:szCs w:val="20"/>
                <w:color w:val="auto"/>
              </w:rPr>
            </w:pPr>
            <w:r>
              <w:rPr>
                <w:rFonts w:ascii="Times New Roman" w:cs="Times New Roman" w:eastAsia="Times New Roman" w:hAnsi="Times New Roman"/>
                <w:sz w:val="22"/>
                <w:szCs w:val="22"/>
                <w:color w:val="auto"/>
              </w:rPr>
              <w:t>AE related to</w:t>
            </w:r>
          </w:p>
        </w:tc>
        <w:tc>
          <w:tcPr>
            <w:tcW w:w="2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12.0% (6)</w:t>
            </w:r>
          </w:p>
        </w:tc>
        <w:tc>
          <w:tcPr>
            <w:tcW w:w="22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10.0% (5)</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6.1%</w:t>
            </w:r>
          </w:p>
        </w:tc>
        <w:tc>
          <w:tcPr>
            <w:tcW w:w="10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(3)</w:t>
            </w:r>
          </w:p>
        </w:tc>
        <w:tc>
          <w:tcPr>
            <w:tcW w:w="22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9.4% (14)</w:t>
            </w:r>
          </w:p>
        </w:tc>
        <w:tc>
          <w:tcPr>
            <w:tcW w:w="0" w:type="dxa"/>
            <w:vAlign w:val="bottom"/>
          </w:tcPr>
          <w:p>
            <w:pPr>
              <w:spacing w:after="0"/>
              <w:rPr>
                <w:sz w:val="1"/>
                <w:szCs w:val="1"/>
                <w:color w:val="auto"/>
              </w:rPr>
            </w:pPr>
          </w:p>
        </w:tc>
      </w:tr>
      <w:tr>
        <w:trPr>
          <w:trHeight w:val="174"/>
        </w:trPr>
        <w:tc>
          <w:tcPr>
            <w:tcW w:w="2260" w:type="dxa"/>
            <w:vAlign w:val="bottom"/>
            <w:tcBorders>
              <w:left w:val="single" w:sz="8" w:color="auto"/>
              <w:right w:val="single" w:sz="8" w:color="auto"/>
            </w:tcBorders>
            <w:vMerge w:val="restart"/>
          </w:tcPr>
          <w:p>
            <w:pPr>
              <w:ind w:left="240"/>
              <w:spacing w:after="0"/>
              <w:rPr>
                <w:sz w:val="20"/>
                <w:szCs w:val="20"/>
                <w:color w:val="auto"/>
              </w:rPr>
            </w:pPr>
            <w:r>
              <w:rPr>
                <w:rFonts w:ascii="Times New Roman" w:cs="Times New Roman" w:eastAsia="Times New Roman" w:hAnsi="Times New Roman"/>
                <w:sz w:val="22"/>
                <w:szCs w:val="22"/>
                <w:color w:val="auto"/>
              </w:rPr>
              <w:t>treatment</w:t>
            </w:r>
          </w:p>
        </w:tc>
        <w:tc>
          <w:tcPr>
            <w:tcW w:w="2220" w:type="dxa"/>
            <w:vAlign w:val="bottom"/>
            <w:tcBorders>
              <w:right w:val="single" w:sz="8" w:color="auto"/>
            </w:tcBorders>
            <w:vMerge w:val="continue"/>
          </w:tcPr>
          <w:p>
            <w:pPr>
              <w:spacing w:after="0"/>
              <w:rPr>
                <w:sz w:val="15"/>
                <w:szCs w:val="15"/>
                <w:color w:val="auto"/>
              </w:rPr>
            </w:pPr>
          </w:p>
        </w:tc>
        <w:tc>
          <w:tcPr>
            <w:tcW w:w="2240" w:type="dxa"/>
            <w:vAlign w:val="bottom"/>
            <w:tcBorders>
              <w:right w:val="single" w:sz="8" w:color="auto"/>
            </w:tcBorders>
            <w:gridSpan w:val="2"/>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224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right w:val="single" w:sz="8" w:color="auto"/>
            </w:tcBorders>
            <w:vMerge w:val="continue"/>
          </w:tcPr>
          <w:p>
            <w:pPr>
              <w:spacing w:after="0"/>
              <w:rPr>
                <w:sz w:val="9"/>
                <w:szCs w:val="9"/>
                <w:color w:val="auto"/>
              </w:rPr>
            </w:pPr>
          </w:p>
        </w:tc>
        <w:tc>
          <w:tcPr>
            <w:tcW w:w="222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right w:val="single" w:sz="8" w:color="auto"/>
            </w:tcBorders>
          </w:tcPr>
          <w:p>
            <w:pPr>
              <w:ind w:left="240"/>
              <w:spacing w:after="0" w:line="223" w:lineRule="exact"/>
              <w:rPr>
                <w:sz w:val="20"/>
                <w:szCs w:val="20"/>
                <w:color w:val="auto"/>
              </w:rPr>
            </w:pPr>
            <w:r>
              <w:rPr>
                <w:rFonts w:ascii="Times New Roman" w:cs="Times New Roman" w:eastAsia="Times New Roman" w:hAnsi="Times New Roman"/>
                <w:sz w:val="22"/>
                <w:szCs w:val="22"/>
                <w:color w:val="auto"/>
                <w:w w:val="99"/>
              </w:rPr>
              <w:t>AE related to COVID-</w:t>
            </w:r>
          </w:p>
        </w:tc>
        <w:tc>
          <w:tcPr>
            <w:tcW w:w="2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8.0% (4)</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6.0%</w:t>
            </w:r>
          </w:p>
        </w:tc>
        <w:tc>
          <w:tcPr>
            <w:tcW w:w="10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(3)</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6.1%</w:t>
            </w:r>
          </w:p>
        </w:tc>
        <w:tc>
          <w:tcPr>
            <w:tcW w:w="10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(3)</w:t>
            </w:r>
          </w:p>
        </w:tc>
        <w:tc>
          <w:tcPr>
            <w:tcW w:w="22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6.7% (10)</w:t>
            </w:r>
          </w:p>
        </w:tc>
        <w:tc>
          <w:tcPr>
            <w:tcW w:w="0" w:type="dxa"/>
            <w:vAlign w:val="bottom"/>
          </w:tcPr>
          <w:p>
            <w:pPr>
              <w:spacing w:after="0"/>
              <w:rPr>
                <w:sz w:val="1"/>
                <w:szCs w:val="1"/>
                <w:color w:val="auto"/>
              </w:rPr>
            </w:pPr>
          </w:p>
        </w:tc>
      </w:tr>
      <w:tr>
        <w:trPr>
          <w:trHeight w:val="174"/>
        </w:trPr>
        <w:tc>
          <w:tcPr>
            <w:tcW w:w="2260" w:type="dxa"/>
            <w:vAlign w:val="bottom"/>
            <w:tcBorders>
              <w:left w:val="single" w:sz="8" w:color="auto"/>
              <w:right w:val="single" w:sz="8" w:color="auto"/>
            </w:tcBorders>
            <w:vMerge w:val="restart"/>
          </w:tcPr>
          <w:p>
            <w:pPr>
              <w:ind w:left="240"/>
              <w:spacing w:after="0"/>
              <w:rPr>
                <w:sz w:val="20"/>
                <w:szCs w:val="20"/>
                <w:color w:val="auto"/>
              </w:rPr>
            </w:pPr>
            <w:r>
              <w:rPr>
                <w:rFonts w:ascii="Times New Roman" w:cs="Times New Roman" w:eastAsia="Times New Roman" w:hAnsi="Times New Roman"/>
                <w:sz w:val="22"/>
                <w:szCs w:val="22"/>
                <w:color w:val="auto"/>
              </w:rPr>
              <w:t>19</w:t>
            </w:r>
          </w:p>
        </w:tc>
        <w:tc>
          <w:tcPr>
            <w:tcW w:w="2220" w:type="dxa"/>
            <w:vAlign w:val="bottom"/>
            <w:tcBorders>
              <w:right w:val="single" w:sz="8" w:color="auto"/>
            </w:tcBorders>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224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right w:val="single" w:sz="8" w:color="auto"/>
            </w:tcBorders>
            <w:vMerge w:val="continue"/>
          </w:tcPr>
          <w:p>
            <w:pPr>
              <w:spacing w:after="0"/>
              <w:rPr>
                <w:sz w:val="9"/>
                <w:szCs w:val="9"/>
                <w:color w:val="auto"/>
              </w:rPr>
            </w:pPr>
          </w:p>
        </w:tc>
        <w:tc>
          <w:tcPr>
            <w:tcW w:w="222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right w:val="single" w:sz="8" w:color="auto"/>
            </w:tcBorders>
          </w:tcPr>
          <w:p>
            <w:pPr>
              <w:ind w:left="240"/>
              <w:spacing w:after="0" w:line="223" w:lineRule="exact"/>
              <w:rPr>
                <w:sz w:val="20"/>
                <w:szCs w:val="20"/>
                <w:color w:val="auto"/>
              </w:rPr>
            </w:pPr>
            <w:r>
              <w:rPr>
                <w:rFonts w:ascii="Times New Roman" w:cs="Times New Roman" w:eastAsia="Times New Roman" w:hAnsi="Times New Roman"/>
                <w:sz w:val="22"/>
                <w:szCs w:val="22"/>
                <w:color w:val="auto"/>
              </w:rPr>
              <w:t>AE related to</w:t>
            </w:r>
          </w:p>
        </w:tc>
        <w:tc>
          <w:tcPr>
            <w:tcW w:w="2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6"/>
              </w:rPr>
              <w:t>2.0% (1)</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6.0%</w:t>
            </w:r>
          </w:p>
        </w:tc>
        <w:tc>
          <w:tcPr>
            <w:tcW w:w="10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(3)</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8.2%</w:t>
            </w:r>
          </w:p>
        </w:tc>
        <w:tc>
          <w:tcPr>
            <w:tcW w:w="10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(4)</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5.4%</w:t>
            </w:r>
          </w:p>
        </w:tc>
        <w:tc>
          <w:tcPr>
            <w:tcW w:w="10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174"/>
        </w:trPr>
        <w:tc>
          <w:tcPr>
            <w:tcW w:w="2260" w:type="dxa"/>
            <w:vAlign w:val="bottom"/>
            <w:tcBorders>
              <w:left w:val="single" w:sz="8" w:color="auto"/>
              <w:right w:val="single" w:sz="8" w:color="auto"/>
            </w:tcBorders>
            <w:vMerge w:val="restart"/>
          </w:tcPr>
          <w:p>
            <w:pPr>
              <w:ind w:left="240"/>
              <w:spacing w:after="0"/>
              <w:rPr>
                <w:sz w:val="20"/>
                <w:szCs w:val="20"/>
                <w:color w:val="auto"/>
              </w:rPr>
            </w:pPr>
            <w:r>
              <w:rPr>
                <w:rFonts w:ascii="Times New Roman" w:cs="Times New Roman" w:eastAsia="Times New Roman" w:hAnsi="Times New Roman"/>
                <w:sz w:val="22"/>
                <w:szCs w:val="22"/>
                <w:color w:val="auto"/>
              </w:rPr>
              <w:t>Hidradenitis</w:t>
            </w:r>
          </w:p>
        </w:tc>
        <w:tc>
          <w:tcPr>
            <w:tcW w:w="2220" w:type="dxa"/>
            <w:vAlign w:val="bottom"/>
            <w:tcBorders>
              <w:right w:val="single" w:sz="8" w:color="auto"/>
            </w:tcBorders>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0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right w:val="single" w:sz="8" w:color="auto"/>
            </w:tcBorders>
            <w:vMerge w:val="continue"/>
          </w:tcPr>
          <w:p>
            <w:pPr>
              <w:spacing w:after="0"/>
              <w:rPr>
                <w:sz w:val="9"/>
                <w:szCs w:val="9"/>
                <w:color w:val="auto"/>
              </w:rPr>
            </w:pPr>
          </w:p>
        </w:tc>
        <w:tc>
          <w:tcPr>
            <w:tcW w:w="222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2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Serious AE (SAE)</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w:t>
            </w:r>
          </w:p>
        </w:tc>
        <w:tc>
          <w:tcPr>
            <w:tcW w:w="10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6.1%</w:t>
            </w:r>
          </w:p>
        </w:tc>
        <w:tc>
          <w:tcPr>
            <w:tcW w:w="10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10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29"/>
        </w:trPr>
        <w:tc>
          <w:tcPr>
            <w:tcW w:w="2260" w:type="dxa"/>
            <w:vAlign w:val="bottom"/>
            <w:tcBorders>
              <w:left w:val="single" w:sz="8" w:color="auto"/>
              <w:right w:val="single" w:sz="8" w:color="auto"/>
            </w:tcBorders>
          </w:tcPr>
          <w:p>
            <w:pPr>
              <w:ind w:left="240"/>
              <w:spacing w:after="0" w:line="229" w:lineRule="exact"/>
              <w:rPr>
                <w:sz w:val="20"/>
                <w:szCs w:val="20"/>
                <w:color w:val="auto"/>
              </w:rPr>
            </w:pPr>
            <w:r>
              <w:rPr>
                <w:rFonts w:ascii="Times New Roman" w:cs="Times New Roman" w:eastAsia="Times New Roman" w:hAnsi="Times New Roman"/>
                <w:sz w:val="22"/>
                <w:szCs w:val="22"/>
                <w:color w:val="auto"/>
              </w:rPr>
              <w:t>SAE related to</w:t>
            </w:r>
          </w:p>
        </w:tc>
        <w:tc>
          <w:tcPr>
            <w:tcW w:w="2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0</w:t>
            </w:r>
          </w:p>
        </w:tc>
        <w:tc>
          <w:tcPr>
            <w:tcW w:w="1200" w:type="dxa"/>
            <w:vAlign w:val="bottom"/>
            <w:vMerge w:val="restart"/>
          </w:tcPr>
          <w:p>
            <w:pPr>
              <w:jc w:val="center"/>
              <w:ind w:left="912"/>
              <w:spacing w:after="0"/>
              <w:rPr>
                <w:sz w:val="20"/>
                <w:szCs w:val="20"/>
                <w:color w:val="auto"/>
              </w:rPr>
            </w:pPr>
            <w:r>
              <w:rPr>
                <w:rFonts w:ascii="Times New Roman" w:cs="Times New Roman" w:eastAsia="Times New Roman" w:hAnsi="Times New Roman"/>
                <w:sz w:val="22"/>
                <w:szCs w:val="22"/>
                <w:color w:val="auto"/>
                <w:w w:val="90"/>
              </w:rPr>
              <w:t>0</w:t>
            </w:r>
          </w:p>
        </w:tc>
        <w:tc>
          <w:tcPr>
            <w:tcW w:w="1040" w:type="dxa"/>
            <w:vAlign w:val="bottom"/>
            <w:tcBorders>
              <w:right w:val="single" w:sz="8" w:color="auto"/>
            </w:tcBorders>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1040" w:type="dxa"/>
            <w:vAlign w:val="bottom"/>
            <w:tcBorders>
              <w:right w:val="single" w:sz="8" w:color="auto"/>
            </w:tcBorders>
          </w:tcPr>
          <w:p>
            <w:pPr>
              <w:spacing w:after="0"/>
              <w:rPr>
                <w:sz w:val="19"/>
                <w:szCs w:val="19"/>
                <w:color w:val="auto"/>
              </w:rPr>
            </w:pPr>
          </w:p>
        </w:tc>
        <w:tc>
          <w:tcPr>
            <w:tcW w:w="1200" w:type="dxa"/>
            <w:vAlign w:val="bottom"/>
            <w:vMerge w:val="restart"/>
          </w:tcPr>
          <w:p>
            <w:pPr>
              <w:jc w:val="center"/>
              <w:ind w:left="912"/>
              <w:spacing w:after="0"/>
              <w:rPr>
                <w:sz w:val="20"/>
                <w:szCs w:val="20"/>
                <w:color w:val="auto"/>
              </w:rPr>
            </w:pPr>
            <w:r>
              <w:rPr>
                <w:rFonts w:ascii="Times New Roman" w:cs="Times New Roman" w:eastAsia="Times New Roman" w:hAnsi="Times New Roman"/>
                <w:sz w:val="22"/>
                <w:szCs w:val="22"/>
                <w:color w:val="auto"/>
                <w:w w:val="90"/>
              </w:rPr>
              <w:t>0</w:t>
            </w: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260" w:type="dxa"/>
            <w:vAlign w:val="bottom"/>
            <w:tcBorders>
              <w:left w:val="single" w:sz="8" w:color="auto"/>
              <w:right w:val="single" w:sz="8" w:color="auto"/>
            </w:tcBorders>
            <w:vMerge w:val="restart"/>
          </w:tcPr>
          <w:p>
            <w:pPr>
              <w:ind w:left="240"/>
              <w:spacing w:after="0"/>
              <w:rPr>
                <w:sz w:val="20"/>
                <w:szCs w:val="20"/>
                <w:color w:val="auto"/>
              </w:rPr>
            </w:pPr>
            <w:r>
              <w:rPr>
                <w:rFonts w:ascii="Times New Roman" w:cs="Times New Roman" w:eastAsia="Times New Roman" w:hAnsi="Times New Roman"/>
                <w:sz w:val="22"/>
                <w:szCs w:val="22"/>
                <w:color w:val="auto"/>
              </w:rPr>
              <w:t>treatment</w:t>
            </w:r>
          </w:p>
        </w:tc>
        <w:tc>
          <w:tcPr>
            <w:tcW w:w="2220" w:type="dxa"/>
            <w:vAlign w:val="bottom"/>
            <w:tcBorders>
              <w:right w:val="single" w:sz="8" w:color="auto"/>
            </w:tcBorders>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200" w:type="dxa"/>
            <w:vAlign w:val="bottom"/>
            <w:vMerge w:val="continue"/>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200" w:type="dxa"/>
            <w:vAlign w:val="bottom"/>
            <w:vMerge w:val="continue"/>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right w:val="single" w:sz="8" w:color="auto"/>
            </w:tcBorders>
            <w:vMerge w:val="continue"/>
          </w:tcPr>
          <w:p>
            <w:pPr>
              <w:spacing w:after="0"/>
              <w:rPr>
                <w:sz w:val="9"/>
                <w:szCs w:val="9"/>
                <w:color w:val="auto"/>
              </w:rPr>
            </w:pPr>
          </w:p>
        </w:tc>
        <w:tc>
          <w:tcPr>
            <w:tcW w:w="222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2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Severe TEAE</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10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8.2%</w:t>
            </w:r>
          </w:p>
        </w:tc>
        <w:tc>
          <w:tcPr>
            <w:tcW w:w="10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10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29"/>
        </w:trPr>
        <w:tc>
          <w:tcPr>
            <w:tcW w:w="2260" w:type="dxa"/>
            <w:vAlign w:val="bottom"/>
            <w:tcBorders>
              <w:left w:val="single" w:sz="8" w:color="auto"/>
              <w:right w:val="single" w:sz="8" w:color="auto"/>
            </w:tcBorders>
          </w:tcPr>
          <w:p>
            <w:pPr>
              <w:ind w:left="240"/>
              <w:spacing w:after="0" w:line="229" w:lineRule="exact"/>
              <w:rPr>
                <w:sz w:val="20"/>
                <w:szCs w:val="20"/>
                <w:color w:val="auto"/>
              </w:rPr>
            </w:pPr>
            <w:r>
              <w:rPr>
                <w:rFonts w:ascii="Times New Roman" w:cs="Times New Roman" w:eastAsia="Times New Roman" w:hAnsi="Times New Roman"/>
                <w:sz w:val="22"/>
                <w:szCs w:val="22"/>
                <w:color w:val="auto"/>
              </w:rPr>
              <w:t>Severe TEAE related</w:t>
            </w:r>
          </w:p>
        </w:tc>
        <w:tc>
          <w:tcPr>
            <w:tcW w:w="2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0</w:t>
            </w:r>
          </w:p>
        </w:tc>
        <w:tc>
          <w:tcPr>
            <w:tcW w:w="1200" w:type="dxa"/>
            <w:vAlign w:val="bottom"/>
            <w:vMerge w:val="restart"/>
          </w:tcPr>
          <w:p>
            <w:pPr>
              <w:jc w:val="center"/>
              <w:ind w:left="912"/>
              <w:spacing w:after="0"/>
              <w:rPr>
                <w:sz w:val="20"/>
                <w:szCs w:val="20"/>
                <w:color w:val="auto"/>
              </w:rPr>
            </w:pPr>
            <w:r>
              <w:rPr>
                <w:rFonts w:ascii="Times New Roman" w:cs="Times New Roman" w:eastAsia="Times New Roman" w:hAnsi="Times New Roman"/>
                <w:sz w:val="22"/>
                <w:szCs w:val="22"/>
                <w:color w:val="auto"/>
                <w:w w:val="90"/>
              </w:rPr>
              <w:t>0</w:t>
            </w:r>
          </w:p>
        </w:tc>
        <w:tc>
          <w:tcPr>
            <w:tcW w:w="1040" w:type="dxa"/>
            <w:vAlign w:val="bottom"/>
            <w:tcBorders>
              <w:right w:val="single" w:sz="8" w:color="auto"/>
            </w:tcBorders>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1040" w:type="dxa"/>
            <w:vAlign w:val="bottom"/>
            <w:tcBorders>
              <w:right w:val="single" w:sz="8" w:color="auto"/>
            </w:tcBorders>
          </w:tcPr>
          <w:p>
            <w:pPr>
              <w:spacing w:after="0"/>
              <w:rPr>
                <w:sz w:val="19"/>
                <w:szCs w:val="19"/>
                <w:color w:val="auto"/>
              </w:rPr>
            </w:pPr>
          </w:p>
        </w:tc>
        <w:tc>
          <w:tcPr>
            <w:tcW w:w="1200" w:type="dxa"/>
            <w:vAlign w:val="bottom"/>
            <w:vMerge w:val="restart"/>
          </w:tcPr>
          <w:p>
            <w:pPr>
              <w:jc w:val="center"/>
              <w:ind w:left="912"/>
              <w:spacing w:after="0"/>
              <w:rPr>
                <w:sz w:val="20"/>
                <w:szCs w:val="20"/>
                <w:color w:val="auto"/>
              </w:rPr>
            </w:pPr>
            <w:r>
              <w:rPr>
                <w:rFonts w:ascii="Times New Roman" w:cs="Times New Roman" w:eastAsia="Times New Roman" w:hAnsi="Times New Roman"/>
                <w:sz w:val="22"/>
                <w:szCs w:val="22"/>
                <w:color w:val="auto"/>
                <w:w w:val="90"/>
              </w:rPr>
              <w:t>0</w:t>
            </w:r>
          </w:p>
        </w:tc>
        <w:tc>
          <w:tcPr>
            <w:tcW w:w="1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260" w:type="dxa"/>
            <w:vAlign w:val="bottom"/>
            <w:tcBorders>
              <w:left w:val="single" w:sz="8" w:color="auto"/>
              <w:right w:val="single" w:sz="8" w:color="auto"/>
            </w:tcBorders>
            <w:vMerge w:val="restart"/>
          </w:tcPr>
          <w:p>
            <w:pPr>
              <w:ind w:left="240"/>
              <w:spacing w:after="0"/>
              <w:rPr>
                <w:sz w:val="20"/>
                <w:szCs w:val="20"/>
                <w:color w:val="auto"/>
              </w:rPr>
            </w:pPr>
            <w:r>
              <w:rPr>
                <w:rFonts w:ascii="Times New Roman" w:cs="Times New Roman" w:eastAsia="Times New Roman" w:hAnsi="Times New Roman"/>
                <w:sz w:val="22"/>
                <w:szCs w:val="22"/>
                <w:color w:val="auto"/>
              </w:rPr>
              <w:t>to treatment</w:t>
            </w:r>
          </w:p>
        </w:tc>
        <w:tc>
          <w:tcPr>
            <w:tcW w:w="2220" w:type="dxa"/>
            <w:vAlign w:val="bottom"/>
            <w:tcBorders>
              <w:right w:val="single" w:sz="8" w:color="auto"/>
            </w:tcBorders>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200" w:type="dxa"/>
            <w:vAlign w:val="bottom"/>
            <w:vMerge w:val="continue"/>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200" w:type="dxa"/>
            <w:vAlign w:val="bottom"/>
            <w:vMerge w:val="continue"/>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right w:val="single" w:sz="8" w:color="auto"/>
            </w:tcBorders>
            <w:vMerge w:val="continue"/>
          </w:tcPr>
          <w:p>
            <w:pPr>
              <w:spacing w:after="0"/>
              <w:rPr>
                <w:sz w:val="9"/>
                <w:szCs w:val="9"/>
                <w:color w:val="auto"/>
              </w:rPr>
            </w:pPr>
          </w:p>
        </w:tc>
        <w:tc>
          <w:tcPr>
            <w:tcW w:w="222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Efficacy data:</w:t>
      </w:r>
    </w:p>
    <w:p>
      <w:pPr>
        <w:spacing w:after="0" w:line="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The primary endpoint was mean change in AN lesion count from baseline at week 16.</w:t>
      </w:r>
    </w:p>
    <w:p>
      <w:pPr>
        <w:ind w:left="660" w:right="200" w:hanging="328"/>
        <w:spacing w:after="0" w:line="233"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A secondary endpoint, the Hidradenitis Suppurativa Clinical Response (HiSCR) measure, was also assessed to measure improvement in HS. HiSCR50 is defined as at least 50 percent reduction from baseline AN lesion count and no increase for either abscess or draining fistula count at 16 weeks. HiSCR50 is the endpoint that has been utilized to date for evaluation of HS by regulatory agencies.</w:t>
      </w:r>
    </w:p>
    <w:p>
      <w:pPr>
        <w:spacing w:after="0" w:line="242" w:lineRule="exact"/>
        <w:rPr>
          <w:sz w:val="20"/>
          <w:szCs w:val="20"/>
          <w:color w:val="auto"/>
        </w:rPr>
      </w:pPr>
    </w:p>
    <w:tbl>
      <w:tblPr>
        <w:tblLayout w:type="fixed"/>
        <w:tblInd w:w="30" w:type="dxa"/>
        <w:tblCellMar>
          <w:top w:w="0" w:type="dxa"/>
          <w:left w:w="0" w:type="dxa"/>
          <w:bottom w:w="0" w:type="dxa"/>
          <w:right w:w="0" w:type="dxa"/>
        </w:tblCellMar>
      </w:tblPr>
      <w:tr>
        <w:trPr>
          <w:trHeight w:val="498"/>
        </w:trPr>
        <w:tc>
          <w:tcPr>
            <w:tcW w:w="2540" w:type="dxa"/>
            <w:vAlign w:val="bottom"/>
            <w:tcBorders>
              <w:top w:val="single" w:sz="8" w:color="auto"/>
              <w:left w:val="single" w:sz="8" w:color="auto"/>
              <w:right w:val="single" w:sz="8" w:color="auto"/>
            </w:tcBorders>
          </w:tcPr>
          <w:p>
            <w:pPr>
              <w:ind w:left="460"/>
              <w:spacing w:after="0"/>
              <w:rPr>
                <w:sz w:val="20"/>
                <w:szCs w:val="20"/>
                <w:color w:val="auto"/>
              </w:rPr>
            </w:pPr>
            <w:r>
              <w:rPr>
                <w:rFonts w:ascii="Calibri" w:cs="Calibri" w:eastAsia="Calibri" w:hAnsi="Calibri"/>
                <w:sz w:val="22"/>
                <w:szCs w:val="22"/>
                <w:b w:val="1"/>
                <w:bCs w:val="1"/>
                <w:color w:val="auto"/>
              </w:rPr>
              <w:t>Endpoint at Week</w:t>
            </w:r>
          </w:p>
        </w:tc>
        <w:tc>
          <w:tcPr>
            <w:tcW w:w="3440" w:type="dxa"/>
            <w:vAlign w:val="bottom"/>
            <w:tcBorders>
              <w:top w:val="single" w:sz="8" w:color="auto"/>
              <w:right w:val="single" w:sz="8" w:color="auto"/>
            </w:tcBorders>
            <w:gridSpan w:val="2"/>
            <w:vMerge w:val="restart"/>
          </w:tcPr>
          <w:p>
            <w:pPr>
              <w:ind w:left="1120"/>
              <w:spacing w:after="0"/>
              <w:rPr>
                <w:sz w:val="20"/>
                <w:szCs w:val="20"/>
                <w:color w:val="auto"/>
              </w:rPr>
            </w:pPr>
            <w:r>
              <w:rPr>
                <w:rFonts w:ascii="Times New Roman" w:cs="Times New Roman" w:eastAsia="Times New Roman" w:hAnsi="Times New Roman"/>
                <w:sz w:val="22"/>
                <w:szCs w:val="22"/>
                <w:b w:val="1"/>
                <w:bCs w:val="1"/>
                <w:color w:val="auto"/>
              </w:rPr>
              <w:t>Imsidolimab</w:t>
            </w:r>
          </w:p>
        </w:tc>
        <w:tc>
          <w:tcPr>
            <w:tcW w:w="1700" w:type="dxa"/>
            <w:vAlign w:val="bottom"/>
            <w:tcBorders>
              <w:top w:val="single" w:sz="8" w:color="auto"/>
              <w:right w:val="single" w:sz="8" w:color="auto"/>
            </w:tcBorders>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Placebo</w:t>
            </w:r>
          </w:p>
        </w:tc>
        <w:tc>
          <w:tcPr>
            <w:tcW w:w="3540" w:type="dxa"/>
            <w:vAlign w:val="bottom"/>
            <w:tcBorders>
              <w:top w:val="single" w:sz="8" w:color="auto"/>
              <w:right w:val="single" w:sz="8" w:color="auto"/>
            </w:tcBorders>
            <w:gridSpan w:val="2"/>
          </w:tcPr>
          <w:p>
            <w:pPr>
              <w:ind w:left="120"/>
              <w:spacing w:after="0"/>
              <w:rPr>
                <w:sz w:val="20"/>
                <w:szCs w:val="20"/>
                <w:color w:val="auto"/>
              </w:rPr>
            </w:pPr>
            <w:r>
              <w:rPr>
                <w:rFonts w:ascii="Calibri" w:cs="Calibri" w:eastAsia="Calibri" w:hAnsi="Calibri"/>
                <w:sz w:val="22"/>
                <w:szCs w:val="22"/>
                <w:b w:val="1"/>
                <w:bCs w:val="1"/>
                <w:color w:val="auto"/>
              </w:rPr>
              <w:t>Diference of Imsidolimab vs Placebo</w:t>
            </w:r>
          </w:p>
        </w:tc>
        <w:tc>
          <w:tcPr>
            <w:tcW w:w="0" w:type="dxa"/>
            <w:vAlign w:val="bottom"/>
          </w:tcPr>
          <w:p>
            <w:pPr>
              <w:spacing w:after="0"/>
              <w:rPr>
                <w:sz w:val="1"/>
                <w:szCs w:val="1"/>
                <w:color w:val="auto"/>
              </w:rPr>
            </w:pPr>
          </w:p>
        </w:tc>
      </w:tr>
      <w:tr>
        <w:trPr>
          <w:trHeight w:val="135"/>
        </w:trPr>
        <w:tc>
          <w:tcPr>
            <w:tcW w:w="2540" w:type="dxa"/>
            <w:vAlign w:val="bottom"/>
            <w:tcBorders>
              <w:left w:val="single" w:sz="8" w:color="auto"/>
              <w:right w:val="single" w:sz="8" w:color="auto"/>
            </w:tcBorders>
            <w:vMerge w:val="restart"/>
          </w:tcPr>
          <w:p>
            <w:pPr>
              <w:ind w:left="1160"/>
              <w:spacing w:after="0" w:line="258" w:lineRule="exact"/>
              <w:rPr>
                <w:sz w:val="20"/>
                <w:szCs w:val="20"/>
                <w:color w:val="auto"/>
              </w:rPr>
            </w:pPr>
            <w:r>
              <w:rPr>
                <w:rFonts w:ascii="Calibri" w:cs="Calibri" w:eastAsia="Calibri" w:hAnsi="Calibri"/>
                <w:sz w:val="22"/>
                <w:szCs w:val="22"/>
                <w:b w:val="1"/>
                <w:bCs w:val="1"/>
                <w:color w:val="auto"/>
              </w:rPr>
              <w:t>16</w:t>
            </w:r>
          </w:p>
        </w:tc>
        <w:tc>
          <w:tcPr>
            <w:tcW w:w="3440" w:type="dxa"/>
            <w:vAlign w:val="bottom"/>
            <w:tcBorders>
              <w:right w:val="single" w:sz="8" w:color="auto"/>
            </w:tcBorders>
            <w:gridSpan w:val="2"/>
            <w:vMerge w:val="continue"/>
          </w:tcPr>
          <w:p>
            <w:pPr>
              <w:spacing w:after="0"/>
              <w:rPr>
                <w:sz w:val="11"/>
                <w:szCs w:val="11"/>
                <w:color w:val="auto"/>
              </w:rPr>
            </w:pPr>
          </w:p>
        </w:tc>
        <w:tc>
          <w:tcPr>
            <w:tcW w:w="1700" w:type="dxa"/>
            <w:vAlign w:val="bottom"/>
            <w:tcBorders>
              <w:right w:val="single" w:sz="8" w:color="auto"/>
            </w:tcBorders>
            <w:vMerge w:val="continue"/>
          </w:tcPr>
          <w:p>
            <w:pPr>
              <w:spacing w:after="0"/>
              <w:rPr>
                <w:sz w:val="11"/>
                <w:szCs w:val="11"/>
                <w:color w:val="auto"/>
              </w:rPr>
            </w:pPr>
          </w:p>
        </w:tc>
        <w:tc>
          <w:tcPr>
            <w:tcW w:w="1780" w:type="dxa"/>
            <w:vAlign w:val="bottom"/>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540" w:type="dxa"/>
            <w:vAlign w:val="bottom"/>
            <w:tcBorders>
              <w:left w:val="single" w:sz="8" w:color="auto"/>
              <w:right w:val="single" w:sz="8" w:color="auto"/>
            </w:tcBorders>
            <w:vMerge w:val="continue"/>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174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17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540" w:type="dxa"/>
            <w:vAlign w:val="bottom"/>
            <w:tcBorders>
              <w:left w:val="single" w:sz="8" w:color="auto"/>
              <w:bottom w:val="single" w:sz="8" w:color="auto"/>
              <w:right w:val="single" w:sz="8" w:color="auto"/>
            </w:tcBorders>
          </w:tcPr>
          <w:p>
            <w:pPr>
              <w:spacing w:after="0"/>
              <w:rPr>
                <w:sz w:val="23"/>
                <w:szCs w:val="23"/>
                <w:color w:val="auto"/>
              </w:rPr>
            </w:pPr>
          </w:p>
        </w:tc>
        <w:tc>
          <w:tcPr>
            <w:tcW w:w="170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2"/>
                <w:szCs w:val="22"/>
                <w:b w:val="1"/>
                <w:bCs w:val="1"/>
                <w:color w:val="auto"/>
              </w:rPr>
              <w:t>High Dose</w:t>
            </w:r>
          </w:p>
        </w:tc>
        <w:tc>
          <w:tcPr>
            <w:tcW w:w="174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b w:val="1"/>
                <w:bCs w:val="1"/>
                <w:color w:val="auto"/>
              </w:rPr>
              <w:t>Low Dose</w:t>
            </w:r>
          </w:p>
        </w:tc>
        <w:tc>
          <w:tcPr>
            <w:tcW w:w="1700" w:type="dxa"/>
            <w:vAlign w:val="bottom"/>
            <w:tcBorders>
              <w:bottom w:val="single" w:sz="8" w:color="auto"/>
              <w:right w:val="single" w:sz="8" w:color="auto"/>
            </w:tcBorders>
          </w:tcPr>
          <w:p>
            <w:pPr>
              <w:spacing w:after="0"/>
              <w:rPr>
                <w:sz w:val="23"/>
                <w:szCs w:val="23"/>
                <w:color w:val="auto"/>
              </w:rPr>
            </w:pPr>
          </w:p>
        </w:tc>
        <w:tc>
          <w:tcPr>
            <w:tcW w:w="178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22"/>
                <w:szCs w:val="22"/>
                <w:b w:val="1"/>
                <w:bCs w:val="1"/>
                <w:color w:val="auto"/>
              </w:rPr>
              <w:t>High Dose</w:t>
            </w:r>
          </w:p>
        </w:tc>
        <w:tc>
          <w:tcPr>
            <w:tcW w:w="176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22"/>
                <w:szCs w:val="22"/>
                <w:b w:val="1"/>
                <w:bCs w:val="1"/>
                <w:color w:val="auto"/>
              </w:rPr>
              <w:t>Low Dose</w:t>
            </w:r>
          </w:p>
        </w:tc>
        <w:tc>
          <w:tcPr>
            <w:tcW w:w="0" w:type="dxa"/>
            <w:vAlign w:val="bottom"/>
          </w:tcPr>
          <w:p>
            <w:pPr>
              <w:spacing w:after="0"/>
              <w:rPr>
                <w:sz w:val="1"/>
                <w:szCs w:val="1"/>
                <w:color w:val="auto"/>
              </w:rPr>
            </w:pPr>
          </w:p>
        </w:tc>
      </w:tr>
      <w:tr>
        <w:trPr>
          <w:trHeight w:val="223"/>
        </w:trPr>
        <w:tc>
          <w:tcPr>
            <w:tcW w:w="2540" w:type="dxa"/>
            <w:vAlign w:val="bottom"/>
            <w:tcBorders>
              <w:left w:val="single" w:sz="8" w:color="auto"/>
              <w:right w:val="single" w:sz="8" w:color="auto"/>
            </w:tcBorders>
          </w:tcPr>
          <w:p>
            <w:pPr>
              <w:ind w:left="40"/>
              <w:spacing w:after="0" w:line="223" w:lineRule="exact"/>
              <w:rPr>
                <w:sz w:val="20"/>
                <w:szCs w:val="20"/>
                <w:color w:val="auto"/>
              </w:rPr>
            </w:pPr>
            <w:r>
              <w:rPr>
                <w:rFonts w:ascii="Times New Roman" w:cs="Times New Roman" w:eastAsia="Times New Roman" w:hAnsi="Times New Roman"/>
                <w:sz w:val="22"/>
                <w:szCs w:val="22"/>
                <w:color w:val="auto"/>
              </w:rPr>
              <w:t>Mean AN Count Change</w:t>
            </w:r>
          </w:p>
        </w:tc>
        <w:tc>
          <w:tcPr>
            <w:tcW w:w="170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7"/>
              </w:rPr>
              <w:t>-5.9</w:t>
            </w:r>
          </w:p>
        </w:tc>
        <w:tc>
          <w:tcPr>
            <w:tcW w:w="174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7"/>
              </w:rPr>
              <w:t>-4.1</w:t>
            </w:r>
          </w:p>
        </w:tc>
        <w:tc>
          <w:tcPr>
            <w:tcW w:w="170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7"/>
              </w:rPr>
              <w:t>-5.6</w:t>
            </w:r>
          </w:p>
        </w:tc>
        <w:tc>
          <w:tcPr>
            <w:tcW w:w="178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rPr>
              <w:t>-0.3</w:t>
            </w:r>
          </w:p>
        </w:tc>
        <w:tc>
          <w:tcPr>
            <w:tcW w:w="1760" w:type="dxa"/>
            <w:vAlign w:val="bottom"/>
            <w:tcBorders>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4"/>
              </w:rPr>
              <w:t>1.3</w:t>
            </w:r>
          </w:p>
        </w:tc>
        <w:tc>
          <w:tcPr>
            <w:tcW w:w="0" w:type="dxa"/>
            <w:vAlign w:val="bottom"/>
          </w:tcPr>
          <w:p>
            <w:pPr>
              <w:spacing w:after="0"/>
              <w:rPr>
                <w:sz w:val="1"/>
                <w:szCs w:val="1"/>
                <w:color w:val="auto"/>
              </w:rPr>
            </w:pPr>
          </w:p>
        </w:tc>
      </w:tr>
      <w:tr>
        <w:trPr>
          <w:trHeight w:val="304"/>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from Baseline (SD)</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(6.05)</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(4.63)</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(7.40)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(p=0.7841)</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(p=0.2885)</w:t>
            </w:r>
          </w:p>
        </w:tc>
        <w:tc>
          <w:tcPr>
            <w:tcW w:w="0" w:type="dxa"/>
            <w:vAlign w:val="bottom"/>
          </w:tcPr>
          <w:p>
            <w:pPr>
              <w:spacing w:after="0"/>
              <w:rPr>
                <w:sz w:val="1"/>
                <w:szCs w:val="1"/>
                <w:color w:val="auto"/>
              </w:rPr>
            </w:pPr>
          </w:p>
        </w:tc>
      </w:tr>
      <w:tr>
        <w:trPr>
          <w:trHeight w:val="230"/>
        </w:trPr>
        <w:tc>
          <w:tcPr>
            <w:tcW w:w="2540" w:type="dxa"/>
            <w:vAlign w:val="bottom"/>
            <w:tcBorders>
              <w:left w:val="single" w:sz="8" w:color="auto"/>
              <w:right w:val="single" w:sz="8" w:color="auto"/>
            </w:tcBorders>
          </w:tcPr>
          <w:p>
            <w:pPr>
              <w:ind w:left="40"/>
              <w:spacing w:after="0" w:line="229" w:lineRule="exact"/>
              <w:rPr>
                <w:sz w:val="20"/>
                <w:szCs w:val="20"/>
                <w:color w:val="auto"/>
              </w:rPr>
            </w:pPr>
            <w:r>
              <w:rPr>
                <w:rFonts w:ascii="Times New Roman" w:cs="Times New Roman" w:eastAsia="Times New Roman" w:hAnsi="Times New Roman"/>
                <w:sz w:val="22"/>
                <w:szCs w:val="22"/>
                <w:color w:val="auto"/>
              </w:rPr>
              <w:t>Mean Percent AN Count</w:t>
            </w:r>
          </w:p>
        </w:tc>
        <w:tc>
          <w:tcPr>
            <w:tcW w:w="170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5"/>
              </w:rPr>
              <w:t>-44.7</w:t>
            </w:r>
          </w:p>
        </w:tc>
        <w:tc>
          <w:tcPr>
            <w:tcW w:w="174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5"/>
              </w:rPr>
              <w:t>-36.7</w:t>
            </w:r>
          </w:p>
        </w:tc>
        <w:tc>
          <w:tcPr>
            <w:tcW w:w="170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5"/>
              </w:rPr>
              <w:t>-41.2</w:t>
            </w:r>
          </w:p>
        </w:tc>
        <w:tc>
          <w:tcPr>
            <w:tcW w:w="178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rPr>
              <w:t>-4.8</w:t>
            </w:r>
          </w:p>
        </w:tc>
        <w:tc>
          <w:tcPr>
            <w:tcW w:w="1760" w:type="dxa"/>
            <w:vAlign w:val="bottom"/>
            <w:tcBorders>
              <w:right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4"/>
              </w:rPr>
              <w:t>3.5</w:t>
            </w:r>
          </w:p>
        </w:tc>
        <w:tc>
          <w:tcPr>
            <w:tcW w:w="0" w:type="dxa"/>
            <w:vAlign w:val="bottom"/>
          </w:tcPr>
          <w:p>
            <w:pPr>
              <w:spacing w:after="0"/>
              <w:rPr>
                <w:sz w:val="1"/>
                <w:szCs w:val="1"/>
                <w:color w:val="auto"/>
              </w:rPr>
            </w:pPr>
          </w:p>
        </w:tc>
      </w:tr>
      <w:tr>
        <w:trPr>
          <w:trHeight w:val="304"/>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Change from Baseline (SD)</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(39.23)</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(36.59)</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(43.69)</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(p=0.5939)</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(p=0.7002)</w:t>
            </w:r>
          </w:p>
        </w:tc>
        <w:tc>
          <w:tcPr>
            <w:tcW w:w="0" w:type="dxa"/>
            <w:vAlign w:val="bottom"/>
          </w:tcPr>
          <w:p>
            <w:pPr>
              <w:spacing w:after="0"/>
              <w:rPr>
                <w:sz w:val="1"/>
                <w:szCs w:val="1"/>
                <w:color w:val="auto"/>
              </w:rPr>
            </w:pPr>
          </w:p>
        </w:tc>
      </w:tr>
      <w:tr>
        <w:trPr>
          <w:trHeight w:val="203"/>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HiSCR50 (%)</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41.0</w:t>
            </w:r>
          </w:p>
        </w:tc>
        <w:tc>
          <w:tcPr>
            <w:tcW w:w="1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39.0</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3"/>
              </w:rPr>
              <w:t>35.7</w:t>
            </w:r>
          </w:p>
        </w:tc>
        <w:tc>
          <w:tcPr>
            <w:tcW w:w="1780" w:type="dxa"/>
            <w:vAlign w:val="bottom"/>
            <w:tcBorders>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2"/>
                <w:szCs w:val="22"/>
                <w:color w:val="auto"/>
              </w:rPr>
              <w:t>6.0</w:t>
            </w:r>
          </w:p>
        </w:tc>
        <w:tc>
          <w:tcPr>
            <w:tcW w:w="1760" w:type="dxa"/>
            <w:vAlign w:val="bottom"/>
            <w:tcBorders>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2"/>
                <w:szCs w:val="22"/>
                <w:color w:val="auto"/>
                <w:w w:val="94"/>
              </w:rPr>
              <w:t>3.4</w:t>
            </w:r>
          </w:p>
        </w:tc>
        <w:tc>
          <w:tcPr>
            <w:tcW w:w="0" w:type="dxa"/>
            <w:vAlign w:val="bottom"/>
          </w:tcPr>
          <w:p>
            <w:pPr>
              <w:spacing w:after="0"/>
              <w:rPr>
                <w:sz w:val="1"/>
                <w:szCs w:val="1"/>
                <w:color w:val="auto"/>
              </w:rPr>
            </w:pPr>
          </w:p>
        </w:tc>
      </w:tr>
      <w:tr>
        <w:trPr>
          <w:trHeight w:val="174"/>
        </w:trPr>
        <w:tc>
          <w:tcPr>
            <w:tcW w:w="2540" w:type="dxa"/>
            <w:vAlign w:val="bottom"/>
            <w:tcBorders>
              <w:left w:val="single" w:sz="8" w:color="auto"/>
              <w:right w:val="single" w:sz="8" w:color="auto"/>
            </w:tcBorders>
            <w:vMerge w:val="continue"/>
          </w:tcPr>
          <w:p>
            <w:pPr>
              <w:spacing w:after="0"/>
              <w:rPr>
                <w:sz w:val="15"/>
                <w:szCs w:val="15"/>
                <w:color w:val="auto"/>
              </w:rPr>
            </w:pPr>
          </w:p>
        </w:tc>
        <w:tc>
          <w:tcPr>
            <w:tcW w:w="1700" w:type="dxa"/>
            <w:vAlign w:val="bottom"/>
            <w:tcBorders>
              <w:right w:val="single" w:sz="8" w:color="auto"/>
            </w:tcBorders>
            <w:vMerge w:val="continue"/>
          </w:tcPr>
          <w:p>
            <w:pPr>
              <w:spacing w:after="0"/>
              <w:rPr>
                <w:sz w:val="15"/>
                <w:szCs w:val="15"/>
                <w:color w:val="auto"/>
              </w:rPr>
            </w:pPr>
          </w:p>
        </w:tc>
        <w:tc>
          <w:tcPr>
            <w:tcW w:w="1740" w:type="dxa"/>
            <w:vAlign w:val="bottom"/>
            <w:tcBorders>
              <w:right w:val="single" w:sz="8" w:color="auto"/>
            </w:tcBorders>
            <w:vMerge w:val="continue"/>
          </w:tcPr>
          <w:p>
            <w:pPr>
              <w:spacing w:after="0"/>
              <w:rPr>
                <w:sz w:val="15"/>
                <w:szCs w:val="15"/>
                <w:color w:val="auto"/>
              </w:rPr>
            </w:pPr>
          </w:p>
        </w:tc>
        <w:tc>
          <w:tcPr>
            <w:tcW w:w="1700" w:type="dxa"/>
            <w:vAlign w:val="bottom"/>
            <w:tcBorders>
              <w:right w:val="single" w:sz="8" w:color="auto"/>
            </w:tcBorders>
            <w:vMerge w:val="continue"/>
          </w:tcPr>
          <w:p>
            <w:pPr>
              <w:spacing w:after="0"/>
              <w:rPr>
                <w:sz w:val="15"/>
                <w:szCs w:val="15"/>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(p=0.5848)</w:t>
            </w:r>
          </w:p>
        </w:tc>
        <w:tc>
          <w:tcPr>
            <w:tcW w:w="1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(p=0.7522)</w:t>
            </w:r>
          </w:p>
        </w:tc>
        <w:tc>
          <w:tcPr>
            <w:tcW w:w="0" w:type="dxa"/>
            <w:vAlign w:val="bottom"/>
          </w:tcPr>
          <w:p>
            <w:pPr>
              <w:spacing w:after="0"/>
              <w:rPr>
                <w:sz w:val="1"/>
                <w:szCs w:val="1"/>
                <w:color w:val="auto"/>
              </w:rPr>
            </w:pPr>
          </w:p>
        </w:tc>
      </w:tr>
      <w:tr>
        <w:trPr>
          <w:trHeight w:val="109"/>
        </w:trPr>
        <w:tc>
          <w:tcPr>
            <w:tcW w:w="2540" w:type="dxa"/>
            <w:vAlign w:val="bottom"/>
            <w:tcBorders>
              <w:left w:val="single" w:sz="8" w:color="auto"/>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vMerge w:val="continue"/>
          </w:tcPr>
          <w:p>
            <w:pPr>
              <w:spacing w:after="0"/>
              <w:rPr>
                <w:sz w:val="9"/>
                <w:szCs w:val="9"/>
                <w:color w:val="auto"/>
              </w:rPr>
            </w:pPr>
          </w:p>
        </w:tc>
        <w:tc>
          <w:tcPr>
            <w:tcW w:w="17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AnaptysBio</w:t>
      </w:r>
    </w:p>
    <w:p>
      <w:pPr>
        <w:sectPr>
          <w:pgSz w:w="11900" w:h="16838" w:orient="portrait"/>
          <w:cols w:equalWidth="0" w:num="1">
            <w:col w:w="11240"/>
          </w:cols>
          <w:pgMar w:left="320" w:top="1440" w:right="339" w:bottom="1440" w:gutter="0" w:footer="0" w:header="0"/>
        </w:sectPr>
      </w:pPr>
    </w:p>
    <w:bookmarkStart w:id="6" w:name="page7"/>
    <w:bookmarkEnd w:id="6"/>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5891530</wp:posOffset>
            </wp:positionH>
            <wp:positionV relativeFrom="page">
              <wp:posOffset>88900</wp:posOffset>
            </wp:positionV>
            <wp:extent cx="1448435" cy="3340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48435" cy="334010"/>
                    </a:xfrm>
                    <a:prstGeom prst="rect">
                      <a:avLst/>
                    </a:prstGeom>
                    <a:noFill/>
                  </pic:spPr>
                </pic:pic>
              </a:graphicData>
            </a:graphic>
          </wp:anchor>
        </w:drawing>
      </w:r>
    </w:p>
    <w:p>
      <w:pPr>
        <w:spacing w:after="0" w:line="232" w:lineRule="auto"/>
        <w:rPr>
          <w:sz w:val="20"/>
          <w:szCs w:val="20"/>
          <w:color w:val="auto"/>
        </w:rPr>
      </w:pPr>
      <w:r>
        <w:rPr>
          <w:rFonts w:ascii="Times New Roman" w:cs="Times New Roman" w:eastAsia="Times New Roman" w:hAnsi="Times New Roman"/>
          <w:sz w:val="22"/>
          <w:szCs w:val="22"/>
          <w:color w:val="auto"/>
        </w:rPr>
        <w:t>AnaptysBio is a clinical-stage biotechnology company focused on delivering innovative immunology therapeutics. We are developing immune cell modulators, including two checkpoint agonists in clinical-stage development, for autoimmune and inflammatory disease: rosnilimab, our anti-PD-1 agonist program in Phase 2 for the treatment of moderate-to-severe alopecia areata; and ANB032, our anti-BTLA agonist program, which is broadly applicable to human inflammatory diseases associated with lymphoid and myeloid immune cell dysregulation. AnaptysBio is also developing imsidolimab, our anti-IL-36R antibody in Phase 3 for the treatment of generalized pustular psoriasis, or GPP. AnaptysBio’s antibody pipeline has been developed using our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collaboration with GSK, including an anti-PD-1 antagonist antibody (JEMPERLI (dostarlimab-gxly) GSK4057190), an anti-TIM-3 antagonist antibody (cobolimab, GSK4069889) and an anti-LAG-3 antagonist antibody (GSK4074386).</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0" w:lineRule="exact"/>
        <w:rPr>
          <w:sz w:val="20"/>
          <w:szCs w:val="20"/>
          <w:color w:val="auto"/>
        </w:rPr>
      </w:pPr>
    </w:p>
    <w:p>
      <w:pPr>
        <w:ind w:right="80"/>
        <w:spacing w:after="0" w:line="243" w:lineRule="exact"/>
        <w:rPr>
          <w:sz w:val="20"/>
          <w:szCs w:val="20"/>
          <w:color w:val="auto"/>
        </w:rPr>
      </w:pPr>
      <w:r>
        <w:rPr>
          <w:rFonts w:ascii="Times New Roman" w:cs="Times New Roman" w:eastAsia="Times New Roman" w:hAnsi="Times New Roman"/>
          <w:sz w:val="22"/>
          <w:szCs w:val="22"/>
          <w:color w:val="auto"/>
        </w:rPr>
        <w:t>This press release contains “forward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looking” statements within the meaning of the "safe harbor" provisions of the Private Securities Litigation Reform Act of 1995, including, but not limited to: the timing of the release of data from our clinical trials, including imsidolimab’s Phase 3 trial in GPP and rosnilimab’s Phase 2 trial in alopecia areata; timing of an IND filing for ANB032; and our ability to complete, and timing with respect to, any outlicensing transaction with imsidolimab.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presentation, and the company undertakes no obligation to revise or update any forward-looking statements to reflect events or circumstances after the date 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r>
        <w:rPr>
          <w:rFonts w:ascii="Times New Roman" w:cs="Times New Roman" w:eastAsia="Times New Roman" w:hAnsi="Times New Roman"/>
          <w:sz w:val="22"/>
          <w:szCs w:val="22"/>
          <w:color w:val="auto"/>
        </w:rPr>
        <w:t>:</w:t>
      </w:r>
    </w:p>
    <w:p>
      <w:pPr>
        <w:spacing w:after="0" w:line="204" w:lineRule="auto"/>
        <w:rPr>
          <w:sz w:val="20"/>
          <w:szCs w:val="20"/>
          <w:color w:val="auto"/>
        </w:rPr>
      </w:pPr>
      <w:r>
        <w:rPr>
          <w:rFonts w:ascii="Times New Roman" w:cs="Times New Roman" w:eastAsia="Times New Roman" w:hAnsi="Times New Roman"/>
          <w:sz w:val="22"/>
          <w:szCs w:val="22"/>
          <w:color w:val="auto"/>
        </w:rPr>
        <w:t>Dennis Mulroy</w:t>
      </w:r>
    </w:p>
    <w:p>
      <w:pPr>
        <w:spacing w:after="0" w:line="205" w:lineRule="auto"/>
        <w:rPr>
          <w:sz w:val="20"/>
          <w:szCs w:val="20"/>
          <w:color w:val="auto"/>
        </w:rPr>
      </w:pPr>
      <w:r>
        <w:rPr>
          <w:rFonts w:ascii="Times New Roman" w:cs="Times New Roman" w:eastAsia="Times New Roman" w:hAnsi="Times New Roman"/>
          <w:sz w:val="22"/>
          <w:szCs w:val="22"/>
          <w:color w:val="auto"/>
        </w:rPr>
        <w:t>AnaptysBio, Inc.</w:t>
      </w:r>
    </w:p>
    <w:p>
      <w:pPr>
        <w:spacing w:after="0" w:line="205" w:lineRule="auto"/>
        <w:rPr>
          <w:sz w:val="20"/>
          <w:szCs w:val="20"/>
          <w:color w:val="auto"/>
        </w:rPr>
      </w:pPr>
      <w:r>
        <w:rPr>
          <w:rFonts w:ascii="Times New Roman" w:cs="Times New Roman" w:eastAsia="Times New Roman" w:hAnsi="Times New Roman"/>
          <w:sz w:val="22"/>
          <w:szCs w:val="22"/>
          <w:color w:val="auto"/>
        </w:rPr>
        <w:t>858.732.0201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94FF"/>
        </w:rPr>
        <w:t>dmulroy@anaptysbio.com</w:t>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2022-08-31T15:24:29Z</dcterms:created>
  <dcterms:modified xsi:type="dcterms:W3CDTF">2022-08-31T15:24:29Z</dcterms:modified>
</cp:coreProperties>
</file>